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2B57C5F8" w:rsidR="00BA2732" w:rsidRDefault="000C5572" w:rsidP="003D033A">
      <w:pPr>
        <w:pStyle w:val="Title"/>
      </w:pPr>
      <w:r>
        <w:t>Ongoing item 32118 for minimally invasive ventral rectopexy</w:t>
      </w:r>
    </w:p>
    <w:p w14:paraId="6EFD4B5B" w14:textId="7BD7B4AD" w:rsidR="00064168" w:rsidRPr="00867595" w:rsidRDefault="00064168" w:rsidP="006F5073">
      <w:bookmarkStart w:id="0" w:name="_Hlk4568006"/>
      <w:r w:rsidRPr="00867595">
        <w:t>Last updated</w:t>
      </w:r>
      <w:r w:rsidRPr="00E00702">
        <w:t xml:space="preserve">: </w:t>
      </w:r>
      <w:r w:rsidR="00942B18">
        <w:t>2</w:t>
      </w:r>
      <w:r w:rsidR="00402DF8">
        <w:t>5</w:t>
      </w:r>
      <w:r w:rsidR="00942B18" w:rsidRPr="00E00702">
        <w:t xml:space="preserve"> </w:t>
      </w:r>
      <w:r w:rsidR="00C64F8E" w:rsidRPr="00E00702">
        <w:t>January</w:t>
      </w:r>
      <w:r w:rsidR="000C5572" w:rsidRPr="00E00702">
        <w:t xml:space="preserve"> </w:t>
      </w:r>
      <w:r w:rsidRPr="00E00702">
        <w:t>20</w:t>
      </w:r>
      <w:r w:rsidR="000C5572" w:rsidRPr="00E00702">
        <w:t>2</w:t>
      </w:r>
      <w:r w:rsidR="00E00702">
        <w:t>4</w:t>
      </w:r>
    </w:p>
    <w:p w14:paraId="594ACBFB" w14:textId="77158192" w:rsidR="000C5572" w:rsidRDefault="000C5572" w:rsidP="006F5073">
      <w:pPr>
        <w:pStyle w:val="ListBullet"/>
      </w:pPr>
      <w:bookmarkStart w:id="1" w:name="_Hlk535506978"/>
      <w:bookmarkEnd w:id="0"/>
      <w:r>
        <w:t>From 1 March 2024, an ongoing Medicare Benefits Schedule (MBS) item will be introduced for minimally invasive ventral rectopexy (MIVR) for the repair of external rectal prolapse or symptomatic high grade rectal intussusception.</w:t>
      </w:r>
    </w:p>
    <w:p w14:paraId="047F5B82" w14:textId="54CFB0BF" w:rsidR="000C5572" w:rsidRDefault="000C5572" w:rsidP="000C5572">
      <w:pPr>
        <w:pStyle w:val="ListBullet"/>
      </w:pPr>
      <w:r>
        <w:t xml:space="preserve">This item is relevant to surgeons delivering these services, patients receiving these services, medical administrators, private </w:t>
      </w:r>
      <w:proofErr w:type="gramStart"/>
      <w:r>
        <w:t>hospitals</w:t>
      </w:r>
      <w:proofErr w:type="gramEnd"/>
      <w:r>
        <w:t xml:space="preserve"> and private health insurers.</w:t>
      </w:r>
    </w:p>
    <w:bookmarkEnd w:id="1"/>
    <w:p w14:paraId="44460BF5" w14:textId="77777777" w:rsidR="00064168" w:rsidRPr="00867595" w:rsidRDefault="00064168" w:rsidP="00064168">
      <w:pPr>
        <w:pStyle w:val="Heading2"/>
      </w:pPr>
      <w:r w:rsidRPr="00867595">
        <w:t>What are the changes?</w:t>
      </w:r>
    </w:p>
    <w:p w14:paraId="5A447CF0" w14:textId="52A66C21" w:rsidR="000C5572" w:rsidRDefault="00FE50FB" w:rsidP="00064168">
      <w:pPr>
        <w:rPr>
          <w:szCs w:val="22"/>
        </w:rPr>
      </w:pPr>
      <w:r>
        <w:rPr>
          <w:szCs w:val="22"/>
        </w:rPr>
        <w:t>Effective</w:t>
      </w:r>
      <w:r w:rsidR="00064168" w:rsidRPr="00867595">
        <w:rPr>
          <w:szCs w:val="22"/>
        </w:rPr>
        <w:t xml:space="preserve"> </w:t>
      </w:r>
      <w:r w:rsidR="000C5572">
        <w:rPr>
          <w:szCs w:val="22"/>
        </w:rPr>
        <w:t xml:space="preserve">1 March 2024, an </w:t>
      </w:r>
      <w:r w:rsidR="000C5572" w:rsidRPr="00196837">
        <w:rPr>
          <w:szCs w:val="22"/>
        </w:rPr>
        <w:t>ongoing</w:t>
      </w:r>
      <w:r w:rsidR="000C5572">
        <w:t xml:space="preserve"> </w:t>
      </w:r>
      <w:r w:rsidR="006F63CB">
        <w:t xml:space="preserve">MBS </w:t>
      </w:r>
      <w:r w:rsidR="000C5572">
        <w:t xml:space="preserve">item will be introduced </w:t>
      </w:r>
      <w:r w:rsidR="000C5572">
        <w:rPr>
          <w:szCs w:val="22"/>
        </w:rPr>
        <w:t>for</w:t>
      </w:r>
      <w:r>
        <w:rPr>
          <w:szCs w:val="22"/>
        </w:rPr>
        <w:t> </w:t>
      </w:r>
      <w:r w:rsidR="000C5572">
        <w:t>MIVR</w:t>
      </w:r>
      <w:r w:rsidR="00CA1DEB">
        <w:t xml:space="preserve">. </w:t>
      </w:r>
    </w:p>
    <w:p w14:paraId="596F8F27" w14:textId="178E5EEB" w:rsidR="004978D6" w:rsidRDefault="00B35F86" w:rsidP="004978D6">
      <w:pPr>
        <w:rPr>
          <w:szCs w:val="22"/>
        </w:rPr>
      </w:pPr>
      <w:r>
        <w:rPr>
          <w:szCs w:val="22"/>
        </w:rPr>
        <w:t>The</w:t>
      </w:r>
      <w:r w:rsidR="004978D6" w:rsidRPr="00D20DD1">
        <w:rPr>
          <w:szCs w:val="22"/>
        </w:rPr>
        <w:t xml:space="preserve"> procedure involves</w:t>
      </w:r>
      <w:r w:rsidR="004978D6">
        <w:rPr>
          <w:szCs w:val="22"/>
        </w:rPr>
        <w:t xml:space="preserve"> </w:t>
      </w:r>
      <w:r w:rsidR="008D1388">
        <w:rPr>
          <w:szCs w:val="22"/>
        </w:rPr>
        <w:t>minimally invasive surgery (</w:t>
      </w:r>
      <w:r w:rsidR="006B69B2" w:rsidRPr="00B30EB3">
        <w:rPr>
          <w:szCs w:val="22"/>
        </w:rPr>
        <w:t>laparoscopy or robotic-assisted surgery</w:t>
      </w:r>
      <w:r w:rsidR="008D1388">
        <w:rPr>
          <w:szCs w:val="22"/>
        </w:rPr>
        <w:t xml:space="preserve">) </w:t>
      </w:r>
      <w:r w:rsidR="006B69B2">
        <w:rPr>
          <w:szCs w:val="22"/>
        </w:rPr>
        <w:t xml:space="preserve">involving </w:t>
      </w:r>
      <w:r w:rsidR="004978D6" w:rsidRPr="00D20DD1">
        <w:rPr>
          <w:szCs w:val="22"/>
        </w:rPr>
        <w:t xml:space="preserve">ventral dissection of the extra-peritoneal rectum and </w:t>
      </w:r>
      <w:r w:rsidR="004978D6">
        <w:rPr>
          <w:szCs w:val="22"/>
        </w:rPr>
        <w:t>s</w:t>
      </w:r>
      <w:r w:rsidR="004978D6" w:rsidRPr="00D20DD1">
        <w:rPr>
          <w:szCs w:val="22"/>
        </w:rPr>
        <w:t>uspension of the rectum from the sacral promontory by means of a prosthesis</w:t>
      </w:r>
      <w:r w:rsidR="004978D6" w:rsidRPr="004D2FDC">
        <w:rPr>
          <w:szCs w:val="22"/>
        </w:rPr>
        <w:t xml:space="preserve"> </w:t>
      </w:r>
      <w:r w:rsidR="004978D6">
        <w:rPr>
          <w:szCs w:val="22"/>
        </w:rPr>
        <w:t>(synthetic mesh or biologic</w:t>
      </w:r>
      <w:r w:rsidR="004978D6" w:rsidRPr="008F2923">
        <w:rPr>
          <w:szCs w:val="22"/>
        </w:rPr>
        <w:t>al</w:t>
      </w:r>
      <w:r w:rsidR="004978D6">
        <w:rPr>
          <w:szCs w:val="22"/>
        </w:rPr>
        <w:t xml:space="preserve"> graft). </w:t>
      </w:r>
    </w:p>
    <w:p w14:paraId="7DEA9014" w14:textId="30951C6E" w:rsidR="004978D6" w:rsidRPr="00762AA7" w:rsidRDefault="004978D6" w:rsidP="004978D6">
      <w:pPr>
        <w:rPr>
          <w:szCs w:val="22"/>
        </w:rPr>
      </w:pPr>
      <w:r w:rsidRPr="00D13548">
        <w:rPr>
          <w:szCs w:val="22"/>
        </w:rPr>
        <w:t>Th</w:t>
      </w:r>
      <w:r w:rsidR="00B35F86">
        <w:rPr>
          <w:szCs w:val="22"/>
        </w:rPr>
        <w:t>e</w:t>
      </w:r>
      <w:r w:rsidRPr="00D13548">
        <w:rPr>
          <w:szCs w:val="22"/>
        </w:rPr>
        <w:t xml:space="preserve"> ongoing item </w:t>
      </w:r>
      <w:r w:rsidR="00C6422D">
        <w:rPr>
          <w:szCs w:val="22"/>
        </w:rPr>
        <w:t xml:space="preserve">for MIVR </w:t>
      </w:r>
      <w:r w:rsidRPr="00D13548">
        <w:rPr>
          <w:szCs w:val="22"/>
        </w:rPr>
        <w:t xml:space="preserve">will replace the </w:t>
      </w:r>
      <w:hyperlink r:id="rId8" w:history="1">
        <w:r w:rsidRPr="0017777F">
          <w:rPr>
            <w:rStyle w:val="Hyperlink"/>
            <w:szCs w:val="22"/>
          </w:rPr>
          <w:t>temporary item for MIVR</w:t>
        </w:r>
      </w:hyperlink>
      <w:r w:rsidRPr="00762AA7">
        <w:rPr>
          <w:szCs w:val="22"/>
        </w:rPr>
        <w:t xml:space="preserve">, so that MIVR services continue to be provided under item 32118. </w:t>
      </w:r>
    </w:p>
    <w:p w14:paraId="1B17FFDB" w14:textId="527C3304" w:rsidR="00D90A2D" w:rsidRDefault="00FD4524" w:rsidP="00D13548">
      <w:pPr>
        <w:rPr>
          <w:szCs w:val="22"/>
        </w:rPr>
      </w:pPr>
      <w:r w:rsidRPr="00A61E54">
        <w:rPr>
          <w:szCs w:val="22"/>
        </w:rPr>
        <w:t>The ongoing item will</w:t>
      </w:r>
      <w:r w:rsidR="00F43A2A" w:rsidRPr="00A61E54">
        <w:rPr>
          <w:szCs w:val="22"/>
        </w:rPr>
        <w:t xml:space="preserve"> </w:t>
      </w:r>
      <w:r w:rsidRPr="00A61E54">
        <w:rPr>
          <w:szCs w:val="22"/>
        </w:rPr>
        <w:t xml:space="preserve">provide </w:t>
      </w:r>
      <w:r w:rsidR="00506FE9" w:rsidRPr="00A61E54">
        <w:rPr>
          <w:szCs w:val="22"/>
        </w:rPr>
        <w:t>for</w:t>
      </w:r>
      <w:r w:rsidR="00895988" w:rsidRPr="00A61E54">
        <w:rPr>
          <w:szCs w:val="22"/>
        </w:rPr>
        <w:t xml:space="preserve"> </w:t>
      </w:r>
      <w:r w:rsidR="00944465" w:rsidRPr="00A61E54">
        <w:rPr>
          <w:szCs w:val="22"/>
        </w:rPr>
        <w:t xml:space="preserve">the treatment of </w:t>
      </w:r>
      <w:r w:rsidR="000C5572" w:rsidRPr="00A61E54">
        <w:rPr>
          <w:szCs w:val="22"/>
        </w:rPr>
        <w:t>external rectal prolapse</w:t>
      </w:r>
      <w:r w:rsidR="00F17D46" w:rsidRPr="00A61E54">
        <w:rPr>
          <w:szCs w:val="22"/>
        </w:rPr>
        <w:t xml:space="preserve"> </w:t>
      </w:r>
      <w:r w:rsidR="001503D4" w:rsidRPr="00A61E54">
        <w:rPr>
          <w:szCs w:val="22"/>
        </w:rPr>
        <w:t xml:space="preserve">and </w:t>
      </w:r>
      <w:r w:rsidR="000941A3" w:rsidRPr="00A61E54">
        <w:rPr>
          <w:szCs w:val="22"/>
        </w:rPr>
        <w:t>s</w:t>
      </w:r>
      <w:r w:rsidR="000C5572" w:rsidRPr="00A61E54">
        <w:rPr>
          <w:szCs w:val="22"/>
        </w:rPr>
        <w:t>ymptomatic high grade rectal intussusception</w:t>
      </w:r>
      <w:r w:rsidR="00CD374D" w:rsidRPr="00A61E54">
        <w:rPr>
          <w:szCs w:val="22"/>
        </w:rPr>
        <w:t xml:space="preserve"> </w:t>
      </w:r>
      <w:r w:rsidR="00A61E54" w:rsidRPr="00A61E54">
        <w:rPr>
          <w:szCs w:val="22"/>
        </w:rPr>
        <w:t>(the rectum descends to the level of or into the anal canal).</w:t>
      </w:r>
    </w:p>
    <w:p w14:paraId="0A802988" w14:textId="00D775AE" w:rsidR="002E3605" w:rsidRDefault="000C5572" w:rsidP="002E3605">
      <w:pPr>
        <w:rPr>
          <w:szCs w:val="22"/>
        </w:rPr>
      </w:pPr>
      <w:r w:rsidRPr="00B30EB3">
        <w:rPr>
          <w:szCs w:val="22"/>
        </w:rPr>
        <w:t xml:space="preserve">Cases of symptomatic high grade rectal intussusception must be confirmed by diagnostic imaging </w:t>
      </w:r>
      <w:r w:rsidR="00D24082">
        <w:rPr>
          <w:szCs w:val="22"/>
        </w:rPr>
        <w:t xml:space="preserve">and not </w:t>
      </w:r>
      <w:r w:rsidR="00D24082">
        <w:t>by other procedures</w:t>
      </w:r>
      <w:r w:rsidR="00047A71">
        <w:t>,</w:t>
      </w:r>
      <w:r w:rsidR="00D24082">
        <w:t xml:space="preserve"> such as examination under sedation. </w:t>
      </w:r>
      <w:r w:rsidR="0010318F">
        <w:t>The type of diagnostic imaging modality</w:t>
      </w:r>
      <w:r w:rsidR="007C2BA7">
        <w:t xml:space="preserve"> </w:t>
      </w:r>
      <w:r w:rsidR="003D6AB7">
        <w:t xml:space="preserve">used is </w:t>
      </w:r>
      <w:r w:rsidR="00EA56D5">
        <w:t xml:space="preserve">often </w:t>
      </w:r>
      <w:r w:rsidR="00916047">
        <w:t>defaecography or proctography</w:t>
      </w:r>
      <w:r w:rsidR="00916047">
        <w:rPr>
          <w:szCs w:val="22"/>
        </w:rPr>
        <w:t xml:space="preserve">, but </w:t>
      </w:r>
      <w:r w:rsidR="00002399">
        <w:rPr>
          <w:szCs w:val="22"/>
        </w:rPr>
        <w:t>this</w:t>
      </w:r>
      <w:r w:rsidR="00916047">
        <w:rPr>
          <w:szCs w:val="22"/>
        </w:rPr>
        <w:t xml:space="preserve"> has not been specified </w:t>
      </w:r>
      <w:r w:rsidR="007C2BA7">
        <w:rPr>
          <w:szCs w:val="22"/>
        </w:rPr>
        <w:t>in the item descriptor to allow for clini</w:t>
      </w:r>
      <w:r w:rsidR="00047A71">
        <w:rPr>
          <w:szCs w:val="22"/>
        </w:rPr>
        <w:t>cian</w:t>
      </w:r>
      <w:r w:rsidR="007C2BA7">
        <w:rPr>
          <w:szCs w:val="22"/>
        </w:rPr>
        <w:t xml:space="preserve"> discretion.</w:t>
      </w:r>
      <w:r w:rsidR="00916047">
        <w:rPr>
          <w:szCs w:val="22"/>
        </w:rPr>
        <w:t xml:space="preserve"> </w:t>
      </w:r>
      <w:r w:rsidR="00D532BF" w:rsidRPr="00B4754C">
        <w:rPr>
          <w:szCs w:val="22"/>
        </w:rPr>
        <w:t>Diagnostic imaging is not required for</w:t>
      </w:r>
      <w:r w:rsidR="00B4754C" w:rsidRPr="00B4754C">
        <w:rPr>
          <w:szCs w:val="22"/>
        </w:rPr>
        <w:t xml:space="preserve"> </w:t>
      </w:r>
      <w:r w:rsidR="00124329" w:rsidRPr="00B4754C">
        <w:rPr>
          <w:szCs w:val="22"/>
        </w:rPr>
        <w:t xml:space="preserve">external rectal prolapse, which is visible on examination. </w:t>
      </w:r>
    </w:p>
    <w:p w14:paraId="0D23A6AB" w14:textId="6D6D4A0F" w:rsidR="00A35805" w:rsidRPr="00A35805" w:rsidRDefault="004524FC" w:rsidP="00A35805">
      <w:pPr>
        <w:spacing w:line="240" w:lineRule="auto"/>
        <w:rPr>
          <w:szCs w:val="22"/>
        </w:rPr>
      </w:pPr>
      <w:r w:rsidRPr="00B30EB3">
        <w:rPr>
          <w:szCs w:val="22"/>
        </w:rPr>
        <w:t xml:space="preserve">MIVR </w:t>
      </w:r>
      <w:r w:rsidR="008D1388">
        <w:rPr>
          <w:szCs w:val="22"/>
        </w:rPr>
        <w:t xml:space="preserve">procedures </w:t>
      </w:r>
      <w:r w:rsidR="006429EB" w:rsidRPr="00B30EB3">
        <w:rPr>
          <w:szCs w:val="22"/>
        </w:rPr>
        <w:t xml:space="preserve">will be performed </w:t>
      </w:r>
      <w:r w:rsidR="0079313B" w:rsidRPr="00B30EB3">
        <w:rPr>
          <w:szCs w:val="22"/>
        </w:rPr>
        <w:t>in-</w:t>
      </w:r>
      <w:r w:rsidR="006429EB" w:rsidRPr="00B30EB3">
        <w:rPr>
          <w:szCs w:val="22"/>
        </w:rPr>
        <w:t xml:space="preserve">hospital </w:t>
      </w:r>
      <w:r w:rsidR="0079313B" w:rsidRPr="00B30EB3">
        <w:rPr>
          <w:szCs w:val="22"/>
        </w:rPr>
        <w:t>only,</w:t>
      </w:r>
      <w:r w:rsidR="00BC0FD6" w:rsidRPr="00B30EB3">
        <w:rPr>
          <w:szCs w:val="22"/>
        </w:rPr>
        <w:t xml:space="preserve"> </w:t>
      </w:r>
      <w:r w:rsidR="00A35805" w:rsidRPr="00B30EB3">
        <w:rPr>
          <w:szCs w:val="22"/>
        </w:rPr>
        <w:t>by colorectal surgeons or general surgeons with a sub-specialist interest in colorectal surgery, with expertise in the procedure.</w:t>
      </w:r>
    </w:p>
    <w:p w14:paraId="3A8F46D3" w14:textId="0A130846" w:rsidR="00197FFB" w:rsidRDefault="00197FFB" w:rsidP="00197FFB">
      <w:pPr>
        <w:rPr>
          <w:rFonts w:cs="Arial"/>
        </w:rPr>
      </w:pPr>
      <w:r>
        <w:rPr>
          <w:rFonts w:cs="Arial"/>
        </w:rPr>
        <w:t xml:space="preserve">The </w:t>
      </w:r>
      <w:r w:rsidR="003F2376">
        <w:rPr>
          <w:rFonts w:cs="Arial"/>
        </w:rPr>
        <w:t xml:space="preserve">ongoing item will have an increased </w:t>
      </w:r>
      <w:r>
        <w:rPr>
          <w:rFonts w:cs="Arial"/>
        </w:rPr>
        <w:t xml:space="preserve">fee to reflect the complexity of the </w:t>
      </w:r>
      <w:r w:rsidRPr="002C24D1">
        <w:rPr>
          <w:rFonts w:cs="Arial"/>
        </w:rPr>
        <w:t>procedure</w:t>
      </w:r>
      <w:r>
        <w:rPr>
          <w:rFonts w:cs="Arial"/>
        </w:rPr>
        <w:t>.</w:t>
      </w:r>
    </w:p>
    <w:p w14:paraId="14CB6C78" w14:textId="0AF5BB07" w:rsidR="007E0068" w:rsidRDefault="007E0068" w:rsidP="007E0068">
      <w:r>
        <w:t xml:space="preserve">For private health insurance purposes, item </w:t>
      </w:r>
      <w:r w:rsidR="00B02676">
        <w:t xml:space="preserve">32118 </w:t>
      </w:r>
      <w:r>
        <w:t>will</w:t>
      </w:r>
      <w:r w:rsidR="00B02676">
        <w:t xml:space="preserve"> </w:t>
      </w:r>
      <w:r>
        <w:t>continue to be listed under the following clinical category and procedure type:</w:t>
      </w:r>
    </w:p>
    <w:p w14:paraId="5B0D04C5" w14:textId="1A1E6BD6" w:rsidR="007E0068" w:rsidRDefault="007E0068" w:rsidP="006F5073">
      <w:pPr>
        <w:pStyle w:val="ListBullet"/>
      </w:pPr>
      <w:r>
        <w:t xml:space="preserve">Clinical category: </w:t>
      </w:r>
      <w:r w:rsidR="00B02676">
        <w:t>Digestive system</w:t>
      </w:r>
    </w:p>
    <w:p w14:paraId="0F393FB5" w14:textId="66887666" w:rsidR="007E0068" w:rsidRDefault="007E0068" w:rsidP="006F5073">
      <w:pPr>
        <w:pStyle w:val="ListBullet"/>
      </w:pPr>
      <w:r>
        <w:t xml:space="preserve">Procedure type: </w:t>
      </w:r>
      <w:r w:rsidR="003E7D6A">
        <w:t>Type A Advanced Surgical</w:t>
      </w:r>
      <w:r w:rsidR="003E7D6A">
        <w:br/>
      </w:r>
    </w:p>
    <w:p w14:paraId="40554EF4" w14:textId="553E0F21" w:rsidR="001301D7" w:rsidRDefault="001301D7" w:rsidP="001301D7">
      <w:pPr>
        <w:pStyle w:val="ListBullet"/>
        <w:numPr>
          <w:ilvl w:val="0"/>
          <w:numId w:val="0"/>
        </w:numPr>
        <w:rPr>
          <w:rFonts w:cs="Arial"/>
        </w:rPr>
      </w:pPr>
      <w:r w:rsidRPr="001301D7">
        <w:rPr>
          <w:szCs w:val="24"/>
        </w:rPr>
        <w:t xml:space="preserve">Given the use of surgical mesh in the MIVR procedure, </w:t>
      </w:r>
      <w:r w:rsidR="0045762A">
        <w:rPr>
          <w:szCs w:val="24"/>
        </w:rPr>
        <w:t>the Medical Services Advisory Committee (</w:t>
      </w:r>
      <w:r w:rsidRPr="001301D7">
        <w:rPr>
          <w:szCs w:val="24"/>
        </w:rPr>
        <w:t>MSAC</w:t>
      </w:r>
      <w:r w:rsidR="0045762A">
        <w:rPr>
          <w:szCs w:val="24"/>
        </w:rPr>
        <w:t>)</w:t>
      </w:r>
      <w:r w:rsidRPr="001301D7">
        <w:rPr>
          <w:szCs w:val="24"/>
        </w:rPr>
        <w:t xml:space="preserve"> recommended the creation of a clinical registry to record procedures and outcomes, and the department is currently exploring options</w:t>
      </w:r>
      <w:r>
        <w:rPr>
          <w:szCs w:val="24"/>
        </w:rPr>
        <w:t xml:space="preserve"> t</w:t>
      </w:r>
      <w:r>
        <w:rPr>
          <w:rFonts w:cs="Arial"/>
        </w:rPr>
        <w:t xml:space="preserve">o support </w:t>
      </w:r>
      <w:r w:rsidR="00CC0ECA">
        <w:rPr>
          <w:rFonts w:cs="Arial"/>
        </w:rPr>
        <w:t xml:space="preserve">such </w:t>
      </w:r>
      <w:r>
        <w:rPr>
          <w:rFonts w:cs="Arial"/>
        </w:rPr>
        <w:t>data collection.</w:t>
      </w:r>
    </w:p>
    <w:p w14:paraId="42BD5171" w14:textId="77777777" w:rsidR="00064168" w:rsidRDefault="00064168" w:rsidP="00064168">
      <w:pPr>
        <w:pStyle w:val="Heading2"/>
      </w:pPr>
      <w:r>
        <w:lastRenderedPageBreak/>
        <w:t>Why are the changes being made?</w:t>
      </w:r>
    </w:p>
    <w:p w14:paraId="144C3AE2" w14:textId="3EB893B7" w:rsidR="00064168" w:rsidRDefault="00887457" w:rsidP="00064168">
      <w:pPr>
        <w:rPr>
          <w:szCs w:val="22"/>
        </w:rPr>
      </w:pPr>
      <w:bookmarkStart w:id="2" w:name="_Hlk535386664"/>
      <w:r>
        <w:rPr>
          <w:szCs w:val="22"/>
        </w:rPr>
        <w:t xml:space="preserve">MSAC recommended the listing of this item </w:t>
      </w:r>
      <w:r w:rsidR="00064168" w:rsidRPr="00867595">
        <w:rPr>
          <w:szCs w:val="22"/>
        </w:rPr>
        <w:t xml:space="preserve">in </w:t>
      </w:r>
      <w:r w:rsidR="00473438">
        <w:rPr>
          <w:szCs w:val="22"/>
        </w:rPr>
        <w:t>November 2022</w:t>
      </w:r>
      <w:r w:rsidR="00CB0762">
        <w:rPr>
          <w:szCs w:val="22"/>
        </w:rPr>
        <w:t>, follow</w:t>
      </w:r>
      <w:r w:rsidR="00381749">
        <w:rPr>
          <w:szCs w:val="22"/>
        </w:rPr>
        <w:t xml:space="preserve">ing its assessment of </w:t>
      </w:r>
      <w:hyperlink r:id="rId9" w:history="1">
        <w:r w:rsidR="00CB0762" w:rsidRPr="00C07D0E">
          <w:rPr>
            <w:rStyle w:val="Hyperlink"/>
            <w:szCs w:val="22"/>
          </w:rPr>
          <w:t>MSAC Application 1685</w:t>
        </w:r>
      </w:hyperlink>
      <w:r w:rsidR="00473438" w:rsidRPr="00887457">
        <w:rPr>
          <w:szCs w:val="22"/>
        </w:rPr>
        <w:t xml:space="preserve">. </w:t>
      </w:r>
      <w:r w:rsidR="00064168" w:rsidRPr="00887457">
        <w:rPr>
          <w:szCs w:val="22"/>
        </w:rPr>
        <w:t xml:space="preserve">Further details about MSAC applications can be found under </w:t>
      </w:r>
      <w:hyperlink r:id="rId10" w:history="1">
        <w:r w:rsidR="00064168" w:rsidRPr="00887457">
          <w:rPr>
            <w:rStyle w:val="Hyperlink"/>
            <w:szCs w:val="22"/>
          </w:rPr>
          <w:t>MSAC Applications</w:t>
        </w:r>
      </w:hyperlink>
      <w:r w:rsidR="00064168" w:rsidRPr="00887457">
        <w:rPr>
          <w:szCs w:val="22"/>
        </w:rPr>
        <w:t xml:space="preserve"> on the MSAC website (</w:t>
      </w:r>
      <w:hyperlink r:id="rId11" w:history="1">
        <w:r w:rsidR="00064168" w:rsidRPr="00887457">
          <w:rPr>
            <w:rStyle w:val="Hyperlink"/>
            <w:szCs w:val="22"/>
          </w:rPr>
          <w:t>Medical Services Advisory Committee</w:t>
        </w:r>
      </w:hyperlink>
      <w:r w:rsidR="00064168" w:rsidRPr="00887457">
        <w:rPr>
          <w:szCs w:val="22"/>
        </w:rPr>
        <w:t>).</w:t>
      </w:r>
    </w:p>
    <w:p w14:paraId="4B7BA53A" w14:textId="334420CF" w:rsidR="00064168" w:rsidRDefault="007D2F25" w:rsidP="00064168">
      <w:pPr>
        <w:rPr>
          <w:szCs w:val="22"/>
        </w:rPr>
      </w:pPr>
      <w:r>
        <w:rPr>
          <w:szCs w:val="22"/>
        </w:rPr>
        <w:t>Th</w:t>
      </w:r>
      <w:r w:rsidR="0096293B">
        <w:rPr>
          <w:szCs w:val="22"/>
        </w:rPr>
        <w:t>e i</w:t>
      </w:r>
      <w:r>
        <w:rPr>
          <w:szCs w:val="22"/>
        </w:rPr>
        <w:t xml:space="preserve">ntroduction of </w:t>
      </w:r>
      <w:r w:rsidR="00381749">
        <w:rPr>
          <w:szCs w:val="22"/>
        </w:rPr>
        <w:t>an item f</w:t>
      </w:r>
      <w:r>
        <w:rPr>
          <w:szCs w:val="22"/>
        </w:rPr>
        <w:t>or MIVR was also recommend</w:t>
      </w:r>
      <w:r w:rsidR="00C5619C">
        <w:rPr>
          <w:szCs w:val="22"/>
        </w:rPr>
        <w:t xml:space="preserve">ed by </w:t>
      </w:r>
      <w:r>
        <w:rPr>
          <w:szCs w:val="22"/>
        </w:rPr>
        <w:t xml:space="preserve">the </w:t>
      </w:r>
      <w:r w:rsidR="00064168" w:rsidRPr="00867595">
        <w:rPr>
          <w:szCs w:val="22"/>
        </w:rPr>
        <w:t>MBS Review Taskforce</w:t>
      </w:r>
      <w:r w:rsidR="00110CF0">
        <w:rPr>
          <w:szCs w:val="22"/>
        </w:rPr>
        <w:t xml:space="preserve"> (Taskforce)</w:t>
      </w:r>
      <w:r w:rsidR="00064168" w:rsidRPr="00867595">
        <w:rPr>
          <w:szCs w:val="22"/>
        </w:rPr>
        <w:t xml:space="preserve">, informed by </w:t>
      </w:r>
      <w:r>
        <w:rPr>
          <w:szCs w:val="22"/>
        </w:rPr>
        <w:t xml:space="preserve">its Colorectal Surgery </w:t>
      </w:r>
      <w:r w:rsidR="00064168" w:rsidRPr="00867595">
        <w:rPr>
          <w:szCs w:val="22"/>
        </w:rPr>
        <w:t>Clinical Committee</w:t>
      </w:r>
      <w:r w:rsidR="002B7FA2">
        <w:rPr>
          <w:szCs w:val="22"/>
        </w:rPr>
        <w:t>, to differentiate it from item 32117 for abdominal rectopexy</w:t>
      </w:r>
      <w:r w:rsidR="00064168" w:rsidRPr="00867595">
        <w:rPr>
          <w:szCs w:val="22"/>
        </w:rPr>
        <w:t xml:space="preserve">. More information about the Taskforce and associated Committees is available in </w:t>
      </w:r>
      <w:hyperlink r:id="rId12" w:history="1">
        <w:r w:rsidR="00064168" w:rsidRPr="00867595">
          <w:rPr>
            <w:rStyle w:val="Hyperlink"/>
            <w:szCs w:val="22"/>
          </w:rPr>
          <w:t>Medicare Benefits Schedule Review</w:t>
        </w:r>
      </w:hyperlink>
      <w:r w:rsidR="00064168" w:rsidRPr="00867595">
        <w:rPr>
          <w:szCs w:val="22"/>
        </w:rPr>
        <w:t xml:space="preserve"> in the consumer section of the </w:t>
      </w:r>
      <w:hyperlink r:id="rId13" w:history="1">
        <w:r w:rsidR="00064168" w:rsidRPr="00867595">
          <w:rPr>
            <w:rStyle w:val="Hyperlink"/>
            <w:szCs w:val="22"/>
          </w:rPr>
          <w:t>Department of Health</w:t>
        </w:r>
        <w:r w:rsidR="00F85AFE">
          <w:rPr>
            <w:rStyle w:val="Hyperlink"/>
            <w:szCs w:val="22"/>
          </w:rPr>
          <w:t xml:space="preserve"> and Aged Care</w:t>
        </w:r>
        <w:r w:rsidR="00064168" w:rsidRPr="00867595">
          <w:rPr>
            <w:rStyle w:val="Hyperlink"/>
            <w:szCs w:val="22"/>
          </w:rPr>
          <w:t xml:space="preserve"> website</w:t>
        </w:r>
      </w:hyperlink>
      <w:r w:rsidR="00064168" w:rsidRPr="00867595">
        <w:rPr>
          <w:szCs w:val="22"/>
        </w:rPr>
        <w:t>.</w:t>
      </w:r>
    </w:p>
    <w:p w14:paraId="617E7397" w14:textId="65DFBAB6" w:rsidR="00064168" w:rsidRDefault="00064168" w:rsidP="00064168">
      <w:pPr>
        <w:rPr>
          <w:rStyle w:val="Hyperlink"/>
          <w:szCs w:val="22"/>
        </w:rPr>
      </w:pPr>
      <w:r w:rsidRPr="00867595">
        <w:rPr>
          <w:szCs w:val="22"/>
        </w:rPr>
        <w:t xml:space="preserve">A full copy of the </w:t>
      </w:r>
      <w:r w:rsidR="007D2F25">
        <w:rPr>
          <w:szCs w:val="22"/>
        </w:rPr>
        <w:t xml:space="preserve">Colorectal Surgery </w:t>
      </w:r>
      <w:r w:rsidRPr="00867595">
        <w:rPr>
          <w:szCs w:val="22"/>
        </w:rPr>
        <w:t>Clinical Committee's final report can be found in the</w:t>
      </w:r>
      <w:r w:rsidRPr="00867595">
        <w:rPr>
          <w:rStyle w:val="Strong"/>
          <w:szCs w:val="22"/>
        </w:rPr>
        <w:t xml:space="preserve"> </w:t>
      </w:r>
      <w:hyperlink r:id="rId14" w:history="1">
        <w:r w:rsidRPr="00510029">
          <w:rPr>
            <w:rStyle w:val="Hyperlink"/>
            <w:szCs w:val="22"/>
          </w:rPr>
          <w:t>Clinical Committee</w:t>
        </w:r>
        <w:r w:rsidR="00D52EF0" w:rsidRPr="00510029">
          <w:rPr>
            <w:rStyle w:val="Hyperlink"/>
            <w:szCs w:val="22"/>
          </w:rPr>
          <w:t xml:space="preserve"> </w:t>
        </w:r>
        <w:r w:rsidRPr="00510029">
          <w:rPr>
            <w:rStyle w:val="Hyperlink"/>
            <w:szCs w:val="22"/>
          </w:rPr>
          <w:t>section</w:t>
        </w:r>
      </w:hyperlink>
      <w:r w:rsidRPr="00D52EF0">
        <w:rPr>
          <w:color w:val="auto"/>
          <w:szCs w:val="22"/>
        </w:rPr>
        <w:t xml:space="preserve"> </w:t>
      </w:r>
      <w:r w:rsidRPr="00867595">
        <w:rPr>
          <w:szCs w:val="22"/>
        </w:rPr>
        <w:t xml:space="preserve">of the </w:t>
      </w:r>
      <w:hyperlink r:id="rId15" w:history="1">
        <w:r w:rsidRPr="00867595">
          <w:rPr>
            <w:rStyle w:val="Hyperlink"/>
            <w:szCs w:val="22"/>
          </w:rPr>
          <w:t>Department of Health</w:t>
        </w:r>
        <w:r w:rsidR="00F85AFE">
          <w:rPr>
            <w:rStyle w:val="Hyperlink"/>
            <w:szCs w:val="22"/>
          </w:rPr>
          <w:t xml:space="preserve"> and Aged Care</w:t>
        </w:r>
        <w:r w:rsidRPr="00867595">
          <w:rPr>
            <w:rStyle w:val="Hyperlink"/>
            <w:szCs w:val="22"/>
          </w:rPr>
          <w:t xml:space="preserve"> website</w:t>
        </w:r>
      </w:hyperlink>
      <w:bookmarkEnd w:id="2"/>
      <w:r w:rsidR="007D2F25">
        <w:rPr>
          <w:rStyle w:val="Hyperlink"/>
          <w:szCs w:val="22"/>
        </w:rPr>
        <w:t>.</w:t>
      </w:r>
    </w:p>
    <w:p w14:paraId="4E5DFD10" w14:textId="341542F7" w:rsidR="00614DAD" w:rsidRPr="00887457" w:rsidRDefault="00B66F4F" w:rsidP="00064168">
      <w:r w:rsidRPr="00B66F4F">
        <w:t xml:space="preserve">The listing was announced </w:t>
      </w:r>
      <w:r>
        <w:t xml:space="preserve">by the Australian Government </w:t>
      </w:r>
      <w:r w:rsidRPr="00B66F4F">
        <w:t>as part of the 2023-24 Budget</w:t>
      </w:r>
      <w:r>
        <w:t>.</w:t>
      </w:r>
    </w:p>
    <w:p w14:paraId="4B2559AC" w14:textId="4F013277" w:rsidR="00064168" w:rsidRDefault="00064168" w:rsidP="00064168">
      <w:pPr>
        <w:pStyle w:val="Heading2"/>
      </w:pPr>
      <w:r>
        <w:t>What does this mean for providers</w:t>
      </w:r>
      <w:r w:rsidR="0056487F">
        <w:t>?</w:t>
      </w:r>
    </w:p>
    <w:p w14:paraId="45589A2E" w14:textId="5866BB6A" w:rsidR="00E3537F" w:rsidRPr="00924A28" w:rsidRDefault="0025019C" w:rsidP="00924A28">
      <w:pPr>
        <w:rPr>
          <w:rFonts w:cs="Arial"/>
          <w:szCs w:val="22"/>
        </w:rPr>
      </w:pPr>
      <w:r w:rsidRPr="00924A28">
        <w:rPr>
          <w:rFonts w:cs="Arial"/>
          <w:szCs w:val="22"/>
        </w:rPr>
        <w:t xml:space="preserve">Providers will need to familiarise themselves with the descriptor changes set out below, and any associated rules and explanatory notes. Providers have a responsibility to ensure that services they bill to Medicare fully meet the eligibility requirements outlined in the legislation. </w:t>
      </w:r>
    </w:p>
    <w:p w14:paraId="7F7DA4F7" w14:textId="77777777" w:rsidR="00064168" w:rsidRDefault="00064168" w:rsidP="00064168">
      <w:pPr>
        <w:pStyle w:val="Heading2"/>
      </w:pPr>
      <w:r>
        <w:t>How will these changes affect patients</w:t>
      </w:r>
      <w:r w:rsidRPr="001A7FB7">
        <w:t>?</w:t>
      </w:r>
    </w:p>
    <w:p w14:paraId="5104C3FF" w14:textId="0BA77064" w:rsidR="00DA4497" w:rsidRPr="00BB058B" w:rsidRDefault="00600E1A" w:rsidP="00064168">
      <w:r>
        <w:t>The changes will ensure that patients with external rectal prolapse will continue to h</w:t>
      </w:r>
      <w:r w:rsidR="007C3440">
        <w:t>ave access to affordable MIVR services.</w:t>
      </w:r>
      <w:r w:rsidR="00991A2F">
        <w:t xml:space="preserve"> </w:t>
      </w:r>
      <w:r w:rsidR="007C3440" w:rsidRPr="0054047F">
        <w:t xml:space="preserve">The changes will also </w:t>
      </w:r>
      <w:r w:rsidR="003D6833" w:rsidRPr="0054047F">
        <w:t xml:space="preserve">provide access to </w:t>
      </w:r>
      <w:r w:rsidR="00380B38" w:rsidRPr="0054047F">
        <w:t xml:space="preserve">MIVR procedures for patients with </w:t>
      </w:r>
      <w:r w:rsidR="00257CF4" w:rsidRPr="0054047F">
        <w:t>high grade re</w:t>
      </w:r>
      <w:r w:rsidR="00827032" w:rsidRPr="0054047F">
        <w:t>c</w:t>
      </w:r>
      <w:r w:rsidR="00257CF4" w:rsidRPr="0054047F">
        <w:t xml:space="preserve">tal intussusception with severe symptoms </w:t>
      </w:r>
      <w:r w:rsidR="00827032" w:rsidRPr="0054047F">
        <w:t>who have failed to improve with conservative management.</w:t>
      </w:r>
    </w:p>
    <w:p w14:paraId="5BD9BE80" w14:textId="77777777" w:rsidR="00064168" w:rsidRDefault="00064168" w:rsidP="00064168">
      <w:pPr>
        <w:pStyle w:val="Heading2"/>
      </w:pPr>
      <w:r w:rsidRPr="001A7FB7">
        <w:t>Who was consulted on the changes?</w:t>
      </w:r>
    </w:p>
    <w:p w14:paraId="154E2A71" w14:textId="72C61632" w:rsidR="00736C77" w:rsidRDefault="00736C77" w:rsidP="00333315">
      <w:r>
        <w:t xml:space="preserve">The Colorectal Surgery Clinical Committee was established </w:t>
      </w:r>
      <w:r w:rsidR="00EC5CD1">
        <w:t xml:space="preserve">by the Taskforce </w:t>
      </w:r>
      <w:r>
        <w:t xml:space="preserve">in May 2018 to provide broad clinician and consumer expertise. The </w:t>
      </w:r>
      <w:r w:rsidR="006A0231">
        <w:t>clinical committee released i</w:t>
      </w:r>
      <w:r w:rsidR="00EC5CD1">
        <w:t>t</w:t>
      </w:r>
      <w:r w:rsidR="006A0231">
        <w:t xml:space="preserve">s recommendations for </w:t>
      </w:r>
      <w:r>
        <w:t>public consultation</w:t>
      </w:r>
      <w:r w:rsidR="00923561">
        <w:t xml:space="preserve"> and considered f</w:t>
      </w:r>
      <w:r w:rsidR="00333315">
        <w:t xml:space="preserve">eedback from stakeholders </w:t>
      </w:r>
      <w:r>
        <w:t>prior to making its final recommendations to the Taskforce.</w:t>
      </w:r>
    </w:p>
    <w:p w14:paraId="48E63893" w14:textId="102814EC" w:rsidR="004D1AEC" w:rsidRDefault="00736C77" w:rsidP="00064168">
      <w:r>
        <w:t xml:space="preserve">Following the MBS Review, the </w:t>
      </w:r>
      <w:r w:rsidR="00333315" w:rsidRPr="00965597">
        <w:t>d</w:t>
      </w:r>
      <w:r w:rsidRPr="00965597">
        <w:t xml:space="preserve">epartment worked with relevant stakeholders through the Colorectal Surgery Implementation Liaison Group (ILG) to support the effective implementation of changes to the colorectal surgery MBS </w:t>
      </w:r>
      <w:r w:rsidR="00B505CC" w:rsidRPr="00965597">
        <w:t>items and</w:t>
      </w:r>
      <w:r w:rsidR="006A2CB9" w:rsidRPr="00965597">
        <w:t xml:space="preserve"> consulted</w:t>
      </w:r>
      <w:r w:rsidR="006A2CB9">
        <w:t xml:space="preserve"> with members of the ILG regarding the </w:t>
      </w:r>
      <w:r w:rsidR="0097205F">
        <w:t xml:space="preserve">introduction of </w:t>
      </w:r>
      <w:r w:rsidR="007613D8">
        <w:t>an item for MIVR.</w:t>
      </w:r>
    </w:p>
    <w:p w14:paraId="3A61949E" w14:textId="0DF17F54" w:rsidR="00041304" w:rsidRPr="005C208E" w:rsidRDefault="00736C77" w:rsidP="00064168">
      <w:r>
        <w:t xml:space="preserve">The ILG </w:t>
      </w:r>
      <w:r w:rsidRPr="00590978">
        <w:t>included representatives</w:t>
      </w:r>
      <w:r>
        <w:t xml:space="preserve"> from the Colorectal Surg</w:t>
      </w:r>
      <w:r w:rsidR="00604422">
        <w:t>ical</w:t>
      </w:r>
      <w:r>
        <w:t xml:space="preserve"> Society of Australia and New Zealand,</w:t>
      </w:r>
      <w:r w:rsidR="00E82889">
        <w:t xml:space="preserve"> </w:t>
      </w:r>
      <w:r w:rsidR="008D0489">
        <w:t xml:space="preserve">Australian Medical Association, </w:t>
      </w:r>
      <w:r w:rsidR="00B015CC">
        <w:t>Gastroenterological Society of Australia</w:t>
      </w:r>
      <w:r w:rsidR="007D76AC">
        <w:t>,</w:t>
      </w:r>
      <w:r w:rsidR="00B015CC">
        <w:t xml:space="preserve"> </w:t>
      </w:r>
      <w:r>
        <w:t>Royal Austral</w:t>
      </w:r>
      <w:r w:rsidR="007D76AC">
        <w:t>asian</w:t>
      </w:r>
      <w:r w:rsidR="00D76FD1">
        <w:t xml:space="preserve"> </w:t>
      </w:r>
      <w:r>
        <w:t>College of Surgeons, Royal Australian and New Zealand College of Obstetricians and Gynaecologis</w:t>
      </w:r>
      <w:r w:rsidR="00D76FD1">
        <w:t>ts</w:t>
      </w:r>
      <w:r>
        <w:t xml:space="preserve">, </w:t>
      </w:r>
      <w:r w:rsidR="00377B0C">
        <w:t xml:space="preserve">Australian Association of Stomal Therapy Nurses, </w:t>
      </w:r>
      <w:r>
        <w:t xml:space="preserve">Consumers Health Forum of Australia, </w:t>
      </w:r>
      <w:r w:rsidRPr="005C208E">
        <w:t xml:space="preserve">private </w:t>
      </w:r>
      <w:proofErr w:type="gramStart"/>
      <w:r w:rsidRPr="005C208E">
        <w:t>hospital</w:t>
      </w:r>
      <w:proofErr w:type="gramEnd"/>
      <w:r w:rsidRPr="005C208E">
        <w:t xml:space="preserve"> and private health insurance sectors.</w:t>
      </w:r>
    </w:p>
    <w:p w14:paraId="3BC56541" w14:textId="1E9DE02D" w:rsidR="00377B0C" w:rsidRDefault="00A70094" w:rsidP="00064168">
      <w:r w:rsidRPr="0054047F">
        <w:lastRenderedPageBreak/>
        <w:t>MSAC</w:t>
      </w:r>
      <w:r w:rsidR="00CB75B0" w:rsidRPr="0054047F">
        <w:t xml:space="preserve"> </w:t>
      </w:r>
      <w:r w:rsidR="00D83814" w:rsidRPr="0054047F">
        <w:t>A</w:t>
      </w:r>
      <w:r w:rsidR="00B81857" w:rsidRPr="0054047F">
        <w:t xml:space="preserve">pplication </w:t>
      </w:r>
      <w:r w:rsidR="00D83814" w:rsidRPr="0054047F">
        <w:t xml:space="preserve">1685 </w:t>
      </w:r>
      <w:r w:rsidR="00B81857" w:rsidRPr="0054047F">
        <w:t xml:space="preserve">was released for </w:t>
      </w:r>
      <w:r w:rsidR="00445DFE" w:rsidRPr="0054047F">
        <w:t>public consultation</w:t>
      </w:r>
      <w:r w:rsidR="00C977AB" w:rsidRPr="0054047F">
        <w:t>,</w:t>
      </w:r>
      <w:r w:rsidR="00B505CC" w:rsidRPr="0054047F">
        <w:t xml:space="preserve"> and </w:t>
      </w:r>
      <w:r w:rsidR="003C5DCE" w:rsidRPr="0054047F">
        <w:t xml:space="preserve">the </w:t>
      </w:r>
      <w:r w:rsidR="00B505CC" w:rsidRPr="0054047F">
        <w:t xml:space="preserve">feedback </w:t>
      </w:r>
      <w:r w:rsidR="00C977AB" w:rsidRPr="0054047F">
        <w:t xml:space="preserve">received </w:t>
      </w:r>
      <w:r w:rsidR="00B505CC" w:rsidRPr="0054047F">
        <w:t xml:space="preserve">was considered </w:t>
      </w:r>
      <w:r w:rsidRPr="0054047F">
        <w:t xml:space="preserve">as part of the </w:t>
      </w:r>
      <w:r w:rsidR="00756358" w:rsidRPr="0054047F">
        <w:t xml:space="preserve">MSAC </w:t>
      </w:r>
      <w:r w:rsidRPr="0054047F">
        <w:t>assessment proces</w:t>
      </w:r>
      <w:r w:rsidR="0054047F" w:rsidRPr="0054047F">
        <w:t>s.</w:t>
      </w:r>
    </w:p>
    <w:p w14:paraId="32E82B19" w14:textId="77777777" w:rsidR="00064168" w:rsidRDefault="00064168" w:rsidP="00064168">
      <w:pPr>
        <w:pStyle w:val="Heading2"/>
      </w:pPr>
      <w:r w:rsidRPr="001A7FB7">
        <w:t>How will the changes be monitored</w:t>
      </w:r>
      <w:r>
        <w:t xml:space="preserve"> and reviewed</w:t>
      </w:r>
      <w:r w:rsidRPr="001A7FB7">
        <w:t>?</w:t>
      </w:r>
    </w:p>
    <w:p w14:paraId="3619FE78" w14:textId="5D38009F" w:rsidR="00941CEC" w:rsidRPr="00DD6651" w:rsidRDefault="00DD6651" w:rsidP="00064168">
      <w:pPr>
        <w:rPr>
          <w:szCs w:val="22"/>
        </w:rPr>
      </w:pPr>
      <w:r w:rsidRPr="00DD6651">
        <w:rPr>
          <w:szCs w:val="22"/>
        </w:rPr>
        <w:t xml:space="preserve">Following implementation, the </w:t>
      </w:r>
      <w:r w:rsidR="00941CEC" w:rsidRPr="00DD6651">
        <w:t xml:space="preserve">department </w:t>
      </w:r>
      <w:r w:rsidR="00B142B4" w:rsidRPr="00DD6651">
        <w:t>will monitor and review</w:t>
      </w:r>
      <w:r>
        <w:t xml:space="preserve"> the</w:t>
      </w:r>
      <w:r w:rsidRPr="00DD6651">
        <w:t xml:space="preserve"> </w:t>
      </w:r>
      <w:r w:rsidR="00B142B4" w:rsidRPr="00DD6651">
        <w:t xml:space="preserve">use of </w:t>
      </w:r>
      <w:r w:rsidRPr="00DD6651">
        <w:t>this item.</w:t>
      </w:r>
    </w:p>
    <w:p w14:paraId="376C28E9" w14:textId="2B766DF7" w:rsidR="005745A2" w:rsidRPr="00DD6651" w:rsidRDefault="00EF7728" w:rsidP="00064168">
      <w:pPr>
        <w:rPr>
          <w:szCs w:val="22"/>
        </w:rPr>
      </w:pPr>
      <w:r w:rsidRPr="00DD6651">
        <w:rPr>
          <w:szCs w:val="22"/>
        </w:rPr>
        <w:t xml:space="preserve">All </w:t>
      </w:r>
      <w:r w:rsidR="00B471E0" w:rsidRPr="00DD6651">
        <w:rPr>
          <w:szCs w:val="22"/>
        </w:rPr>
        <w:t>colorectal surgery items will continue to be</w:t>
      </w:r>
      <w:r w:rsidR="005745A2" w:rsidRPr="00DD6651">
        <w:rPr>
          <w:szCs w:val="22"/>
        </w:rPr>
        <w:t xml:space="preserve"> subject to MBS compliance processes and activities, including random and targeted audits, which may require a provider to submit evidence about the services claimed.</w:t>
      </w:r>
    </w:p>
    <w:p w14:paraId="5220CAE2" w14:textId="66C160B7" w:rsidR="00EF7728" w:rsidRPr="00867595" w:rsidRDefault="004E5D7C" w:rsidP="00064168">
      <w:pPr>
        <w:rPr>
          <w:szCs w:val="22"/>
        </w:rPr>
      </w:pPr>
      <w:r w:rsidRPr="00DD6651">
        <w:t xml:space="preserve">Significant variation from forecasted expenditure may warrant review and amendment of </w:t>
      </w:r>
      <w:r w:rsidR="00731957">
        <w:t xml:space="preserve">the item and/or its </w:t>
      </w:r>
      <w:r w:rsidRPr="00DD6651">
        <w:t>fee, and incorrect use of MBS items can result in penalties including the health professional being asked to repay monies that have been incorrectly received.</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6"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7"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8"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9" w:history="1">
        <w:r>
          <w:rPr>
            <w:rStyle w:val="Hyperlink"/>
          </w:rPr>
          <w:t>www.privatehealth.gov.au</w:t>
        </w:r>
      </w:hyperlink>
      <w:r>
        <w:t xml:space="preserve">. Detailed information on the MBS item listing within clinical categories is available on the </w:t>
      </w:r>
      <w:hyperlink r:id="rId20"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21"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22"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23"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24" w:history="1">
        <w:r w:rsidRPr="00867595">
          <w:rPr>
            <w:rStyle w:val="Hyperlink"/>
            <w:szCs w:val="22"/>
          </w:rPr>
          <w:t>Downloads</w:t>
        </w:r>
      </w:hyperlink>
      <w:r w:rsidRPr="00867595">
        <w:rPr>
          <w:szCs w:val="22"/>
        </w:rPr>
        <w:t xml:space="preserve"> page.</w:t>
      </w:r>
    </w:p>
    <w:p w14:paraId="3ED186FD" w14:textId="77777777" w:rsidR="00223696" w:rsidRDefault="00223696">
      <w:pPr>
        <w:spacing w:before="0" w:after="0" w:line="240" w:lineRule="auto"/>
        <w:rPr>
          <w:rFonts w:cs="Arial"/>
          <w:b/>
          <w:bCs/>
          <w:iCs/>
          <w:color w:val="358189"/>
          <w:sz w:val="36"/>
          <w:szCs w:val="28"/>
        </w:rPr>
      </w:pPr>
      <w:r>
        <w:br w:type="page"/>
      </w:r>
    </w:p>
    <w:p w14:paraId="6D6EB19D" w14:textId="410EEA60" w:rsidR="00BE3ED5" w:rsidRDefault="00BE3ED5" w:rsidP="00BE3ED5">
      <w:pPr>
        <w:pStyle w:val="Heading2"/>
      </w:pPr>
      <w:r w:rsidRPr="007A32E7">
        <w:lastRenderedPageBreak/>
        <w:t>Amended item descriptor (</w:t>
      </w:r>
      <w:r w:rsidR="00DD7EF9">
        <w:t>from</w:t>
      </w:r>
      <w:r w:rsidRPr="007A32E7">
        <w:t xml:space="preserve"> </w:t>
      </w:r>
      <w:r w:rsidR="0027061C">
        <w:t>1 March 2024</w:t>
      </w:r>
      <w:r w:rsidRPr="007A32E7">
        <w:t>)</w:t>
      </w:r>
    </w:p>
    <w:tbl>
      <w:tblPr>
        <w:tblStyle w:val="GridTable4-Accent2"/>
        <w:tblW w:w="9356" w:type="dxa"/>
        <w:tblInd w:w="-147" w:type="dxa"/>
        <w:tblLook w:val="04A0" w:firstRow="1" w:lastRow="0" w:firstColumn="1" w:lastColumn="0" w:noHBand="0" w:noVBand="1"/>
      </w:tblPr>
      <w:tblGrid>
        <w:gridCol w:w="9356"/>
      </w:tblGrid>
      <w:tr w:rsidR="00BE3ED5" w14:paraId="148B360C" w14:textId="77777777" w:rsidTr="00DA4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56" w:type="dxa"/>
            <w:hideMark/>
          </w:tcPr>
          <w:p w14:paraId="4AA0C3FA" w14:textId="08FF7AB0" w:rsidR="00BE3ED5" w:rsidRDefault="008437CA" w:rsidP="000F29A4">
            <w:pPr>
              <w:rPr>
                <w:b w:val="0"/>
                <w:bCs w:val="0"/>
                <w:lang w:eastAsia="en-AU"/>
              </w:rPr>
            </w:pPr>
            <w:bookmarkStart w:id="4" w:name="_Hlk118987208"/>
            <w:r>
              <w:rPr>
                <w:lang w:eastAsia="en-AU"/>
              </w:rPr>
              <w:t>Category</w:t>
            </w:r>
            <w:r w:rsidR="00AF071D">
              <w:rPr>
                <w:lang w:eastAsia="en-AU"/>
              </w:rPr>
              <w:t xml:space="preserve"> 3</w:t>
            </w:r>
            <w:r w:rsidR="00FF081C">
              <w:rPr>
                <w:lang w:eastAsia="en-AU"/>
              </w:rPr>
              <w:t xml:space="preserve"> – Therapeutic Procedures</w:t>
            </w:r>
          </w:p>
        </w:tc>
      </w:tr>
      <w:tr w:rsidR="00BE3ED5" w14:paraId="4C44E092" w14:textId="77777777" w:rsidTr="00DA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hideMark/>
          </w:tcPr>
          <w:p w14:paraId="3BA5373D" w14:textId="31F3FB1D" w:rsidR="00BE3ED5" w:rsidRDefault="008437CA" w:rsidP="000F29A4">
            <w:pPr>
              <w:rPr>
                <w:b w:val="0"/>
                <w:bCs w:val="0"/>
                <w:lang w:eastAsia="en-AU"/>
              </w:rPr>
            </w:pPr>
            <w:r>
              <w:rPr>
                <w:lang w:eastAsia="en-AU"/>
              </w:rPr>
              <w:t>Group</w:t>
            </w:r>
            <w:r w:rsidR="00F74C41">
              <w:rPr>
                <w:lang w:eastAsia="en-AU"/>
              </w:rPr>
              <w:t xml:space="preserve"> T8 – Surgical Operations</w:t>
            </w:r>
          </w:p>
        </w:tc>
      </w:tr>
      <w:tr w:rsidR="00642F20" w14:paraId="3DDFF680" w14:textId="77777777" w:rsidTr="00DA4857">
        <w:tc>
          <w:tcPr>
            <w:cnfStyle w:val="001000000000" w:firstRow="0" w:lastRow="0" w:firstColumn="1" w:lastColumn="0" w:oddVBand="0" w:evenVBand="0" w:oddHBand="0" w:evenHBand="0" w:firstRowFirstColumn="0" w:firstRowLastColumn="0" w:lastRowFirstColumn="0" w:lastRowLastColumn="0"/>
            <w:tcW w:w="9356" w:type="dxa"/>
            <w:hideMark/>
          </w:tcPr>
          <w:p w14:paraId="7D263584" w14:textId="50EA43B2" w:rsidR="00642F20" w:rsidRPr="00642F20" w:rsidRDefault="00642F20" w:rsidP="00642F20">
            <w:pPr>
              <w:pStyle w:val="Tabletextleft"/>
              <w:rPr>
                <w:b/>
              </w:rPr>
            </w:pPr>
            <w:r w:rsidRPr="00642F20">
              <w:rPr>
                <w:b/>
              </w:rPr>
              <w:t>Subgroup</w:t>
            </w:r>
            <w:r w:rsidR="00F74C41">
              <w:rPr>
                <w:b/>
              </w:rPr>
              <w:t xml:space="preserve"> 2 – Colorectal </w:t>
            </w:r>
          </w:p>
        </w:tc>
      </w:tr>
      <w:tr w:rsidR="00642F20" w14:paraId="25FF7AAD" w14:textId="77777777" w:rsidTr="00DA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hideMark/>
          </w:tcPr>
          <w:p w14:paraId="5C629A1C" w14:textId="4BA54491" w:rsidR="004455ED" w:rsidRPr="0069672E" w:rsidRDefault="004455ED" w:rsidP="00642F20">
            <w:pPr>
              <w:rPr>
                <w:strike/>
              </w:rPr>
            </w:pPr>
            <w:r w:rsidRPr="0069672E">
              <w:rPr>
                <w:b w:val="0"/>
                <w:bCs w:val="0"/>
                <w:strike/>
              </w:rPr>
              <w:t>32118</w:t>
            </w:r>
            <w:r w:rsidR="0069672E" w:rsidRPr="0069672E">
              <w:rPr>
                <w:b w:val="0"/>
                <w:bCs w:val="0"/>
                <w:strike/>
              </w:rPr>
              <w:t xml:space="preserve"> (Temporary item)</w:t>
            </w:r>
          </w:p>
          <w:p w14:paraId="0DDFF3E6" w14:textId="1235FE2B" w:rsidR="0069672E" w:rsidRPr="0069672E" w:rsidRDefault="0069672E" w:rsidP="0069672E">
            <w:pPr>
              <w:rPr>
                <w:strike/>
              </w:rPr>
            </w:pPr>
            <w:r w:rsidRPr="0069672E">
              <w:rPr>
                <w:strike/>
              </w:rPr>
              <w:t>Rectal prolapse, ventral mesh rectopexy of, not being a service associated with a service to which item 32025, 32026 or 32117 applies (H) (</w:t>
            </w:r>
            <w:proofErr w:type="spellStart"/>
            <w:r w:rsidRPr="0069672E">
              <w:rPr>
                <w:strike/>
              </w:rPr>
              <w:t>Anaes</w:t>
            </w:r>
            <w:proofErr w:type="spellEnd"/>
            <w:r w:rsidRPr="0069672E">
              <w:rPr>
                <w:strike/>
              </w:rPr>
              <w:t>.) (Assist.)</w:t>
            </w:r>
          </w:p>
          <w:p w14:paraId="4BB00203" w14:textId="1E96C34E" w:rsidR="004455ED" w:rsidRPr="0069672E" w:rsidRDefault="0069672E" w:rsidP="0069672E">
            <w:pPr>
              <w:rPr>
                <w:b w:val="0"/>
                <w:bCs w:val="0"/>
                <w:strike/>
              </w:rPr>
            </w:pPr>
            <w:r w:rsidRPr="0069672E">
              <w:rPr>
                <w:b w:val="0"/>
                <w:bCs w:val="0"/>
                <w:strike/>
              </w:rPr>
              <w:t xml:space="preserve">Fee: $1,382.70 </w:t>
            </w:r>
            <w:r w:rsidR="00C7241F">
              <w:rPr>
                <w:b w:val="0"/>
                <w:bCs w:val="0"/>
                <w:strike/>
              </w:rPr>
              <w:t xml:space="preserve">    </w:t>
            </w:r>
            <w:r w:rsidRPr="0069672E">
              <w:rPr>
                <w:b w:val="0"/>
                <w:bCs w:val="0"/>
                <w:strike/>
              </w:rPr>
              <w:t>Benefit: 75% = $1,037.05</w:t>
            </w:r>
          </w:p>
          <w:p w14:paraId="3625E81A" w14:textId="77777777" w:rsidR="004455ED" w:rsidRDefault="004455ED" w:rsidP="00642F20"/>
          <w:p w14:paraId="4B940370" w14:textId="762C2329" w:rsidR="00642F20" w:rsidRPr="0071298B" w:rsidRDefault="00F74C41" w:rsidP="00642F20">
            <w:r w:rsidRPr="0071298B">
              <w:t>32118</w:t>
            </w:r>
            <w:r w:rsidR="008F496D">
              <w:t xml:space="preserve"> (New item)</w:t>
            </w:r>
          </w:p>
          <w:p w14:paraId="67E6B15D" w14:textId="77777777" w:rsidR="009912D9" w:rsidRPr="00DA4857" w:rsidRDefault="009912D9" w:rsidP="009912D9">
            <w:pPr>
              <w:pStyle w:val="Tabletext0"/>
              <w:rPr>
                <w:rFonts w:ascii="Arial" w:hAnsi="Arial" w:cs="Arial"/>
                <w:b w:val="0"/>
                <w:bCs w:val="0"/>
                <w:sz w:val="22"/>
                <w:szCs w:val="22"/>
              </w:rPr>
            </w:pPr>
            <w:r w:rsidRPr="00DA4857">
              <w:rPr>
                <w:rFonts w:ascii="Arial" w:hAnsi="Arial" w:cs="Arial"/>
                <w:b w:val="0"/>
                <w:bCs w:val="0"/>
                <w:sz w:val="22"/>
                <w:szCs w:val="22"/>
              </w:rPr>
              <w:t>Treatment of external rectal prolapse, or of symptomatic high grade rectal intussusception (the rectum descends to the level of or into the anal canal, confirmed by diagnostic imaging):</w:t>
            </w:r>
          </w:p>
          <w:p w14:paraId="182F31E7" w14:textId="77777777" w:rsidR="009912D9" w:rsidRPr="00DA4857" w:rsidRDefault="009912D9" w:rsidP="009912D9">
            <w:pPr>
              <w:pStyle w:val="Tablea"/>
              <w:rPr>
                <w:rFonts w:ascii="Arial" w:hAnsi="Arial" w:cs="Arial"/>
                <w:b w:val="0"/>
                <w:bCs w:val="0"/>
                <w:sz w:val="22"/>
                <w:szCs w:val="22"/>
              </w:rPr>
            </w:pPr>
            <w:r w:rsidRPr="00DA4857">
              <w:rPr>
                <w:rFonts w:ascii="Arial" w:hAnsi="Arial" w:cs="Arial"/>
                <w:b w:val="0"/>
                <w:bCs w:val="0"/>
                <w:sz w:val="22"/>
                <w:szCs w:val="22"/>
              </w:rPr>
              <w:t>(a) by minimally invasive surgery involving:</w:t>
            </w:r>
          </w:p>
          <w:p w14:paraId="659A1AB8" w14:textId="77777777" w:rsidR="009912D9" w:rsidRPr="00DA4857" w:rsidRDefault="009912D9" w:rsidP="009912D9">
            <w:pPr>
              <w:pStyle w:val="Tablei"/>
              <w:rPr>
                <w:rFonts w:ascii="Arial" w:hAnsi="Arial" w:cs="Arial"/>
                <w:b w:val="0"/>
                <w:bCs w:val="0"/>
                <w:sz w:val="22"/>
                <w:szCs w:val="22"/>
              </w:rPr>
            </w:pPr>
            <w:r w:rsidRPr="00DA4857">
              <w:rPr>
                <w:rFonts w:ascii="Arial" w:hAnsi="Arial" w:cs="Arial"/>
                <w:b w:val="0"/>
                <w:bCs w:val="0"/>
                <w:sz w:val="22"/>
                <w:szCs w:val="22"/>
              </w:rPr>
              <w:t>(</w:t>
            </w:r>
            <w:proofErr w:type="spellStart"/>
            <w:r w:rsidRPr="00DA4857">
              <w:rPr>
                <w:rFonts w:ascii="Arial" w:hAnsi="Arial" w:cs="Arial"/>
                <w:b w:val="0"/>
                <w:bCs w:val="0"/>
                <w:sz w:val="22"/>
                <w:szCs w:val="22"/>
              </w:rPr>
              <w:t>i</w:t>
            </w:r>
            <w:proofErr w:type="spellEnd"/>
            <w:r w:rsidRPr="00DA4857">
              <w:rPr>
                <w:rFonts w:ascii="Arial" w:hAnsi="Arial" w:cs="Arial"/>
                <w:b w:val="0"/>
                <w:bCs w:val="0"/>
                <w:sz w:val="22"/>
                <w:szCs w:val="22"/>
              </w:rPr>
              <w:t>) ventral dissection of the extra-peritoneal rectum; and</w:t>
            </w:r>
          </w:p>
          <w:p w14:paraId="640000B3" w14:textId="77777777" w:rsidR="009912D9" w:rsidRPr="00DA4857" w:rsidRDefault="009912D9" w:rsidP="009912D9">
            <w:pPr>
              <w:pStyle w:val="Tablei"/>
              <w:rPr>
                <w:rFonts w:ascii="Arial" w:hAnsi="Arial" w:cs="Arial"/>
                <w:b w:val="0"/>
                <w:bCs w:val="0"/>
                <w:sz w:val="22"/>
                <w:szCs w:val="22"/>
              </w:rPr>
            </w:pPr>
            <w:r w:rsidRPr="00DA4857">
              <w:rPr>
                <w:rFonts w:ascii="Arial" w:hAnsi="Arial" w:cs="Arial"/>
                <w:b w:val="0"/>
                <w:bCs w:val="0"/>
                <w:sz w:val="22"/>
                <w:szCs w:val="22"/>
              </w:rPr>
              <w:t>(ii) suspension of the rectum from the sacral promontory by means of a prosthesis; and</w:t>
            </w:r>
          </w:p>
          <w:p w14:paraId="6F27B688" w14:textId="77777777" w:rsidR="009912D9" w:rsidRPr="00DA4857" w:rsidRDefault="009912D9" w:rsidP="009912D9">
            <w:pPr>
              <w:pStyle w:val="Tablea"/>
              <w:rPr>
                <w:rFonts w:ascii="Arial" w:hAnsi="Arial" w:cs="Arial"/>
                <w:b w:val="0"/>
                <w:bCs w:val="0"/>
                <w:sz w:val="22"/>
                <w:szCs w:val="22"/>
              </w:rPr>
            </w:pPr>
            <w:r w:rsidRPr="00DA4857">
              <w:rPr>
                <w:rFonts w:ascii="Arial" w:hAnsi="Arial" w:cs="Arial"/>
                <w:b w:val="0"/>
                <w:bCs w:val="0"/>
                <w:sz w:val="22"/>
                <w:szCs w:val="22"/>
              </w:rPr>
              <w:t>(b) including suspension of the vagina if performed, and any associated repair;</w:t>
            </w:r>
          </w:p>
          <w:p w14:paraId="0D7255F8" w14:textId="4F1AB916" w:rsidR="009912D9" w:rsidRDefault="009912D9" w:rsidP="009912D9">
            <w:pPr>
              <w:rPr>
                <w:rFonts w:cs="Arial"/>
                <w:szCs w:val="22"/>
              </w:rPr>
            </w:pPr>
            <w:r w:rsidRPr="00DA4857">
              <w:rPr>
                <w:rFonts w:cs="Arial"/>
                <w:b w:val="0"/>
                <w:bCs w:val="0"/>
                <w:szCs w:val="22"/>
              </w:rPr>
              <w:t>other than a service associated with a service to which item 30390, 35595 or 35597 applies (H) (</w:t>
            </w:r>
            <w:proofErr w:type="spellStart"/>
            <w:r w:rsidRPr="00DA4857">
              <w:rPr>
                <w:rFonts w:cs="Arial"/>
                <w:b w:val="0"/>
                <w:bCs w:val="0"/>
                <w:szCs w:val="22"/>
              </w:rPr>
              <w:t>Anaes</w:t>
            </w:r>
            <w:proofErr w:type="spellEnd"/>
            <w:r w:rsidRPr="00DA4857">
              <w:rPr>
                <w:rFonts w:cs="Arial"/>
                <w:b w:val="0"/>
                <w:bCs w:val="0"/>
                <w:szCs w:val="22"/>
              </w:rPr>
              <w:t>.) (Assist.)</w:t>
            </w:r>
            <w:r w:rsidR="00E27165">
              <w:rPr>
                <w:rFonts w:cs="Arial"/>
                <w:szCs w:val="22"/>
              </w:rPr>
              <w:br/>
            </w:r>
            <w:r w:rsidR="0069672E">
              <w:rPr>
                <w:rFonts w:cs="Arial"/>
                <w:b w:val="0"/>
                <w:bCs w:val="0"/>
                <w:szCs w:val="22"/>
              </w:rPr>
              <w:br/>
            </w:r>
            <w:r>
              <w:rPr>
                <w:rFonts w:cs="Arial"/>
                <w:b w:val="0"/>
                <w:bCs w:val="0"/>
                <w:szCs w:val="22"/>
              </w:rPr>
              <w:t xml:space="preserve">Fee: $1,621.50   </w:t>
            </w:r>
            <w:r w:rsidR="00C46677">
              <w:rPr>
                <w:rFonts w:cs="Arial"/>
                <w:b w:val="0"/>
                <w:bCs w:val="0"/>
                <w:szCs w:val="22"/>
              </w:rPr>
              <w:t xml:space="preserve">  </w:t>
            </w:r>
            <w:r>
              <w:rPr>
                <w:rFonts w:cs="Arial"/>
                <w:b w:val="0"/>
                <w:bCs w:val="0"/>
                <w:szCs w:val="22"/>
              </w:rPr>
              <w:t xml:space="preserve">Benefit: 75% </w:t>
            </w:r>
            <w:r w:rsidRPr="000F7E27">
              <w:rPr>
                <w:rFonts w:cs="Arial"/>
                <w:b w:val="0"/>
                <w:bCs w:val="0"/>
                <w:szCs w:val="22"/>
              </w:rPr>
              <w:t>= $</w:t>
            </w:r>
            <w:r w:rsidRPr="000F7E27">
              <w:rPr>
                <w:rFonts w:cs="Arial"/>
                <w:b w:val="0"/>
                <w:szCs w:val="22"/>
              </w:rPr>
              <w:t>1</w:t>
            </w:r>
            <w:r w:rsidR="00512EF8">
              <w:rPr>
                <w:rFonts w:cs="Arial"/>
                <w:b w:val="0"/>
                <w:szCs w:val="22"/>
              </w:rPr>
              <w:t>,</w:t>
            </w:r>
            <w:r w:rsidRPr="000F7E27">
              <w:rPr>
                <w:rFonts w:cs="Arial"/>
                <w:b w:val="0"/>
                <w:szCs w:val="22"/>
              </w:rPr>
              <w:t>216.15</w:t>
            </w:r>
            <w:r w:rsidR="0071298B">
              <w:rPr>
                <w:rFonts w:cs="Arial"/>
                <w:b w:val="0"/>
                <w:szCs w:val="22"/>
              </w:rPr>
              <w:br/>
            </w:r>
          </w:p>
          <w:p w14:paraId="43C20DA9" w14:textId="77777777" w:rsidR="009912D9" w:rsidRPr="0071298B" w:rsidRDefault="009912D9" w:rsidP="0071298B">
            <w:pPr>
              <w:pStyle w:val="ListBullet"/>
              <w:numPr>
                <w:ilvl w:val="0"/>
                <w:numId w:val="0"/>
              </w:numPr>
              <w:ind w:left="360" w:hanging="360"/>
            </w:pPr>
            <w:r w:rsidRPr="0071298B">
              <w:t>Private Health Insurance Classification:</w:t>
            </w:r>
          </w:p>
          <w:p w14:paraId="0692F539" w14:textId="77777777" w:rsidR="009912D9" w:rsidRPr="00642F20" w:rsidRDefault="009912D9" w:rsidP="009912D9">
            <w:pPr>
              <w:pStyle w:val="ListBullet"/>
              <w:rPr>
                <w:b w:val="0"/>
                <w:bCs w:val="0"/>
              </w:rPr>
            </w:pPr>
            <w:r w:rsidRPr="00642F20">
              <w:rPr>
                <w:b w:val="0"/>
                <w:bCs w:val="0"/>
              </w:rPr>
              <w:t xml:space="preserve">Clinical category: </w:t>
            </w:r>
            <w:r w:rsidRPr="004763BC">
              <w:rPr>
                <w:b w:val="0"/>
                <w:bCs w:val="0"/>
              </w:rPr>
              <w:t>Digestive system</w:t>
            </w:r>
          </w:p>
          <w:p w14:paraId="4ED6439A" w14:textId="77777777" w:rsidR="009912D9" w:rsidRDefault="009912D9" w:rsidP="009912D9">
            <w:pPr>
              <w:pStyle w:val="ListBullet"/>
            </w:pPr>
            <w:r w:rsidRPr="00642F20">
              <w:rPr>
                <w:b w:val="0"/>
                <w:bCs w:val="0"/>
              </w:rPr>
              <w:t xml:space="preserve">Procedure type: Type </w:t>
            </w:r>
            <w:r>
              <w:rPr>
                <w:b w:val="0"/>
                <w:bCs w:val="0"/>
              </w:rPr>
              <w:t>A Advanced Surgical</w:t>
            </w:r>
          </w:p>
          <w:p w14:paraId="3530B1FD" w14:textId="77777777" w:rsidR="009624EE" w:rsidRDefault="009624EE" w:rsidP="009624EE">
            <w:pPr>
              <w:pStyle w:val="ListBullet"/>
              <w:numPr>
                <w:ilvl w:val="0"/>
                <w:numId w:val="0"/>
              </w:numPr>
              <w:ind w:left="360" w:hanging="360"/>
              <w:rPr>
                <w:b w:val="0"/>
                <w:bCs w:val="0"/>
              </w:rPr>
            </w:pPr>
          </w:p>
          <w:p w14:paraId="4A1E2B4D" w14:textId="24C3F3C5" w:rsidR="009624EE" w:rsidRPr="009624EE" w:rsidRDefault="009624EE" w:rsidP="009624EE">
            <w:pPr>
              <w:pStyle w:val="ListBullet"/>
              <w:numPr>
                <w:ilvl w:val="0"/>
                <w:numId w:val="0"/>
              </w:numPr>
              <w:ind w:left="360" w:hanging="360"/>
              <w:rPr>
                <w:b w:val="0"/>
                <w:bCs w:val="0"/>
              </w:rPr>
            </w:pPr>
            <w:r w:rsidRPr="00C46677">
              <w:t>Explanatory note</w:t>
            </w:r>
            <w:r w:rsidRPr="009624EE">
              <w:rPr>
                <w:b w:val="0"/>
                <w:bCs w:val="0"/>
              </w:rPr>
              <w:t xml:space="preserve">: </w:t>
            </w:r>
          </w:p>
          <w:p w14:paraId="43D66782" w14:textId="2880202C" w:rsidR="009624EE" w:rsidRPr="00C46677" w:rsidRDefault="00C46677" w:rsidP="00C46677">
            <w:pPr>
              <w:pStyle w:val="Tabletext0"/>
              <w:rPr>
                <w:rFonts w:ascii="Arial" w:hAnsi="Arial" w:cs="Arial"/>
                <w:b w:val="0"/>
                <w:bCs w:val="0"/>
                <w:sz w:val="22"/>
                <w:szCs w:val="22"/>
              </w:rPr>
            </w:pPr>
            <w:r w:rsidRPr="00C46677">
              <w:rPr>
                <w:rFonts w:ascii="Arial" w:hAnsi="Arial" w:cs="Arial"/>
                <w:b w:val="0"/>
                <w:bCs w:val="0"/>
                <w:sz w:val="22"/>
                <w:szCs w:val="22"/>
              </w:rPr>
              <w:t>Surgeons performing minimally invasive ventral rectopexy procedures should be colorectal surgeons or general surgeons with a sub-specialist interest in colorectal surgery, with experience in the procedure.</w:t>
            </w:r>
          </w:p>
          <w:p w14:paraId="7CC6E672" w14:textId="77777777" w:rsidR="00512EF8" w:rsidRDefault="00512EF8" w:rsidP="00512EF8">
            <w:pPr>
              <w:pStyle w:val="ListBullet"/>
              <w:numPr>
                <w:ilvl w:val="0"/>
                <w:numId w:val="0"/>
              </w:numPr>
              <w:ind w:left="360"/>
            </w:pPr>
          </w:p>
          <w:p w14:paraId="2BDF063F" w14:textId="6EC36855" w:rsidR="00642F20" w:rsidRPr="00AA6575" w:rsidRDefault="00642F20" w:rsidP="009912D9">
            <w:pPr>
              <w:pStyle w:val="ListBullet"/>
              <w:numPr>
                <w:ilvl w:val="0"/>
                <w:numId w:val="0"/>
              </w:numPr>
              <w:ind w:left="360" w:hanging="360"/>
            </w:pPr>
          </w:p>
        </w:tc>
      </w:tr>
      <w:bookmarkEnd w:id="4"/>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446695BB" w:rsidR="007C31DD" w:rsidRPr="00BE3ED5" w:rsidRDefault="007C31DD" w:rsidP="00DD7EF9">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RPr="00BE3ED5" w:rsidSect="00B53987">
      <w:footerReference w:type="default" r:id="rId25"/>
      <w:headerReference w:type="first" r:id="rId26"/>
      <w:footerReference w:type="first" r:id="rId2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92317" w14:textId="77777777" w:rsidR="00006AFE" w:rsidRDefault="00006AFE" w:rsidP="006B56BB">
      <w:r>
        <w:separator/>
      </w:r>
    </w:p>
    <w:p w14:paraId="30D3F290" w14:textId="77777777" w:rsidR="00006AFE" w:rsidRDefault="00006AFE"/>
  </w:endnote>
  <w:endnote w:type="continuationSeparator" w:id="0">
    <w:p w14:paraId="6DE52567" w14:textId="77777777" w:rsidR="00006AFE" w:rsidRDefault="00006AFE" w:rsidP="006B56BB">
      <w:r>
        <w:continuationSeparator/>
      </w:r>
    </w:p>
    <w:p w14:paraId="0AD8CE91" w14:textId="77777777" w:rsidR="00006AFE" w:rsidRDefault="00006AFE"/>
  </w:endnote>
  <w:endnote w:type="continuationNotice" w:id="1">
    <w:p w14:paraId="594F5CCE" w14:textId="77777777" w:rsidR="00006AFE" w:rsidRDefault="00006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864AD7"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2F8307AE" w:rsidR="00F51321" w:rsidRDefault="00DF0D11" w:rsidP="00F51321">
    <w:pPr>
      <w:pStyle w:val="Footer"/>
      <w:tabs>
        <w:tab w:val="clear" w:pos="9026"/>
        <w:tab w:val="right" w:pos="10466"/>
      </w:tabs>
    </w:pPr>
    <w:r>
      <w:rPr>
        <w:b/>
      </w:rPr>
      <w:t xml:space="preserve">Ongoing item </w:t>
    </w:r>
    <w:r w:rsidR="0027061C">
      <w:rPr>
        <w:b/>
      </w:rPr>
      <w:t xml:space="preserve">32118 </w:t>
    </w:r>
    <w:r>
      <w:rPr>
        <w:b/>
      </w:rPr>
      <w:t xml:space="preserve">for minimally invasive </w:t>
    </w:r>
    <w:r w:rsidR="0027061C">
      <w:rPr>
        <w:b/>
      </w:rPr>
      <w:t>ventral rectopexy</w:t>
    </w:r>
    <w:r w:rsidR="00F51321" w:rsidRPr="00E863C4">
      <w:rPr>
        <w:b/>
      </w:rPr>
      <w:t xml:space="preserve"> –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864AD7" w:rsidP="00F51321">
    <w:pPr>
      <w:pStyle w:val="Footer"/>
      <w:jc w:val="left"/>
      <w:rPr>
        <w:rStyle w:val="Hyperlink"/>
        <w:szCs w:val="18"/>
      </w:rPr>
    </w:pPr>
    <w:hyperlink r:id="rId1" w:history="1">
      <w:r w:rsidR="00F51321" w:rsidRPr="00E863C4">
        <w:rPr>
          <w:rStyle w:val="Hyperlink"/>
          <w:szCs w:val="18"/>
        </w:rPr>
        <w:t>MBS Online</w:t>
      </w:r>
    </w:hyperlink>
  </w:p>
  <w:p w14:paraId="0D093570" w14:textId="5C276FF8" w:rsidR="00F51321" w:rsidRPr="009B32BA" w:rsidRDefault="00F51321" w:rsidP="00F51321">
    <w:pPr>
      <w:pStyle w:val="Footer"/>
      <w:jc w:val="left"/>
      <w:rPr>
        <w:szCs w:val="18"/>
      </w:rPr>
    </w:pPr>
    <w:r w:rsidRPr="00A20872">
      <w:t xml:space="preserve">Last updated – </w:t>
    </w:r>
    <w:r w:rsidR="000A0CBD">
      <w:t>2</w:t>
    </w:r>
    <w:r w:rsidR="00402DF8">
      <w:t>5</w:t>
    </w:r>
    <w:r w:rsidR="00A20872">
      <w:t xml:space="preserve"> January 2024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864AD7"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73DA0E16" w:rsidR="00064168" w:rsidRDefault="00B41DE3" w:rsidP="00064168">
    <w:pPr>
      <w:pStyle w:val="Footer"/>
      <w:tabs>
        <w:tab w:val="clear" w:pos="9026"/>
        <w:tab w:val="right" w:pos="10466"/>
      </w:tabs>
    </w:pPr>
    <w:r>
      <w:rPr>
        <w:b/>
      </w:rPr>
      <w:t>Ongoing item 32118 for minimally invasive ventral rectopexy</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864AD7" w:rsidP="00064168">
    <w:pPr>
      <w:pStyle w:val="Footer"/>
      <w:jc w:val="left"/>
      <w:rPr>
        <w:rStyle w:val="Hyperlink"/>
        <w:szCs w:val="18"/>
      </w:rPr>
    </w:pPr>
    <w:hyperlink r:id="rId1" w:history="1">
      <w:r w:rsidR="00064168" w:rsidRPr="00E863C4">
        <w:rPr>
          <w:rStyle w:val="Hyperlink"/>
          <w:szCs w:val="18"/>
        </w:rPr>
        <w:t>MBS Online</w:t>
      </w:r>
    </w:hyperlink>
  </w:p>
  <w:p w14:paraId="03585E81" w14:textId="4693F7F1" w:rsidR="00064168" w:rsidRPr="009B32BA" w:rsidRDefault="00064168" w:rsidP="00064168">
    <w:pPr>
      <w:pStyle w:val="Footer"/>
      <w:jc w:val="left"/>
      <w:rPr>
        <w:szCs w:val="18"/>
      </w:rPr>
    </w:pPr>
    <w:r w:rsidRPr="00A20872">
      <w:t xml:space="preserve">Last updated – </w:t>
    </w:r>
    <w:r w:rsidR="00733C51">
      <w:t>2</w:t>
    </w:r>
    <w:r w:rsidR="00402DF8">
      <w:t>5</w:t>
    </w:r>
    <w:r w:rsidR="00A20872" w:rsidRPr="00A20872">
      <w:t xml:space="preserve"> January </w:t>
    </w:r>
    <w:r w:rsidRPr="00A20872">
      <w:t>20</w:t>
    </w:r>
    <w:r w:rsidR="00A20872" w:rsidRPr="00A20872">
      <w:t>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7E43" w14:textId="77777777" w:rsidR="00006AFE" w:rsidRDefault="00006AFE" w:rsidP="006B56BB">
      <w:r>
        <w:separator/>
      </w:r>
    </w:p>
    <w:p w14:paraId="26A8CFA5" w14:textId="77777777" w:rsidR="00006AFE" w:rsidRDefault="00006AFE"/>
  </w:footnote>
  <w:footnote w:type="continuationSeparator" w:id="0">
    <w:p w14:paraId="75C1D231" w14:textId="77777777" w:rsidR="00006AFE" w:rsidRDefault="00006AFE" w:rsidP="006B56BB">
      <w:r>
        <w:continuationSeparator/>
      </w:r>
    </w:p>
    <w:p w14:paraId="27A98DC6" w14:textId="77777777" w:rsidR="00006AFE" w:rsidRDefault="00006AFE"/>
  </w:footnote>
  <w:footnote w:type="continuationNotice" w:id="1">
    <w:p w14:paraId="4C1DAE0D" w14:textId="77777777" w:rsidR="00006AFE" w:rsidRDefault="00006A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7438F6"/>
    <w:multiLevelType w:val="hybridMultilevel"/>
    <w:tmpl w:val="EE4214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B5B5F56"/>
    <w:multiLevelType w:val="hybridMultilevel"/>
    <w:tmpl w:val="6FF46112"/>
    <w:lvl w:ilvl="0" w:tplc="4FD29738">
      <w:start w:val="1"/>
      <w:numFmt w:val="bullet"/>
      <w:lvlText w:val=""/>
      <w:lvlJc w:val="left"/>
      <w:pPr>
        <w:ind w:left="1080" w:hanging="360"/>
      </w:pPr>
      <w:rPr>
        <w:rFonts w:ascii="Symbol" w:hAnsi="Symbol"/>
      </w:rPr>
    </w:lvl>
    <w:lvl w:ilvl="1" w:tplc="D5943572">
      <w:start w:val="1"/>
      <w:numFmt w:val="bullet"/>
      <w:lvlText w:val=""/>
      <w:lvlJc w:val="left"/>
      <w:pPr>
        <w:ind w:left="1080" w:hanging="360"/>
      </w:pPr>
      <w:rPr>
        <w:rFonts w:ascii="Symbol" w:hAnsi="Symbol"/>
      </w:rPr>
    </w:lvl>
    <w:lvl w:ilvl="2" w:tplc="D6005366">
      <w:start w:val="1"/>
      <w:numFmt w:val="bullet"/>
      <w:lvlText w:val=""/>
      <w:lvlJc w:val="left"/>
      <w:pPr>
        <w:ind w:left="1080" w:hanging="360"/>
      </w:pPr>
      <w:rPr>
        <w:rFonts w:ascii="Symbol" w:hAnsi="Symbol"/>
      </w:rPr>
    </w:lvl>
    <w:lvl w:ilvl="3" w:tplc="E03CF318">
      <w:start w:val="1"/>
      <w:numFmt w:val="bullet"/>
      <w:lvlText w:val=""/>
      <w:lvlJc w:val="left"/>
      <w:pPr>
        <w:ind w:left="1080" w:hanging="360"/>
      </w:pPr>
      <w:rPr>
        <w:rFonts w:ascii="Symbol" w:hAnsi="Symbol"/>
      </w:rPr>
    </w:lvl>
    <w:lvl w:ilvl="4" w:tplc="A946722A">
      <w:start w:val="1"/>
      <w:numFmt w:val="bullet"/>
      <w:lvlText w:val=""/>
      <w:lvlJc w:val="left"/>
      <w:pPr>
        <w:ind w:left="1080" w:hanging="360"/>
      </w:pPr>
      <w:rPr>
        <w:rFonts w:ascii="Symbol" w:hAnsi="Symbol"/>
      </w:rPr>
    </w:lvl>
    <w:lvl w:ilvl="5" w:tplc="4470ED72">
      <w:start w:val="1"/>
      <w:numFmt w:val="bullet"/>
      <w:lvlText w:val=""/>
      <w:lvlJc w:val="left"/>
      <w:pPr>
        <w:ind w:left="1080" w:hanging="360"/>
      </w:pPr>
      <w:rPr>
        <w:rFonts w:ascii="Symbol" w:hAnsi="Symbol"/>
      </w:rPr>
    </w:lvl>
    <w:lvl w:ilvl="6" w:tplc="E0C458A4">
      <w:start w:val="1"/>
      <w:numFmt w:val="bullet"/>
      <w:lvlText w:val=""/>
      <w:lvlJc w:val="left"/>
      <w:pPr>
        <w:ind w:left="1080" w:hanging="360"/>
      </w:pPr>
      <w:rPr>
        <w:rFonts w:ascii="Symbol" w:hAnsi="Symbol"/>
      </w:rPr>
    </w:lvl>
    <w:lvl w:ilvl="7" w:tplc="10365C52">
      <w:start w:val="1"/>
      <w:numFmt w:val="bullet"/>
      <w:lvlText w:val=""/>
      <w:lvlJc w:val="left"/>
      <w:pPr>
        <w:ind w:left="1080" w:hanging="360"/>
      </w:pPr>
      <w:rPr>
        <w:rFonts w:ascii="Symbol" w:hAnsi="Symbol"/>
      </w:rPr>
    </w:lvl>
    <w:lvl w:ilvl="8" w:tplc="3894EAD4">
      <w:start w:val="1"/>
      <w:numFmt w:val="bullet"/>
      <w:lvlText w:val=""/>
      <w:lvlJc w:val="left"/>
      <w:pPr>
        <w:ind w:left="1080" w:hanging="360"/>
      </w:pPr>
      <w:rPr>
        <w:rFonts w:ascii="Symbol" w:hAnsi="Symbol"/>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9"/>
  </w:num>
  <w:num w:numId="3" w16cid:durableId="1161390217">
    <w:abstractNumId w:val="21"/>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7"/>
  </w:num>
  <w:num w:numId="8" w16cid:durableId="565603559">
    <w:abstractNumId w:val="2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2"/>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2"/>
  </w:num>
  <w:num w:numId="23" w16cid:durableId="111368400">
    <w:abstractNumId w:val="19"/>
  </w:num>
  <w:num w:numId="24" w16cid:durableId="815339056">
    <w:abstractNumId w:val="21"/>
  </w:num>
  <w:num w:numId="25" w16cid:durableId="743180995">
    <w:abstractNumId w:val="8"/>
  </w:num>
  <w:num w:numId="26" w16cid:durableId="320358050">
    <w:abstractNumId w:val="18"/>
  </w:num>
  <w:num w:numId="27" w16cid:durableId="508569404">
    <w:abstractNumId w:val="12"/>
  </w:num>
  <w:num w:numId="28" w16cid:durableId="1416364898">
    <w:abstractNumId w:val="14"/>
  </w:num>
  <w:num w:numId="29" w16cid:durableId="525827167">
    <w:abstractNumId w:val="10"/>
  </w:num>
  <w:num w:numId="30" w16cid:durableId="9001397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2399"/>
    <w:rsid w:val="00003743"/>
    <w:rsid w:val="000047B4"/>
    <w:rsid w:val="00005712"/>
    <w:rsid w:val="00006AFE"/>
    <w:rsid w:val="00007FD8"/>
    <w:rsid w:val="000117F8"/>
    <w:rsid w:val="0001460F"/>
    <w:rsid w:val="00022629"/>
    <w:rsid w:val="00024DFE"/>
    <w:rsid w:val="00026139"/>
    <w:rsid w:val="00026F1E"/>
    <w:rsid w:val="00027601"/>
    <w:rsid w:val="00031CA9"/>
    <w:rsid w:val="00033321"/>
    <w:rsid w:val="000338E5"/>
    <w:rsid w:val="00033ECC"/>
    <w:rsid w:val="0003422F"/>
    <w:rsid w:val="00041304"/>
    <w:rsid w:val="00044ED7"/>
    <w:rsid w:val="00046FF0"/>
    <w:rsid w:val="00047A71"/>
    <w:rsid w:val="00050176"/>
    <w:rsid w:val="00050342"/>
    <w:rsid w:val="00052339"/>
    <w:rsid w:val="00057A64"/>
    <w:rsid w:val="00064168"/>
    <w:rsid w:val="0006696D"/>
    <w:rsid w:val="00067456"/>
    <w:rsid w:val="00071506"/>
    <w:rsid w:val="0007154F"/>
    <w:rsid w:val="00074AA3"/>
    <w:rsid w:val="00080BAC"/>
    <w:rsid w:val="00081682"/>
    <w:rsid w:val="00081AB1"/>
    <w:rsid w:val="00090316"/>
    <w:rsid w:val="00093981"/>
    <w:rsid w:val="000941A3"/>
    <w:rsid w:val="000A0CBD"/>
    <w:rsid w:val="000A260A"/>
    <w:rsid w:val="000B067A"/>
    <w:rsid w:val="000B1540"/>
    <w:rsid w:val="000B1E53"/>
    <w:rsid w:val="000B33FD"/>
    <w:rsid w:val="000B4ABA"/>
    <w:rsid w:val="000C49E2"/>
    <w:rsid w:val="000C4B16"/>
    <w:rsid w:val="000C50C3"/>
    <w:rsid w:val="000C5572"/>
    <w:rsid w:val="000C5E14"/>
    <w:rsid w:val="000C6A91"/>
    <w:rsid w:val="000D21F6"/>
    <w:rsid w:val="000D4500"/>
    <w:rsid w:val="000D6487"/>
    <w:rsid w:val="000D7AEA"/>
    <w:rsid w:val="000E2C66"/>
    <w:rsid w:val="000F123C"/>
    <w:rsid w:val="000F2FED"/>
    <w:rsid w:val="000F7E27"/>
    <w:rsid w:val="0010318F"/>
    <w:rsid w:val="0010616D"/>
    <w:rsid w:val="00110478"/>
    <w:rsid w:val="00110CF0"/>
    <w:rsid w:val="0011711B"/>
    <w:rsid w:val="00117F8A"/>
    <w:rsid w:val="00121B9B"/>
    <w:rsid w:val="00121BB7"/>
    <w:rsid w:val="00121F9D"/>
    <w:rsid w:val="00122ADC"/>
    <w:rsid w:val="00124329"/>
    <w:rsid w:val="001245EF"/>
    <w:rsid w:val="00126C7C"/>
    <w:rsid w:val="001301D7"/>
    <w:rsid w:val="00130F59"/>
    <w:rsid w:val="00133EC0"/>
    <w:rsid w:val="00141CE5"/>
    <w:rsid w:val="00144908"/>
    <w:rsid w:val="001503D4"/>
    <w:rsid w:val="00151E6C"/>
    <w:rsid w:val="00156D96"/>
    <w:rsid w:val="001571C7"/>
    <w:rsid w:val="00161094"/>
    <w:rsid w:val="00172378"/>
    <w:rsid w:val="0017665C"/>
    <w:rsid w:val="0017777F"/>
    <w:rsid w:val="00177AD2"/>
    <w:rsid w:val="001815A8"/>
    <w:rsid w:val="001840D4"/>
    <w:rsid w:val="001840FA"/>
    <w:rsid w:val="00190079"/>
    <w:rsid w:val="0019622E"/>
    <w:rsid w:val="001966A7"/>
    <w:rsid w:val="00196837"/>
    <w:rsid w:val="00197FFB"/>
    <w:rsid w:val="001A05E7"/>
    <w:rsid w:val="001A4627"/>
    <w:rsid w:val="001A4979"/>
    <w:rsid w:val="001A7B9A"/>
    <w:rsid w:val="001B15D3"/>
    <w:rsid w:val="001B3443"/>
    <w:rsid w:val="001C0326"/>
    <w:rsid w:val="001C192F"/>
    <w:rsid w:val="001C3C42"/>
    <w:rsid w:val="001C5281"/>
    <w:rsid w:val="001C6865"/>
    <w:rsid w:val="001D7869"/>
    <w:rsid w:val="001E65FF"/>
    <w:rsid w:val="002026CD"/>
    <w:rsid w:val="002033FC"/>
    <w:rsid w:val="002044BB"/>
    <w:rsid w:val="00210B09"/>
    <w:rsid w:val="00210C9E"/>
    <w:rsid w:val="00211840"/>
    <w:rsid w:val="0021400B"/>
    <w:rsid w:val="00220E5F"/>
    <w:rsid w:val="002212B5"/>
    <w:rsid w:val="00221754"/>
    <w:rsid w:val="00223696"/>
    <w:rsid w:val="00226668"/>
    <w:rsid w:val="00233809"/>
    <w:rsid w:val="00240046"/>
    <w:rsid w:val="0024797F"/>
    <w:rsid w:val="0025019C"/>
    <w:rsid w:val="0025119E"/>
    <w:rsid w:val="00251269"/>
    <w:rsid w:val="002535C0"/>
    <w:rsid w:val="002579FE"/>
    <w:rsid w:val="00257CF4"/>
    <w:rsid w:val="00260552"/>
    <w:rsid w:val="0026311C"/>
    <w:rsid w:val="0026668C"/>
    <w:rsid w:val="00266AC1"/>
    <w:rsid w:val="0027061C"/>
    <w:rsid w:val="0027178C"/>
    <w:rsid w:val="00271954"/>
    <w:rsid w:val="002719FA"/>
    <w:rsid w:val="00272668"/>
    <w:rsid w:val="0027330B"/>
    <w:rsid w:val="002803AD"/>
    <w:rsid w:val="00281BE7"/>
    <w:rsid w:val="00282052"/>
    <w:rsid w:val="002831A3"/>
    <w:rsid w:val="0028519E"/>
    <w:rsid w:val="002856A5"/>
    <w:rsid w:val="002872ED"/>
    <w:rsid w:val="002905C2"/>
    <w:rsid w:val="00295AF2"/>
    <w:rsid w:val="00295C91"/>
    <w:rsid w:val="00296A4F"/>
    <w:rsid w:val="00297151"/>
    <w:rsid w:val="002B20E6"/>
    <w:rsid w:val="002B3DB5"/>
    <w:rsid w:val="002B42A3"/>
    <w:rsid w:val="002B7FA2"/>
    <w:rsid w:val="002C0CDD"/>
    <w:rsid w:val="002C24D1"/>
    <w:rsid w:val="002C38C4"/>
    <w:rsid w:val="002C46AA"/>
    <w:rsid w:val="002E1A1D"/>
    <w:rsid w:val="002E3605"/>
    <w:rsid w:val="002E4081"/>
    <w:rsid w:val="002E5B78"/>
    <w:rsid w:val="002F3AE3"/>
    <w:rsid w:val="002F6B2A"/>
    <w:rsid w:val="00303D87"/>
    <w:rsid w:val="0030464B"/>
    <w:rsid w:val="0030786C"/>
    <w:rsid w:val="00310FBE"/>
    <w:rsid w:val="00317E5E"/>
    <w:rsid w:val="003202C2"/>
    <w:rsid w:val="003233DE"/>
    <w:rsid w:val="0032466B"/>
    <w:rsid w:val="003272A1"/>
    <w:rsid w:val="00332E47"/>
    <w:rsid w:val="003330EB"/>
    <w:rsid w:val="00333315"/>
    <w:rsid w:val="0033692D"/>
    <w:rsid w:val="003415FD"/>
    <w:rsid w:val="003429F0"/>
    <w:rsid w:val="00345A82"/>
    <w:rsid w:val="00346BCF"/>
    <w:rsid w:val="0035097A"/>
    <w:rsid w:val="003540A4"/>
    <w:rsid w:val="00357BCC"/>
    <w:rsid w:val="00360E4E"/>
    <w:rsid w:val="00370AAA"/>
    <w:rsid w:val="00375F77"/>
    <w:rsid w:val="00377B0C"/>
    <w:rsid w:val="00380B38"/>
    <w:rsid w:val="00381749"/>
    <w:rsid w:val="00381BBE"/>
    <w:rsid w:val="00382903"/>
    <w:rsid w:val="003846FF"/>
    <w:rsid w:val="00385304"/>
    <w:rsid w:val="003857D4"/>
    <w:rsid w:val="00385AD4"/>
    <w:rsid w:val="00385C01"/>
    <w:rsid w:val="00387924"/>
    <w:rsid w:val="0039384D"/>
    <w:rsid w:val="00395C23"/>
    <w:rsid w:val="003A2E4F"/>
    <w:rsid w:val="003A4438"/>
    <w:rsid w:val="003A5013"/>
    <w:rsid w:val="003A5078"/>
    <w:rsid w:val="003A62DD"/>
    <w:rsid w:val="003A775A"/>
    <w:rsid w:val="003B213A"/>
    <w:rsid w:val="003B4017"/>
    <w:rsid w:val="003B43AD"/>
    <w:rsid w:val="003C0FEC"/>
    <w:rsid w:val="003C2AC8"/>
    <w:rsid w:val="003C5DCE"/>
    <w:rsid w:val="003D033A"/>
    <w:rsid w:val="003D17F9"/>
    <w:rsid w:val="003D2D88"/>
    <w:rsid w:val="003D41EA"/>
    <w:rsid w:val="003D4850"/>
    <w:rsid w:val="003D535A"/>
    <w:rsid w:val="003D6833"/>
    <w:rsid w:val="003D6AB7"/>
    <w:rsid w:val="003E5265"/>
    <w:rsid w:val="003E5771"/>
    <w:rsid w:val="003E6741"/>
    <w:rsid w:val="003E7D6A"/>
    <w:rsid w:val="003F0955"/>
    <w:rsid w:val="003F2376"/>
    <w:rsid w:val="003F2D50"/>
    <w:rsid w:val="003F5F4D"/>
    <w:rsid w:val="003F646F"/>
    <w:rsid w:val="00400F00"/>
    <w:rsid w:val="00402DF8"/>
    <w:rsid w:val="00404F8B"/>
    <w:rsid w:val="00405119"/>
    <w:rsid w:val="00405256"/>
    <w:rsid w:val="00405ADD"/>
    <w:rsid w:val="00405C77"/>
    <w:rsid w:val="00410031"/>
    <w:rsid w:val="00415C81"/>
    <w:rsid w:val="00432378"/>
    <w:rsid w:val="00440D65"/>
    <w:rsid w:val="0044153C"/>
    <w:rsid w:val="004435E6"/>
    <w:rsid w:val="004455ED"/>
    <w:rsid w:val="00445DFE"/>
    <w:rsid w:val="00447E31"/>
    <w:rsid w:val="004524FC"/>
    <w:rsid w:val="00453923"/>
    <w:rsid w:val="00453933"/>
    <w:rsid w:val="00454B9B"/>
    <w:rsid w:val="004574E2"/>
    <w:rsid w:val="0045762A"/>
    <w:rsid w:val="00457858"/>
    <w:rsid w:val="00460B0B"/>
    <w:rsid w:val="00461023"/>
    <w:rsid w:val="00462FAC"/>
    <w:rsid w:val="00464631"/>
    <w:rsid w:val="00464B79"/>
    <w:rsid w:val="00465D5D"/>
    <w:rsid w:val="0046771B"/>
    <w:rsid w:val="00467BBF"/>
    <w:rsid w:val="00470199"/>
    <w:rsid w:val="0047162E"/>
    <w:rsid w:val="004722E7"/>
    <w:rsid w:val="00473438"/>
    <w:rsid w:val="004763BC"/>
    <w:rsid w:val="00483BCE"/>
    <w:rsid w:val="0048593C"/>
    <w:rsid w:val="004867E2"/>
    <w:rsid w:val="00490BA7"/>
    <w:rsid w:val="004929A9"/>
    <w:rsid w:val="004978D6"/>
    <w:rsid w:val="004A78D9"/>
    <w:rsid w:val="004C1BCD"/>
    <w:rsid w:val="004C6BCF"/>
    <w:rsid w:val="004D1AEC"/>
    <w:rsid w:val="004D2FDC"/>
    <w:rsid w:val="004D58BF"/>
    <w:rsid w:val="004E4335"/>
    <w:rsid w:val="004E4380"/>
    <w:rsid w:val="004E5226"/>
    <w:rsid w:val="004E5D7C"/>
    <w:rsid w:val="004E69D1"/>
    <w:rsid w:val="004E7917"/>
    <w:rsid w:val="004F13EE"/>
    <w:rsid w:val="004F2022"/>
    <w:rsid w:val="004F7C05"/>
    <w:rsid w:val="00501C94"/>
    <w:rsid w:val="00504FDD"/>
    <w:rsid w:val="00506432"/>
    <w:rsid w:val="00506E82"/>
    <w:rsid w:val="00506FE9"/>
    <w:rsid w:val="00510029"/>
    <w:rsid w:val="005114D2"/>
    <w:rsid w:val="00512EF8"/>
    <w:rsid w:val="0052051D"/>
    <w:rsid w:val="00536612"/>
    <w:rsid w:val="0054047F"/>
    <w:rsid w:val="00542DB3"/>
    <w:rsid w:val="00545EE6"/>
    <w:rsid w:val="005550E7"/>
    <w:rsid w:val="005564FB"/>
    <w:rsid w:val="005572C7"/>
    <w:rsid w:val="005606A2"/>
    <w:rsid w:val="00562426"/>
    <w:rsid w:val="005624C6"/>
    <w:rsid w:val="0056487F"/>
    <w:rsid w:val="005650ED"/>
    <w:rsid w:val="005678DC"/>
    <w:rsid w:val="00572EFA"/>
    <w:rsid w:val="005745A2"/>
    <w:rsid w:val="00575754"/>
    <w:rsid w:val="00576720"/>
    <w:rsid w:val="00581FBA"/>
    <w:rsid w:val="005858A4"/>
    <w:rsid w:val="00590978"/>
    <w:rsid w:val="00591A0E"/>
    <w:rsid w:val="00591E20"/>
    <w:rsid w:val="00595408"/>
    <w:rsid w:val="00595E84"/>
    <w:rsid w:val="005A0C59"/>
    <w:rsid w:val="005A48EB"/>
    <w:rsid w:val="005A6CFB"/>
    <w:rsid w:val="005C1854"/>
    <w:rsid w:val="005C208E"/>
    <w:rsid w:val="005C5AEB"/>
    <w:rsid w:val="005D5F4E"/>
    <w:rsid w:val="005E0A3F"/>
    <w:rsid w:val="005E1AF9"/>
    <w:rsid w:val="005E2D76"/>
    <w:rsid w:val="005E6883"/>
    <w:rsid w:val="005E772F"/>
    <w:rsid w:val="005F4ECA"/>
    <w:rsid w:val="00600E1A"/>
    <w:rsid w:val="006041BE"/>
    <w:rsid w:val="006043C7"/>
    <w:rsid w:val="00604422"/>
    <w:rsid w:val="00605180"/>
    <w:rsid w:val="00614DAD"/>
    <w:rsid w:val="006172AA"/>
    <w:rsid w:val="006207C4"/>
    <w:rsid w:val="00624B52"/>
    <w:rsid w:val="00630794"/>
    <w:rsid w:val="00631DF4"/>
    <w:rsid w:val="00634175"/>
    <w:rsid w:val="0063574E"/>
    <w:rsid w:val="006362EB"/>
    <w:rsid w:val="006408AC"/>
    <w:rsid w:val="006429EB"/>
    <w:rsid w:val="00642F20"/>
    <w:rsid w:val="00650A3B"/>
    <w:rsid w:val="006511B6"/>
    <w:rsid w:val="00657BA4"/>
    <w:rsid w:val="00657FF8"/>
    <w:rsid w:val="00670D99"/>
    <w:rsid w:val="00670E2B"/>
    <w:rsid w:val="006728CA"/>
    <w:rsid w:val="006734BB"/>
    <w:rsid w:val="0067697A"/>
    <w:rsid w:val="006821EB"/>
    <w:rsid w:val="00686ACD"/>
    <w:rsid w:val="0069672E"/>
    <w:rsid w:val="00697898"/>
    <w:rsid w:val="006A0231"/>
    <w:rsid w:val="006A176F"/>
    <w:rsid w:val="006A2CB9"/>
    <w:rsid w:val="006B2286"/>
    <w:rsid w:val="006B56BB"/>
    <w:rsid w:val="006B69B2"/>
    <w:rsid w:val="006C085B"/>
    <w:rsid w:val="006C237A"/>
    <w:rsid w:val="006C375D"/>
    <w:rsid w:val="006C77A8"/>
    <w:rsid w:val="006D4098"/>
    <w:rsid w:val="006D67F4"/>
    <w:rsid w:val="006D7681"/>
    <w:rsid w:val="006D7B2E"/>
    <w:rsid w:val="006E02EA"/>
    <w:rsid w:val="006E0968"/>
    <w:rsid w:val="006E18D6"/>
    <w:rsid w:val="006E2AF6"/>
    <w:rsid w:val="006E649E"/>
    <w:rsid w:val="006F5073"/>
    <w:rsid w:val="006F63CB"/>
    <w:rsid w:val="00700F07"/>
    <w:rsid w:val="00701275"/>
    <w:rsid w:val="00702A8B"/>
    <w:rsid w:val="00707F56"/>
    <w:rsid w:val="0071298B"/>
    <w:rsid w:val="00713558"/>
    <w:rsid w:val="00720D08"/>
    <w:rsid w:val="00721B14"/>
    <w:rsid w:val="00722B07"/>
    <w:rsid w:val="007263B9"/>
    <w:rsid w:val="00731957"/>
    <w:rsid w:val="007334F8"/>
    <w:rsid w:val="007339CD"/>
    <w:rsid w:val="00733C51"/>
    <w:rsid w:val="00734110"/>
    <w:rsid w:val="007359D8"/>
    <w:rsid w:val="007362D4"/>
    <w:rsid w:val="00736C77"/>
    <w:rsid w:val="00756358"/>
    <w:rsid w:val="0075722C"/>
    <w:rsid w:val="007613D8"/>
    <w:rsid w:val="00762AA7"/>
    <w:rsid w:val="0076672A"/>
    <w:rsid w:val="0076774C"/>
    <w:rsid w:val="00770B5A"/>
    <w:rsid w:val="00772D5C"/>
    <w:rsid w:val="00775E45"/>
    <w:rsid w:val="007764E8"/>
    <w:rsid w:val="00776E74"/>
    <w:rsid w:val="00781C6B"/>
    <w:rsid w:val="00785169"/>
    <w:rsid w:val="0079313B"/>
    <w:rsid w:val="0079356E"/>
    <w:rsid w:val="00795432"/>
    <w:rsid w:val="007954AB"/>
    <w:rsid w:val="007A14C5"/>
    <w:rsid w:val="007A4A10"/>
    <w:rsid w:val="007B1750"/>
    <w:rsid w:val="007B1760"/>
    <w:rsid w:val="007B4CA6"/>
    <w:rsid w:val="007C1FDC"/>
    <w:rsid w:val="007C2BA7"/>
    <w:rsid w:val="007C31DD"/>
    <w:rsid w:val="007C3440"/>
    <w:rsid w:val="007C6D9C"/>
    <w:rsid w:val="007C6FF5"/>
    <w:rsid w:val="007C7DDB"/>
    <w:rsid w:val="007D2CC7"/>
    <w:rsid w:val="007D2F25"/>
    <w:rsid w:val="007D673D"/>
    <w:rsid w:val="007D76AC"/>
    <w:rsid w:val="007E0068"/>
    <w:rsid w:val="007E0FB8"/>
    <w:rsid w:val="007E4D09"/>
    <w:rsid w:val="007F2220"/>
    <w:rsid w:val="007F4B3E"/>
    <w:rsid w:val="008127AF"/>
    <w:rsid w:val="00812B46"/>
    <w:rsid w:val="00815700"/>
    <w:rsid w:val="008169FD"/>
    <w:rsid w:val="0082056C"/>
    <w:rsid w:val="0082246B"/>
    <w:rsid w:val="0082646F"/>
    <w:rsid w:val="008264EB"/>
    <w:rsid w:val="00826B8F"/>
    <w:rsid w:val="00827032"/>
    <w:rsid w:val="00831E8A"/>
    <w:rsid w:val="00834474"/>
    <w:rsid w:val="00835C76"/>
    <w:rsid w:val="008376E2"/>
    <w:rsid w:val="00841360"/>
    <w:rsid w:val="00843049"/>
    <w:rsid w:val="008437CA"/>
    <w:rsid w:val="00846DA0"/>
    <w:rsid w:val="0085209B"/>
    <w:rsid w:val="00854002"/>
    <w:rsid w:val="00856B66"/>
    <w:rsid w:val="008576CE"/>
    <w:rsid w:val="00857ED9"/>
    <w:rsid w:val="008601AC"/>
    <w:rsid w:val="008603A1"/>
    <w:rsid w:val="00861A5F"/>
    <w:rsid w:val="008644AD"/>
    <w:rsid w:val="00865735"/>
    <w:rsid w:val="00865DDB"/>
    <w:rsid w:val="0086743E"/>
    <w:rsid w:val="00867538"/>
    <w:rsid w:val="00871802"/>
    <w:rsid w:val="00873D90"/>
    <w:rsid w:val="00873FC8"/>
    <w:rsid w:val="008750A0"/>
    <w:rsid w:val="00884C63"/>
    <w:rsid w:val="00885908"/>
    <w:rsid w:val="008864B7"/>
    <w:rsid w:val="00887457"/>
    <w:rsid w:val="00895988"/>
    <w:rsid w:val="0089677E"/>
    <w:rsid w:val="008A0822"/>
    <w:rsid w:val="008A7438"/>
    <w:rsid w:val="008B1334"/>
    <w:rsid w:val="008B1EF0"/>
    <w:rsid w:val="008B25C7"/>
    <w:rsid w:val="008B4279"/>
    <w:rsid w:val="008C0278"/>
    <w:rsid w:val="008C24E9"/>
    <w:rsid w:val="008D0489"/>
    <w:rsid w:val="008D0533"/>
    <w:rsid w:val="008D1388"/>
    <w:rsid w:val="008D1FD9"/>
    <w:rsid w:val="008D42CB"/>
    <w:rsid w:val="008D48C9"/>
    <w:rsid w:val="008D5CBD"/>
    <w:rsid w:val="008D6381"/>
    <w:rsid w:val="008E0C77"/>
    <w:rsid w:val="008E461C"/>
    <w:rsid w:val="008E625F"/>
    <w:rsid w:val="008F264D"/>
    <w:rsid w:val="008F2923"/>
    <w:rsid w:val="008F496D"/>
    <w:rsid w:val="008F5551"/>
    <w:rsid w:val="008F6FFE"/>
    <w:rsid w:val="00902113"/>
    <w:rsid w:val="009040E9"/>
    <w:rsid w:val="009074E1"/>
    <w:rsid w:val="009112F7"/>
    <w:rsid w:val="009122AF"/>
    <w:rsid w:val="00912D54"/>
    <w:rsid w:val="0091389F"/>
    <w:rsid w:val="00916047"/>
    <w:rsid w:val="009208F7"/>
    <w:rsid w:val="00921649"/>
    <w:rsid w:val="00922517"/>
    <w:rsid w:val="00922722"/>
    <w:rsid w:val="00923561"/>
    <w:rsid w:val="00924A28"/>
    <w:rsid w:val="009261E6"/>
    <w:rsid w:val="009268E1"/>
    <w:rsid w:val="009271EE"/>
    <w:rsid w:val="009344AE"/>
    <w:rsid w:val="009344DE"/>
    <w:rsid w:val="00941CEC"/>
    <w:rsid w:val="00942B18"/>
    <w:rsid w:val="00944465"/>
    <w:rsid w:val="00945E7F"/>
    <w:rsid w:val="009557C1"/>
    <w:rsid w:val="00960D6E"/>
    <w:rsid w:val="009624EE"/>
    <w:rsid w:val="0096293B"/>
    <w:rsid w:val="00965597"/>
    <w:rsid w:val="00967879"/>
    <w:rsid w:val="0097205F"/>
    <w:rsid w:val="00974B59"/>
    <w:rsid w:val="0098144C"/>
    <w:rsid w:val="0098340B"/>
    <w:rsid w:val="00986830"/>
    <w:rsid w:val="009912D9"/>
    <w:rsid w:val="00991A2F"/>
    <w:rsid w:val="009924C3"/>
    <w:rsid w:val="009928EB"/>
    <w:rsid w:val="00993102"/>
    <w:rsid w:val="009A11C1"/>
    <w:rsid w:val="009A47C5"/>
    <w:rsid w:val="009B1570"/>
    <w:rsid w:val="009C626F"/>
    <w:rsid w:val="009C6F10"/>
    <w:rsid w:val="009D148F"/>
    <w:rsid w:val="009D3D70"/>
    <w:rsid w:val="009E6F7E"/>
    <w:rsid w:val="009E7A57"/>
    <w:rsid w:val="009F1E6D"/>
    <w:rsid w:val="009F4803"/>
    <w:rsid w:val="009F4F6A"/>
    <w:rsid w:val="00A13EB5"/>
    <w:rsid w:val="00A16E36"/>
    <w:rsid w:val="00A20872"/>
    <w:rsid w:val="00A23727"/>
    <w:rsid w:val="00A24961"/>
    <w:rsid w:val="00A24B10"/>
    <w:rsid w:val="00A25245"/>
    <w:rsid w:val="00A277EF"/>
    <w:rsid w:val="00A27AAE"/>
    <w:rsid w:val="00A30E9B"/>
    <w:rsid w:val="00A35805"/>
    <w:rsid w:val="00A4192C"/>
    <w:rsid w:val="00A4512D"/>
    <w:rsid w:val="00A50244"/>
    <w:rsid w:val="00A619EB"/>
    <w:rsid w:val="00A61E54"/>
    <w:rsid w:val="00A627D7"/>
    <w:rsid w:val="00A656C7"/>
    <w:rsid w:val="00A70094"/>
    <w:rsid w:val="00A705AF"/>
    <w:rsid w:val="00A719F6"/>
    <w:rsid w:val="00A72454"/>
    <w:rsid w:val="00A77696"/>
    <w:rsid w:val="00A80557"/>
    <w:rsid w:val="00A81637"/>
    <w:rsid w:val="00A81D33"/>
    <w:rsid w:val="00A8341C"/>
    <w:rsid w:val="00A87E6B"/>
    <w:rsid w:val="00A87F61"/>
    <w:rsid w:val="00A930AE"/>
    <w:rsid w:val="00AA1A95"/>
    <w:rsid w:val="00AA260F"/>
    <w:rsid w:val="00AB1EE7"/>
    <w:rsid w:val="00AB4B37"/>
    <w:rsid w:val="00AB5762"/>
    <w:rsid w:val="00AB6C80"/>
    <w:rsid w:val="00AC2679"/>
    <w:rsid w:val="00AC4BE4"/>
    <w:rsid w:val="00AD05E6"/>
    <w:rsid w:val="00AD0D3F"/>
    <w:rsid w:val="00AE1D7D"/>
    <w:rsid w:val="00AE2A8B"/>
    <w:rsid w:val="00AE3B9A"/>
    <w:rsid w:val="00AE3F64"/>
    <w:rsid w:val="00AF071D"/>
    <w:rsid w:val="00AF61F9"/>
    <w:rsid w:val="00AF7386"/>
    <w:rsid w:val="00AF7934"/>
    <w:rsid w:val="00B00B81"/>
    <w:rsid w:val="00B015CC"/>
    <w:rsid w:val="00B02676"/>
    <w:rsid w:val="00B04580"/>
    <w:rsid w:val="00B04B09"/>
    <w:rsid w:val="00B07ADA"/>
    <w:rsid w:val="00B142B4"/>
    <w:rsid w:val="00B16A51"/>
    <w:rsid w:val="00B30EB3"/>
    <w:rsid w:val="00B32222"/>
    <w:rsid w:val="00B35F86"/>
    <w:rsid w:val="00B3618D"/>
    <w:rsid w:val="00B36233"/>
    <w:rsid w:val="00B40DA1"/>
    <w:rsid w:val="00B41DE3"/>
    <w:rsid w:val="00B42851"/>
    <w:rsid w:val="00B45350"/>
    <w:rsid w:val="00B45661"/>
    <w:rsid w:val="00B45AC7"/>
    <w:rsid w:val="00B471E0"/>
    <w:rsid w:val="00B4754C"/>
    <w:rsid w:val="00B505CC"/>
    <w:rsid w:val="00B5372F"/>
    <w:rsid w:val="00B53987"/>
    <w:rsid w:val="00B56F72"/>
    <w:rsid w:val="00B61129"/>
    <w:rsid w:val="00B64804"/>
    <w:rsid w:val="00B66F4F"/>
    <w:rsid w:val="00B67E7F"/>
    <w:rsid w:val="00B76DB3"/>
    <w:rsid w:val="00B81857"/>
    <w:rsid w:val="00B839B2"/>
    <w:rsid w:val="00B94252"/>
    <w:rsid w:val="00B9715A"/>
    <w:rsid w:val="00BA14BE"/>
    <w:rsid w:val="00BA2732"/>
    <w:rsid w:val="00BA293D"/>
    <w:rsid w:val="00BA49BC"/>
    <w:rsid w:val="00BA56B7"/>
    <w:rsid w:val="00BA7A1E"/>
    <w:rsid w:val="00BB058B"/>
    <w:rsid w:val="00BB2F6C"/>
    <w:rsid w:val="00BB3875"/>
    <w:rsid w:val="00BB5860"/>
    <w:rsid w:val="00BB6AAD"/>
    <w:rsid w:val="00BC0FD6"/>
    <w:rsid w:val="00BC4A19"/>
    <w:rsid w:val="00BC4E6D"/>
    <w:rsid w:val="00BD0617"/>
    <w:rsid w:val="00BD0A9E"/>
    <w:rsid w:val="00BD2E9B"/>
    <w:rsid w:val="00BD4B6C"/>
    <w:rsid w:val="00BD6958"/>
    <w:rsid w:val="00BD7FB2"/>
    <w:rsid w:val="00BE06B7"/>
    <w:rsid w:val="00BE3ED5"/>
    <w:rsid w:val="00C00930"/>
    <w:rsid w:val="00C010F9"/>
    <w:rsid w:val="00C060AD"/>
    <w:rsid w:val="00C071FF"/>
    <w:rsid w:val="00C07D0E"/>
    <w:rsid w:val="00C113BF"/>
    <w:rsid w:val="00C2176E"/>
    <w:rsid w:val="00C23430"/>
    <w:rsid w:val="00C254A1"/>
    <w:rsid w:val="00C27D67"/>
    <w:rsid w:val="00C3129A"/>
    <w:rsid w:val="00C37451"/>
    <w:rsid w:val="00C378A1"/>
    <w:rsid w:val="00C42721"/>
    <w:rsid w:val="00C435AF"/>
    <w:rsid w:val="00C4631F"/>
    <w:rsid w:val="00C46677"/>
    <w:rsid w:val="00C47CDE"/>
    <w:rsid w:val="00C50BFA"/>
    <w:rsid w:val="00C50E16"/>
    <w:rsid w:val="00C55258"/>
    <w:rsid w:val="00C5619C"/>
    <w:rsid w:val="00C602DA"/>
    <w:rsid w:val="00C62DE4"/>
    <w:rsid w:val="00C6422D"/>
    <w:rsid w:val="00C64F8E"/>
    <w:rsid w:val="00C7241F"/>
    <w:rsid w:val="00C75FA3"/>
    <w:rsid w:val="00C82EEB"/>
    <w:rsid w:val="00C971DC"/>
    <w:rsid w:val="00C977AB"/>
    <w:rsid w:val="00CA16B7"/>
    <w:rsid w:val="00CA1DEB"/>
    <w:rsid w:val="00CA5284"/>
    <w:rsid w:val="00CA62AE"/>
    <w:rsid w:val="00CB03B8"/>
    <w:rsid w:val="00CB0762"/>
    <w:rsid w:val="00CB5B1A"/>
    <w:rsid w:val="00CB726A"/>
    <w:rsid w:val="00CB75B0"/>
    <w:rsid w:val="00CC09CF"/>
    <w:rsid w:val="00CC0ECA"/>
    <w:rsid w:val="00CC220B"/>
    <w:rsid w:val="00CC34A2"/>
    <w:rsid w:val="00CC5C43"/>
    <w:rsid w:val="00CD02AE"/>
    <w:rsid w:val="00CD2A4F"/>
    <w:rsid w:val="00CD374D"/>
    <w:rsid w:val="00CE03CA"/>
    <w:rsid w:val="00CE22F1"/>
    <w:rsid w:val="00CE50F2"/>
    <w:rsid w:val="00CE6502"/>
    <w:rsid w:val="00CF5E62"/>
    <w:rsid w:val="00CF7D3C"/>
    <w:rsid w:val="00D000EA"/>
    <w:rsid w:val="00D01F09"/>
    <w:rsid w:val="00D03527"/>
    <w:rsid w:val="00D075C0"/>
    <w:rsid w:val="00D07862"/>
    <w:rsid w:val="00D13548"/>
    <w:rsid w:val="00D147EB"/>
    <w:rsid w:val="00D20DD1"/>
    <w:rsid w:val="00D22982"/>
    <w:rsid w:val="00D24082"/>
    <w:rsid w:val="00D266BA"/>
    <w:rsid w:val="00D34667"/>
    <w:rsid w:val="00D401E1"/>
    <w:rsid w:val="00D408B4"/>
    <w:rsid w:val="00D44330"/>
    <w:rsid w:val="00D524C8"/>
    <w:rsid w:val="00D52EF0"/>
    <w:rsid w:val="00D532BF"/>
    <w:rsid w:val="00D54BBC"/>
    <w:rsid w:val="00D557C7"/>
    <w:rsid w:val="00D70E24"/>
    <w:rsid w:val="00D72B61"/>
    <w:rsid w:val="00D74139"/>
    <w:rsid w:val="00D76FD1"/>
    <w:rsid w:val="00D807FA"/>
    <w:rsid w:val="00D8147B"/>
    <w:rsid w:val="00D83814"/>
    <w:rsid w:val="00D90A2D"/>
    <w:rsid w:val="00D95450"/>
    <w:rsid w:val="00DA0A2B"/>
    <w:rsid w:val="00DA3D1D"/>
    <w:rsid w:val="00DA4497"/>
    <w:rsid w:val="00DA4857"/>
    <w:rsid w:val="00DB4623"/>
    <w:rsid w:val="00DB6286"/>
    <w:rsid w:val="00DB645F"/>
    <w:rsid w:val="00DB76E9"/>
    <w:rsid w:val="00DC0A67"/>
    <w:rsid w:val="00DC1D5E"/>
    <w:rsid w:val="00DC5220"/>
    <w:rsid w:val="00DD2061"/>
    <w:rsid w:val="00DD6651"/>
    <w:rsid w:val="00DD7DAB"/>
    <w:rsid w:val="00DD7EF9"/>
    <w:rsid w:val="00DE3355"/>
    <w:rsid w:val="00DF0C60"/>
    <w:rsid w:val="00DF0D11"/>
    <w:rsid w:val="00DF486F"/>
    <w:rsid w:val="00DF5B5B"/>
    <w:rsid w:val="00DF7619"/>
    <w:rsid w:val="00E00702"/>
    <w:rsid w:val="00E03305"/>
    <w:rsid w:val="00E042D8"/>
    <w:rsid w:val="00E07EE7"/>
    <w:rsid w:val="00E1103B"/>
    <w:rsid w:val="00E17B44"/>
    <w:rsid w:val="00E205D0"/>
    <w:rsid w:val="00E2063E"/>
    <w:rsid w:val="00E20F27"/>
    <w:rsid w:val="00E22443"/>
    <w:rsid w:val="00E25B1F"/>
    <w:rsid w:val="00E27165"/>
    <w:rsid w:val="00E27FEA"/>
    <w:rsid w:val="00E3537F"/>
    <w:rsid w:val="00E37C62"/>
    <w:rsid w:val="00E4086F"/>
    <w:rsid w:val="00E43B3C"/>
    <w:rsid w:val="00E460E4"/>
    <w:rsid w:val="00E50188"/>
    <w:rsid w:val="00E50BB3"/>
    <w:rsid w:val="00E515CB"/>
    <w:rsid w:val="00E52260"/>
    <w:rsid w:val="00E639B6"/>
    <w:rsid w:val="00E6434B"/>
    <w:rsid w:val="00E6463D"/>
    <w:rsid w:val="00E657C3"/>
    <w:rsid w:val="00E71492"/>
    <w:rsid w:val="00E72E9B"/>
    <w:rsid w:val="00E827FE"/>
    <w:rsid w:val="00E82889"/>
    <w:rsid w:val="00E850C3"/>
    <w:rsid w:val="00E86480"/>
    <w:rsid w:val="00E87DF2"/>
    <w:rsid w:val="00E9462E"/>
    <w:rsid w:val="00EA470E"/>
    <w:rsid w:val="00EA47A7"/>
    <w:rsid w:val="00EA56D5"/>
    <w:rsid w:val="00EA57EB"/>
    <w:rsid w:val="00EB3226"/>
    <w:rsid w:val="00EC213A"/>
    <w:rsid w:val="00EC41D0"/>
    <w:rsid w:val="00EC5CD1"/>
    <w:rsid w:val="00EC7744"/>
    <w:rsid w:val="00ED0DAD"/>
    <w:rsid w:val="00ED0F46"/>
    <w:rsid w:val="00ED2373"/>
    <w:rsid w:val="00ED24F9"/>
    <w:rsid w:val="00ED2E38"/>
    <w:rsid w:val="00EE3D02"/>
    <w:rsid w:val="00EE3E8A"/>
    <w:rsid w:val="00EF58B8"/>
    <w:rsid w:val="00EF6ECA"/>
    <w:rsid w:val="00EF7728"/>
    <w:rsid w:val="00F024E1"/>
    <w:rsid w:val="00F06C10"/>
    <w:rsid w:val="00F07D48"/>
    <w:rsid w:val="00F1096F"/>
    <w:rsid w:val="00F12589"/>
    <w:rsid w:val="00F12595"/>
    <w:rsid w:val="00F134D9"/>
    <w:rsid w:val="00F1403D"/>
    <w:rsid w:val="00F1463F"/>
    <w:rsid w:val="00F17D46"/>
    <w:rsid w:val="00F21302"/>
    <w:rsid w:val="00F22570"/>
    <w:rsid w:val="00F2430D"/>
    <w:rsid w:val="00F321DE"/>
    <w:rsid w:val="00F33777"/>
    <w:rsid w:val="00F40648"/>
    <w:rsid w:val="00F43A2A"/>
    <w:rsid w:val="00F47DA2"/>
    <w:rsid w:val="00F51321"/>
    <w:rsid w:val="00F519FC"/>
    <w:rsid w:val="00F54F18"/>
    <w:rsid w:val="00F6239D"/>
    <w:rsid w:val="00F715D2"/>
    <w:rsid w:val="00F7274F"/>
    <w:rsid w:val="00F72DBB"/>
    <w:rsid w:val="00F74C41"/>
    <w:rsid w:val="00F74E84"/>
    <w:rsid w:val="00F76FA8"/>
    <w:rsid w:val="00F8045E"/>
    <w:rsid w:val="00F843C7"/>
    <w:rsid w:val="00F85AFE"/>
    <w:rsid w:val="00F912F8"/>
    <w:rsid w:val="00F93F08"/>
    <w:rsid w:val="00F94CED"/>
    <w:rsid w:val="00F94E3F"/>
    <w:rsid w:val="00FA02BB"/>
    <w:rsid w:val="00FA0851"/>
    <w:rsid w:val="00FA2CEE"/>
    <w:rsid w:val="00FA318C"/>
    <w:rsid w:val="00FB1280"/>
    <w:rsid w:val="00FB26B9"/>
    <w:rsid w:val="00FB36D2"/>
    <w:rsid w:val="00FB6F92"/>
    <w:rsid w:val="00FC026E"/>
    <w:rsid w:val="00FC5124"/>
    <w:rsid w:val="00FC676F"/>
    <w:rsid w:val="00FD4524"/>
    <w:rsid w:val="00FD4731"/>
    <w:rsid w:val="00FD6768"/>
    <w:rsid w:val="00FD7A7F"/>
    <w:rsid w:val="00FE50FB"/>
    <w:rsid w:val="00FF081C"/>
    <w:rsid w:val="00FF0AB0"/>
    <w:rsid w:val="00FF188B"/>
    <w:rsid w:val="00FF28AC"/>
    <w:rsid w:val="00FF3C8B"/>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customStyle="1" w:styleId="ListParagraphChar">
    <w:name w:val="List Paragraph Char"/>
    <w:aliases w:val="#List Paragraph Char,Bullet Point Char,Bullet point Char,Bulletr List Paragraph Char,Bullets Char,Content descriptions Char,L Char,List - bullet Char,List Paragraph - bullet Char,List Paragraph - bullets Char,List Paragraph1 Char"/>
    <w:basedOn w:val="DefaultParagraphFont"/>
    <w:link w:val="ListParagraph"/>
    <w:uiPriority w:val="34"/>
    <w:qFormat/>
    <w:locked/>
    <w:rsid w:val="000C5572"/>
  </w:style>
  <w:style w:type="paragraph" w:styleId="ListParagraph">
    <w:name w:val="List Paragraph"/>
    <w:aliases w:val="#List Paragraph,Bullet Point,Bullet point,Bulletr List Paragraph,Bullets,Content descriptions,L,List - bullet,List Paragraph - bullet,List Paragraph - bullets,List Paragraph1,List Paragraph11,Recommendation,Use Case List Paragraph,リスト段落"/>
    <w:basedOn w:val="Normal"/>
    <w:link w:val="ListParagraphChar"/>
    <w:uiPriority w:val="34"/>
    <w:qFormat/>
    <w:rsid w:val="000C5572"/>
    <w:pPr>
      <w:spacing w:before="0" w:after="200"/>
      <w:ind w:left="720"/>
      <w:contextualSpacing/>
    </w:pPr>
    <w:rPr>
      <w:rFonts w:ascii="Times New Roman" w:hAnsi="Times New Roman"/>
      <w:color w:val="auto"/>
      <w:sz w:val="20"/>
      <w:szCs w:val="20"/>
      <w:lang w:eastAsia="en-AU"/>
    </w:rPr>
  </w:style>
  <w:style w:type="character" w:styleId="CommentReference">
    <w:name w:val="annotation reference"/>
    <w:basedOn w:val="DefaultParagraphFont"/>
    <w:semiHidden/>
    <w:unhideWhenUsed/>
    <w:rsid w:val="00CD374D"/>
    <w:rPr>
      <w:sz w:val="16"/>
      <w:szCs w:val="16"/>
    </w:rPr>
  </w:style>
  <w:style w:type="paragraph" w:styleId="CommentSubject">
    <w:name w:val="annotation subject"/>
    <w:basedOn w:val="CommentText"/>
    <w:next w:val="CommentText"/>
    <w:link w:val="CommentSubjectChar"/>
    <w:semiHidden/>
    <w:unhideWhenUsed/>
    <w:rsid w:val="00CD374D"/>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374D"/>
    <w:rPr>
      <w:rFonts w:ascii="Arial" w:eastAsiaTheme="minorEastAsia" w:hAnsi="Arial" w:cstheme="minorBidi"/>
      <w:b/>
      <w:bCs/>
      <w:color w:val="000000" w:themeColor="text1"/>
      <w:lang w:eastAsia="en-US"/>
    </w:rPr>
  </w:style>
  <w:style w:type="paragraph" w:customStyle="1" w:styleId="Tablea">
    <w:name w:val="Table(a)"/>
    <w:aliases w:val="ta"/>
    <w:basedOn w:val="Normal"/>
    <w:rsid w:val="00DA4857"/>
    <w:pPr>
      <w:spacing w:before="60" w:after="0" w:line="240" w:lineRule="auto"/>
      <w:ind w:left="284" w:hanging="284"/>
    </w:pPr>
    <w:rPr>
      <w:rFonts w:ascii="Times New Roman" w:hAnsi="Times New Roman"/>
      <w:color w:val="auto"/>
      <w:sz w:val="20"/>
      <w:szCs w:val="20"/>
      <w:lang w:eastAsia="en-AU"/>
    </w:rPr>
  </w:style>
  <w:style w:type="paragraph" w:customStyle="1" w:styleId="Tablei">
    <w:name w:val="Table(i)"/>
    <w:aliases w:val="taa"/>
    <w:basedOn w:val="Normal"/>
    <w:rsid w:val="00DA4857"/>
    <w:pPr>
      <w:tabs>
        <w:tab w:val="left" w:pos="-6543"/>
        <w:tab w:val="left" w:pos="-6260"/>
        <w:tab w:val="right" w:pos="970"/>
      </w:tabs>
      <w:spacing w:before="0" w:after="0" w:line="240" w:lineRule="exact"/>
      <w:ind w:left="828" w:hanging="284"/>
    </w:pPr>
    <w:rPr>
      <w:rFonts w:ascii="Times New Roman" w:hAnsi="Times New Roman"/>
      <w:color w:val="auto"/>
      <w:sz w:val="20"/>
      <w:szCs w:val="20"/>
      <w:lang w:eastAsia="en-AU"/>
    </w:rPr>
  </w:style>
  <w:style w:type="paragraph" w:customStyle="1" w:styleId="Tabletext0">
    <w:name w:val="Tabletext"/>
    <w:aliases w:val="tt"/>
    <w:basedOn w:val="Normal"/>
    <w:link w:val="TabletextChar"/>
    <w:rsid w:val="00DA4857"/>
    <w:pPr>
      <w:spacing w:before="60" w:after="0" w:line="240" w:lineRule="atLeast"/>
    </w:pPr>
    <w:rPr>
      <w:rFonts w:ascii="Times New Roman" w:hAnsi="Times New Roman"/>
      <w:color w:val="auto"/>
      <w:sz w:val="20"/>
      <w:szCs w:val="20"/>
      <w:lang w:eastAsia="en-AU"/>
    </w:rPr>
  </w:style>
  <w:style w:type="character" w:customStyle="1" w:styleId="TabletextChar">
    <w:name w:val="Tabletext Char"/>
    <w:aliases w:val="tt Char"/>
    <w:basedOn w:val="DefaultParagraphFont"/>
    <w:link w:val="Tabletext0"/>
    <w:locked/>
    <w:rsid w:val="00DA4857"/>
  </w:style>
  <w:style w:type="paragraph" w:customStyle="1" w:styleId="pf0">
    <w:name w:val="pf0"/>
    <w:basedOn w:val="Normal"/>
    <w:rsid w:val="0025019C"/>
    <w:pPr>
      <w:spacing w:before="100" w:beforeAutospacing="1" w:after="100" w:afterAutospacing="1" w:line="240" w:lineRule="auto"/>
    </w:pPr>
    <w:rPr>
      <w:rFonts w:ascii="Times New Roman" w:hAnsi="Times New Roman"/>
      <w:color w:val="auto"/>
      <w:sz w:val="24"/>
      <w:lang w:eastAsia="en-AU"/>
    </w:rPr>
  </w:style>
  <w:style w:type="character" w:customStyle="1" w:styleId="cf01">
    <w:name w:val="cf01"/>
    <w:basedOn w:val="DefaultParagraphFont"/>
    <w:rsid w:val="0025019C"/>
    <w:rPr>
      <w:rFonts w:ascii="Segoe UI" w:hAnsi="Segoe UI" w:cs="Segoe UI" w:hint="default"/>
      <w:sz w:val="18"/>
      <w:szCs w:val="18"/>
    </w:rPr>
  </w:style>
  <w:style w:type="paragraph" w:styleId="Revision">
    <w:name w:val="Revision"/>
    <w:hidden/>
    <w:uiPriority w:val="99"/>
    <w:semiHidden/>
    <w:rsid w:val="00D266BA"/>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1207">
      <w:bodyDiv w:val="1"/>
      <w:marLeft w:val="0"/>
      <w:marRight w:val="0"/>
      <w:marTop w:val="0"/>
      <w:marBottom w:val="0"/>
      <w:divBdr>
        <w:top w:val="none" w:sz="0" w:space="0" w:color="auto"/>
        <w:left w:val="none" w:sz="0" w:space="0" w:color="auto"/>
        <w:bottom w:val="none" w:sz="0" w:space="0" w:color="auto"/>
        <w:right w:val="none" w:sz="0" w:space="0" w:color="auto"/>
      </w:divBdr>
    </w:div>
    <w:div w:id="305551382">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39336056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08851638">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0176415">
      <w:bodyDiv w:val="1"/>
      <w:marLeft w:val="0"/>
      <w:marRight w:val="0"/>
      <w:marTop w:val="0"/>
      <w:marBottom w:val="0"/>
      <w:divBdr>
        <w:top w:val="none" w:sz="0" w:space="0" w:color="auto"/>
        <w:left w:val="none" w:sz="0" w:space="0" w:color="auto"/>
        <w:bottom w:val="none" w:sz="0" w:space="0" w:color="auto"/>
        <w:right w:val="none" w:sz="0" w:space="0" w:color="auto"/>
      </w:divBdr>
    </w:div>
    <w:div w:id="78604569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38503783">
      <w:bodyDiv w:val="1"/>
      <w:marLeft w:val="0"/>
      <w:marRight w:val="0"/>
      <w:marTop w:val="0"/>
      <w:marBottom w:val="0"/>
      <w:divBdr>
        <w:top w:val="none" w:sz="0" w:space="0" w:color="auto"/>
        <w:left w:val="none" w:sz="0" w:space="0" w:color="auto"/>
        <w:bottom w:val="none" w:sz="0" w:space="0" w:color="auto"/>
        <w:right w:val="none" w:sz="0" w:space="0" w:color="auto"/>
      </w:divBdr>
    </w:div>
    <w:div w:id="2044134618">
      <w:bodyDiv w:val="1"/>
      <w:marLeft w:val="0"/>
      <w:marRight w:val="0"/>
      <w:marTop w:val="0"/>
      <w:marBottom w:val="0"/>
      <w:divBdr>
        <w:top w:val="none" w:sz="0" w:space="0" w:color="auto"/>
        <w:left w:val="none" w:sz="0" w:space="0" w:color="auto"/>
        <w:bottom w:val="none" w:sz="0" w:space="0" w:color="auto"/>
        <w:right w:val="none" w:sz="0" w:space="0" w:color="auto"/>
      </w:divBdr>
    </w:div>
    <w:div w:id="208275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bsonline.gov.au/internet/mbsonline/publishing.nsf/Content/Factsheet-temporary-item-32118-ventral-rectopexy" TargetMode="External"/><Relationship Id="rId13" Type="http://schemas.openxmlformats.org/officeDocument/2006/relationships/hyperlink" Target="http://www.health.gov.au/" TargetMode="External"/><Relationship Id="rId18" Type="http://schemas.openxmlformats.org/officeDocument/2006/relationships/hyperlink" Target="mailto:askMBS@health.gov.a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egislation.gov.au" TargetMode="External"/><Relationship Id="rId7" Type="http://schemas.openxmlformats.org/officeDocument/2006/relationships/endnotes" Target="endnotes.xml"/><Relationship Id="rId12" Type="http://schemas.openxmlformats.org/officeDocument/2006/relationships/hyperlink" Target="https://www.health.gov.au/our-work/mbs-review?utm_source=health.gov.au&amp;utm_medium=callout-auto-custom&amp;utm_campaign=digital_transformation" TargetMode="External"/><Relationship Id="rId17" Type="http://schemas.openxmlformats.org/officeDocument/2006/relationships/hyperlink" Target="http://www.mbsonline.gov.a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bsonline.gov.au/" TargetMode="External"/><Relationship Id="rId20" Type="http://schemas.openxmlformats.org/officeDocument/2006/relationships/hyperlink" Target="https://www.health.gov.au/topics/private-health-insurance/private-health-insurance-refor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ac.gov.au/" TargetMode="External"/><Relationship Id="rId24" Type="http://schemas.openxmlformats.org/officeDocument/2006/relationships/hyperlink" Target="http://www.mbsonline.gov.au/internet/mbsonline/publishing.nsf/Content/downloads" TargetMode="External"/><Relationship Id="rId5" Type="http://schemas.openxmlformats.org/officeDocument/2006/relationships/webSettings" Target="webSettings.xml"/><Relationship Id="rId15" Type="http://schemas.openxmlformats.org/officeDocument/2006/relationships/hyperlink" Target="http://www.health.gov.au/" TargetMode="External"/><Relationship Id="rId23" Type="http://schemas.openxmlformats.org/officeDocument/2006/relationships/hyperlink" Target="https://www.servicesaustralia.gov.au/organisations/health-professionals/news/all" TargetMode="External"/><Relationship Id="rId28" Type="http://schemas.openxmlformats.org/officeDocument/2006/relationships/fontTable" Target="fontTable.xml"/><Relationship Id="rId10" Type="http://schemas.openxmlformats.org/officeDocument/2006/relationships/hyperlink" Target="http://www.msac.gov.au/internet/msac/publishing.nsf/Content/application-page" TargetMode="External"/><Relationship Id="rId19" Type="http://schemas.openxmlformats.org/officeDocument/2006/relationships/hyperlink" Target="https://www.privatehealth.gov.au/health_insurance/phichanges/index.htm" TargetMode="External"/><Relationship Id="rId4" Type="http://schemas.openxmlformats.org/officeDocument/2006/relationships/settings" Target="settings.xml"/><Relationship Id="rId9" Type="http://schemas.openxmlformats.org/officeDocument/2006/relationships/hyperlink" Target="http://www.msac.gov.au/internet/msac/publishing.nsf/Content/1685-public" TargetMode="External"/><Relationship Id="rId14" Type="http://schemas.openxmlformats.org/officeDocument/2006/relationships/hyperlink" Target="https://www.health.gov.au/resources/publications/taskforce-final-report-colorectal-surgery-mbs-items?language=en" TargetMode="External"/><Relationship Id="rId22" Type="http://schemas.openxmlformats.org/officeDocument/2006/relationships/hyperlink" Target="mailto:PHI@health.gov.au"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2024-01-23T05:37:00Z</dcterms:created>
  <dcterms:modified xsi:type="dcterms:W3CDTF">2024-02-05T23:51:00Z</dcterms:modified>
</cp:coreProperties>
</file>