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7166B" w14:textId="77777777" w:rsidR="00C17F9B" w:rsidRPr="00C17F9B" w:rsidRDefault="00C17F9B" w:rsidP="00C17F9B">
      <w:pPr>
        <w:rPr>
          <w:rFonts w:ascii="Times New Roman" w:hAnsi="Times New Roman" w:cs="Times New Roman"/>
          <w:color w:val="001A70" w:themeColor="text2"/>
          <w:sz w:val="24"/>
          <w:szCs w:val="24"/>
        </w:rPr>
      </w:pPr>
      <w:r w:rsidRPr="00C17F9B">
        <w:rPr>
          <w:rFonts w:ascii="Times New Roman" w:hAnsi="Times New Roman" w:cs="Times New Roman"/>
          <w:color w:val="001A70" w:themeColor="text2"/>
          <w:sz w:val="24"/>
          <w:szCs w:val="24"/>
        </w:rPr>
        <w:t xml:space="preserve">The Department of Health has prepared this checklist to assist you to comply with your privacy obligations when delivering telehealth services. It provides </w:t>
      </w:r>
      <w:proofErr w:type="gramStart"/>
      <w:r w:rsidRPr="00C17F9B">
        <w:rPr>
          <w:rFonts w:ascii="Times New Roman" w:hAnsi="Times New Roman" w:cs="Times New Roman"/>
          <w:color w:val="001A70" w:themeColor="text2"/>
          <w:sz w:val="24"/>
          <w:szCs w:val="24"/>
        </w:rPr>
        <w:t>high level</w:t>
      </w:r>
      <w:proofErr w:type="gramEnd"/>
      <w:r w:rsidRPr="00C17F9B">
        <w:rPr>
          <w:rFonts w:ascii="Times New Roman" w:hAnsi="Times New Roman" w:cs="Times New Roman"/>
          <w:color w:val="001A70" w:themeColor="text2"/>
          <w:sz w:val="24"/>
          <w:szCs w:val="24"/>
        </w:rPr>
        <w:t xml:space="preserve"> privacy guidance only and should not be relied upon as a substitute for your own legal or other advice.</w:t>
      </w:r>
    </w:p>
    <w:p w14:paraId="67F3F1B7" w14:textId="3334F566" w:rsidR="00C17F9B" w:rsidRPr="00C17F9B" w:rsidRDefault="00C17F9B" w:rsidP="00C17F9B">
      <w:pPr>
        <w:rPr>
          <w:rFonts w:ascii="Times New Roman" w:hAnsi="Times New Roman" w:cs="Times New Roman"/>
          <w:color w:val="001A70" w:themeColor="text2"/>
          <w:sz w:val="24"/>
          <w:szCs w:val="24"/>
        </w:rPr>
      </w:pPr>
      <w:r w:rsidRPr="00C17F9B">
        <w:rPr>
          <w:rFonts w:ascii="Times New Roman" w:hAnsi="Times New Roman" w:cs="Times New Roman"/>
          <w:color w:val="001A70" w:themeColor="text2"/>
          <w:sz w:val="24"/>
          <w:szCs w:val="24"/>
        </w:rPr>
        <w:t xml:space="preserve">For detailed information about delivering telehealth services generally, see guidance published by the </w:t>
      </w:r>
      <w:hyperlink r:id="rId10" w:history="1">
        <w:r w:rsidRPr="00C17F9B">
          <w:rPr>
            <w:rStyle w:val="Hyperlink"/>
            <w:rFonts w:ascii="Times New Roman" w:hAnsi="Times New Roman" w:cs="Times New Roman"/>
            <w:sz w:val="24"/>
            <w:szCs w:val="24"/>
          </w:rPr>
          <w:t>RACGP</w:t>
        </w:r>
      </w:hyperlink>
      <w:r w:rsidRPr="00C17F9B">
        <w:rPr>
          <w:rFonts w:ascii="Times New Roman" w:hAnsi="Times New Roman" w:cs="Times New Roman"/>
          <w:color w:val="001A70" w:themeColor="text2"/>
          <w:sz w:val="24"/>
          <w:szCs w:val="24"/>
        </w:rPr>
        <w:t xml:space="preserve"> (e.g. </w:t>
      </w:r>
      <w:hyperlink r:id="rId11" w:history="1">
        <w:r w:rsidRPr="00C17F9B">
          <w:rPr>
            <w:rStyle w:val="Hyperlink"/>
            <w:rFonts w:ascii="Times New Roman" w:hAnsi="Times New Roman" w:cs="Times New Roman"/>
            <w:sz w:val="24"/>
            <w:szCs w:val="24"/>
          </w:rPr>
          <w:t>Consultations Guide</w:t>
        </w:r>
      </w:hyperlink>
      <w:r w:rsidRPr="00C17F9B">
        <w:rPr>
          <w:rFonts w:ascii="Times New Roman" w:hAnsi="Times New Roman" w:cs="Times New Roman"/>
          <w:color w:val="001A70" w:themeColor="text2"/>
          <w:sz w:val="24"/>
          <w:szCs w:val="24"/>
        </w:rPr>
        <w:t>),</w:t>
      </w:r>
      <w:hyperlink r:id="rId12" w:history="1">
        <w:r w:rsidRPr="00C17F9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AHPRA</w:t>
        </w:r>
      </w:hyperlink>
      <w:r w:rsidRPr="00C17F9B">
        <w:rPr>
          <w:rFonts w:ascii="Times New Roman" w:hAnsi="Times New Roman" w:cs="Times New Roman"/>
          <w:color w:val="001A70" w:themeColor="text2"/>
          <w:sz w:val="24"/>
          <w:szCs w:val="24"/>
        </w:rPr>
        <w:t xml:space="preserve"> and the </w:t>
      </w:r>
      <w:hyperlink r:id="rId13" w:history="1">
        <w:r w:rsidRPr="00C17F9B">
          <w:rPr>
            <w:rStyle w:val="Hyperlink"/>
            <w:rFonts w:ascii="Times New Roman" w:hAnsi="Times New Roman" w:cs="Times New Roman"/>
            <w:sz w:val="24"/>
            <w:szCs w:val="24"/>
          </w:rPr>
          <w:t>British Medical Journal</w:t>
        </w:r>
      </w:hyperlink>
      <w:r w:rsidRPr="00C17F9B">
        <w:rPr>
          <w:rFonts w:ascii="Times New Roman" w:hAnsi="Times New Roman" w:cs="Times New Roman"/>
          <w:color w:val="001A70" w:themeColor="text2"/>
          <w:sz w:val="24"/>
          <w:szCs w:val="24"/>
        </w:rPr>
        <w:t>.</w:t>
      </w:r>
    </w:p>
    <w:p w14:paraId="148CFA6F" w14:textId="77777777" w:rsidR="00C17F9B" w:rsidRPr="00C17F9B" w:rsidRDefault="00C17F9B" w:rsidP="00C17F9B">
      <w:pPr>
        <w:rPr>
          <w:rFonts w:ascii="Times New Roman" w:hAnsi="Times New Roman" w:cs="Times New Roman"/>
          <w:color w:val="001A70" w:themeColor="text2"/>
          <w:sz w:val="24"/>
          <w:szCs w:val="24"/>
        </w:rPr>
      </w:pPr>
      <w:proofErr w:type="gramStart"/>
      <w:r w:rsidRPr="00C17F9B">
        <w:rPr>
          <w:rFonts w:ascii="Times New Roman" w:hAnsi="Times New Roman" w:cs="Times New Roman"/>
          <w:color w:val="001A70" w:themeColor="text2"/>
          <w:sz w:val="24"/>
          <w:szCs w:val="24"/>
        </w:rPr>
        <w:t>For more general information about your privacy obligations,</w:t>
      </w:r>
      <w:proofErr w:type="gramEnd"/>
      <w:r w:rsidRPr="00C17F9B">
        <w:rPr>
          <w:rFonts w:ascii="Times New Roman" w:hAnsi="Times New Roman" w:cs="Times New Roman"/>
          <w:color w:val="001A70" w:themeColor="text2"/>
          <w:sz w:val="24"/>
          <w:szCs w:val="24"/>
        </w:rPr>
        <w:t xml:space="preserve"> see the </w:t>
      </w:r>
      <w:hyperlink r:id="rId14" w:history="1">
        <w:r w:rsidRPr="00C17F9B">
          <w:rPr>
            <w:rStyle w:val="Hyperlink"/>
            <w:rFonts w:ascii="Times New Roman" w:hAnsi="Times New Roman" w:cs="Times New Roman"/>
            <w:sz w:val="24"/>
            <w:szCs w:val="24"/>
          </w:rPr>
          <w:t>OAIC guide to health privacy</w:t>
        </w:r>
      </w:hyperlink>
      <w:r w:rsidRPr="00C17F9B">
        <w:rPr>
          <w:rFonts w:ascii="Times New Roman" w:hAnsi="Times New Roman" w:cs="Times New Roman"/>
          <w:color w:val="001A70" w:themeColor="text2"/>
          <w:sz w:val="24"/>
          <w:szCs w:val="24"/>
        </w:rPr>
        <w:t xml:space="preserve">. The RACGP also has information on their </w:t>
      </w:r>
      <w:r w:rsidRPr="00C17F9B">
        <w:rPr>
          <w:rFonts w:ascii="Times New Roman" w:hAnsi="Times New Roman" w:cs="Times New Roman"/>
          <w:color w:val="001A70" w:themeColor="text2"/>
          <w:sz w:val="24"/>
          <w:szCs w:val="24"/>
          <w:u w:val="single"/>
        </w:rPr>
        <w:t>website</w:t>
      </w:r>
      <w:r w:rsidRPr="00C17F9B">
        <w:rPr>
          <w:rFonts w:ascii="Times New Roman" w:hAnsi="Times New Roman" w:cs="Times New Roman"/>
          <w:color w:val="001A70" w:themeColor="text2"/>
          <w:sz w:val="24"/>
          <w:szCs w:val="24"/>
        </w:rPr>
        <w:t>.</w:t>
      </w:r>
    </w:p>
    <w:tbl>
      <w:tblPr>
        <w:tblW w:w="0" w:type="auto"/>
        <w:tblInd w:w="-3" w:type="dxa"/>
        <w:tblLayout w:type="fixed"/>
        <w:tblLook w:val="00A0" w:firstRow="1" w:lastRow="0" w:firstColumn="1" w:lastColumn="0" w:noHBand="0" w:noVBand="0"/>
      </w:tblPr>
      <w:tblGrid>
        <w:gridCol w:w="1980"/>
        <w:gridCol w:w="7938"/>
      </w:tblGrid>
      <w:tr w:rsidR="00C17F9B" w:rsidRPr="00C17F9B" w14:paraId="367C7A78" w14:textId="77777777" w:rsidTr="00CE59B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3EF3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  <w:t>Patient consent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BED30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Before booking an appointment, obtain the patient’s consent to receive a telehealth service (see </w:t>
            </w:r>
            <w:hyperlink r:id="rId15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RACGP Flowchart 2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). Explain: </w:t>
            </w:r>
          </w:p>
          <w:p w14:paraId="0036F620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what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information will be provided to the telecommunications service e.g. telephone number, email or User ID.</w:t>
            </w:r>
          </w:p>
          <w:p w14:paraId="578CD921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if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the telecommunications service is based overseas, that disclosure may not be protected by Australian privacy laws (see </w:t>
            </w:r>
            <w:hyperlink r:id="rId16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OAIC guidance on overseas disclosure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for specific requirements).</w:t>
            </w:r>
          </w:p>
          <w:p w14:paraId="5172A6F9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that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the service may collect their personal information, and direct the patient to the service provider’s t</w:t>
            </w:r>
            <w:bookmarkStart w:id="0" w:name="_GoBack"/>
            <w:bookmarkEnd w:id="0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erms of use and privacy policy.</w:t>
            </w:r>
          </w:p>
        </w:tc>
      </w:tr>
      <w:tr w:rsidR="00C17F9B" w:rsidRPr="00C17F9B" w14:paraId="3AE00AF7" w14:textId="77777777" w:rsidTr="00CE59B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32987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  <w:t>Contact details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D1B60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When booking the appointment, confirm the patient’s contact details.</w:t>
            </w:r>
          </w:p>
        </w:tc>
      </w:tr>
      <w:tr w:rsidR="00C17F9B" w:rsidRPr="00C17F9B" w14:paraId="0E0C1690" w14:textId="77777777" w:rsidTr="00CE59B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17E72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  <w:t>Privacy notices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CB7A6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Where appropriate, draw the patient’s attention to your </w:t>
            </w:r>
            <w:hyperlink r:id="rId17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privacy policy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or </w:t>
            </w:r>
            <w:hyperlink r:id="rId18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notices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.</w:t>
            </w:r>
          </w:p>
          <w:p w14:paraId="208E4C26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Consider updating your privacy policies or notices to reflected changed practices. </w:t>
            </w:r>
          </w:p>
        </w:tc>
      </w:tr>
      <w:tr w:rsidR="00C17F9B" w:rsidRPr="00C17F9B" w14:paraId="505D6ACC" w14:textId="77777777" w:rsidTr="00CE59B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A541B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  <w:t>Security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92F5A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Select a telecommunications service that is secure and complies with privacy laws. Consider the tips below on selecting a provider. </w:t>
            </w:r>
          </w:p>
          <w:p w14:paraId="146A7B99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</w:r>
            <w:r w:rsidRPr="00C17F9B">
              <w:rPr>
                <w:rFonts w:ascii="Times New Roman" w:hAnsi="Times New Roman" w:cs="Times New Roman"/>
                <w:b/>
                <w:bCs/>
                <w:i/>
                <w:iCs/>
                <w:color w:val="001A70" w:themeColor="text2"/>
                <w:sz w:val="24"/>
                <w:szCs w:val="24"/>
              </w:rPr>
              <w:t>Provide telephone services if you are unsure about online services.</w:t>
            </w:r>
          </w:p>
          <w:p w14:paraId="54144AD0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Implement guidance from the Australian Cyber Security Centre on </w:t>
            </w:r>
            <w:hyperlink r:id="rId19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web conference security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and consider our tips below.</w:t>
            </w:r>
          </w:p>
          <w:p w14:paraId="2986EA2D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Review &amp; implement service provider’s recommended secure configuration advice.</w:t>
            </w:r>
          </w:p>
          <w:p w14:paraId="37D2874E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Consider the use of </w:t>
            </w:r>
            <w:hyperlink r:id="rId20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Password Manager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for any passwords or PINs.</w:t>
            </w:r>
          </w:p>
          <w:p w14:paraId="229D95B4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Ensure operating systems and applications are </w:t>
            </w:r>
            <w:hyperlink r:id="rId21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up-to-date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(</w:t>
            </w:r>
            <w:hyperlink r:id="rId22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Windows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– </w:t>
            </w:r>
            <w:hyperlink r:id="rId23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Apple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).</w:t>
            </w:r>
          </w:p>
          <w:p w14:paraId="1284D01E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Carry out a system test or any training before going live (</w:t>
            </w:r>
            <w:hyperlink r:id="rId24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RACGP Flowchart 1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).</w:t>
            </w:r>
          </w:p>
          <w:p w14:paraId="0C30CB72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Deliver services from a private and secure physical space.</w:t>
            </w:r>
          </w:p>
          <w:p w14:paraId="46F97EE6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lastRenderedPageBreak/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Consider if additional IT access or physical security measures </w:t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are needed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if working remotely (see </w:t>
            </w:r>
            <w:hyperlink r:id="rId25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OAIC Guide to assessing risks in changed working environments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).</w:t>
            </w:r>
          </w:p>
          <w:p w14:paraId="6C861704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Have a data breach action plan in place, including guidance on responding to a security or service provider breach (see </w:t>
            </w:r>
            <w:hyperlink r:id="rId26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OAIC Data breach action plan for health service providers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).</w:t>
            </w:r>
          </w:p>
          <w:p w14:paraId="6F2DF002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Refer to OAIC </w:t>
            </w:r>
            <w:hyperlink r:id="rId27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Guide to securing personal information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for more detailed requirements.</w:t>
            </w:r>
          </w:p>
        </w:tc>
      </w:tr>
      <w:tr w:rsidR="00C17F9B" w:rsidRPr="00C17F9B" w14:paraId="78E43916" w14:textId="77777777" w:rsidTr="00CE59B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6E782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  <w:lastRenderedPageBreak/>
              <w:t>Conducting the consultation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C2013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Verify the patient’s identity, and the identity of anyone else in attendance, at the start of the consultation. Confirm ongoing consent (see </w:t>
            </w:r>
            <w:hyperlink r:id="rId28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RACGP Flowchart 2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). </w:t>
            </w:r>
          </w:p>
          <w:p w14:paraId="61E73511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Collect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only the information you need to deliver the service (see </w:t>
            </w:r>
            <w:hyperlink r:id="rId29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OAIC guide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). </w:t>
            </w:r>
          </w:p>
          <w:p w14:paraId="7DEBC7E8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Plan how you will manage any new kinds of information </w:t>
            </w:r>
            <w:proofErr w:type="spell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e.g</w:t>
            </w:r>
            <w:proofErr w:type="spell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patients emails, photos.</w:t>
            </w:r>
          </w:p>
          <w:p w14:paraId="5960FD5A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Ensure you keep accurate and complete records, including when you send records by email, text or fax. Your records should be at the same standard as for a face-to-face consultation.</w:t>
            </w:r>
          </w:p>
        </w:tc>
      </w:tr>
      <w:tr w:rsidR="00C17F9B" w:rsidRPr="00C17F9B" w14:paraId="42F0FF57" w14:textId="77777777" w:rsidTr="00CE59B0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F0790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  <w:t>Sending patient information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201D8" w14:textId="06C30553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Obtain patient consent to send</w:t>
            </w:r>
            <w:r w:rsidR="00CE59B0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a prescription to a pharmacy 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of their choice, or make a diagnostic image request or specialist referral.</w:t>
            </w:r>
          </w:p>
          <w:p w14:paraId="328D8FD7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Confirm contact details before sending information to the patient or a third party.</w:t>
            </w:r>
          </w:p>
          <w:p w14:paraId="7BD3F2CF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Use secure means to send information (see tips below).</w:t>
            </w:r>
          </w:p>
          <w:p w14:paraId="0D16E8E3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When sending records electronically, mark as confidential. Include a message asking recipients who believe the information </w:t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was sent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to them by mistake, to delete and advise the sender.</w:t>
            </w:r>
          </w:p>
        </w:tc>
      </w:tr>
    </w:tbl>
    <w:p w14:paraId="32809342" w14:textId="77777777" w:rsidR="00C17F9B" w:rsidRPr="00C17F9B" w:rsidRDefault="00C17F9B" w:rsidP="00C17F9B">
      <w:pPr>
        <w:rPr>
          <w:rFonts w:ascii="Times New Roman" w:hAnsi="Times New Roman" w:cs="Times New Roman"/>
          <w:color w:val="001A70" w:themeColor="text2"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A0" w:firstRow="1" w:lastRow="0" w:firstColumn="1" w:lastColumn="0" w:noHBand="0" w:noVBand="0"/>
      </w:tblPr>
      <w:tblGrid>
        <w:gridCol w:w="9918"/>
      </w:tblGrid>
      <w:tr w:rsidR="00C17F9B" w:rsidRPr="00C17F9B" w14:paraId="121701B0" w14:textId="77777777">
        <w:tc>
          <w:tcPr>
            <w:tcW w:w="9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vAlign w:val="center"/>
          </w:tcPr>
          <w:p w14:paraId="099E1EFA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b/>
                <w:bCs/>
                <w:color w:val="001A70" w:themeColor="text2"/>
                <w:sz w:val="24"/>
                <w:szCs w:val="24"/>
              </w:rPr>
              <w:t>Tips for choosing a Conferencing provider</w:t>
            </w:r>
          </w:p>
        </w:tc>
      </w:tr>
      <w:tr w:rsidR="00C17F9B" w:rsidRPr="00C17F9B" w14:paraId="0857EF83" w14:textId="77777777">
        <w:tc>
          <w:tcPr>
            <w:tcW w:w="9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87E81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b/>
                <w:bCs/>
                <w:i/>
                <w:iCs/>
                <w:color w:val="001A70" w:themeColor="text2"/>
                <w:sz w:val="24"/>
                <w:szCs w:val="24"/>
              </w:rPr>
              <w:t>Choose a service provider</w:t>
            </w:r>
          </w:p>
          <w:p w14:paraId="3609CBDE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Review product ‘security’ information in the features section of the provider’s website. </w:t>
            </w:r>
          </w:p>
          <w:p w14:paraId="30DED58C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Look for a solution that offers end-to-end encryption.</w:t>
            </w:r>
          </w:p>
          <w:p w14:paraId="6FB323CA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Look for a solution where the platform cannot see your calls.</w:t>
            </w:r>
          </w:p>
          <w:p w14:paraId="4670E49C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Look for a solution that has passcode and meeting ID.</w:t>
            </w:r>
          </w:p>
          <w:p w14:paraId="73FF019F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lastRenderedPageBreak/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Look for a solution that allows you to manage the participants, or lock meetings once all participants have joined.</w:t>
            </w:r>
          </w:p>
          <w:p w14:paraId="18EE1F82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Look for a solution that stores data in Australia. Where data is stored will be set out in the provider’s privacy policy. If data is stored overseas, consider the risk of </w:t>
            </w:r>
            <w:hyperlink r:id="rId30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overseas disclosure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.</w:t>
            </w:r>
          </w:p>
          <w:p w14:paraId="023B83B0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Look for a solution that meets </w:t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these requirement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for any free version that may be used by patients.</w:t>
            </w:r>
          </w:p>
          <w:p w14:paraId="4037B906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A number of video conference providers will offer both voice and video conferencing options.</w:t>
            </w:r>
          </w:p>
          <w:p w14:paraId="34C1FCF7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Some solutions offer the ability to blur backgrounds. However, it is preferable to place your camera where there is a plain background (such as a blank wall).</w:t>
            </w:r>
          </w:p>
          <w:p w14:paraId="11125BC9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If you are looking at a solution that allows you to share files, ensure the solution again offers encryption end-to-end. Some solutions also offer the ability to destroy or expire the link.</w:t>
            </w:r>
          </w:p>
        </w:tc>
      </w:tr>
      <w:tr w:rsidR="00C17F9B" w:rsidRPr="00C17F9B" w14:paraId="26C29A9C" w14:textId="77777777">
        <w:tc>
          <w:tcPr>
            <w:tcW w:w="9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C1EA0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b/>
                <w:bCs/>
                <w:i/>
                <w:iCs/>
                <w:color w:val="001A70" w:themeColor="text2"/>
                <w:sz w:val="24"/>
                <w:szCs w:val="24"/>
              </w:rPr>
              <w:lastRenderedPageBreak/>
              <w:t>Tips for choosing a Teleconferencing provider</w:t>
            </w:r>
          </w:p>
          <w:p w14:paraId="0A7FB625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Look for a solution that offers dedicated lines.</w:t>
            </w:r>
          </w:p>
          <w:p w14:paraId="607B70FF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Look for a solution that allows guests to record their name upon entry to the conference, which </w:t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is then played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on entry and/or exit.</w:t>
            </w:r>
          </w:p>
          <w:p w14:paraId="7AAAD261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Look for a solution that allows you to manage the participants, or lock meetings once all participants have joined.</w:t>
            </w:r>
          </w:p>
          <w:p w14:paraId="0655DB16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Look for a solution that has a meeting ID with host and participant pins.</w:t>
            </w:r>
          </w:p>
        </w:tc>
      </w:tr>
      <w:tr w:rsidR="00C17F9B" w:rsidRPr="00C17F9B" w14:paraId="01F48A4A" w14:textId="77777777">
        <w:tc>
          <w:tcPr>
            <w:tcW w:w="9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20E51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b/>
                <w:bCs/>
                <w:i/>
                <w:iCs/>
                <w:color w:val="001A70" w:themeColor="text2"/>
                <w:sz w:val="24"/>
                <w:szCs w:val="24"/>
              </w:rPr>
              <w:t>Tips for use of Video Conferencing</w:t>
            </w:r>
          </w:p>
          <w:p w14:paraId="53DC0361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Default settings on the videoconference service may need to </w:t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be configured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to meet security needs. </w:t>
            </w:r>
          </w:p>
          <w:p w14:paraId="3A7A84CB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Session recording </w:t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should be disabled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. Where this is a requirement, you must get permission to record a video conference from everyone on the call.</w:t>
            </w:r>
          </w:p>
          <w:p w14:paraId="09453073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Personal mobile devices </w:t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should not be used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to record video conferences.</w:t>
            </w:r>
          </w:p>
          <w:p w14:paraId="3E6050F1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Set up separate sessions for each participant with unique login details.</w:t>
            </w:r>
          </w:p>
          <w:p w14:paraId="100E0AFD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Sensitive health or medical information </w:t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should be discussed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in designated video conference rooms and not in public places or open office spaces.</w:t>
            </w:r>
          </w:p>
          <w:p w14:paraId="05C852CC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Video conferences conducted at a user’s desk should train the camera to focus on the user’s face, and any visible confidential data </w:t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should be removed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from camera view.</w:t>
            </w:r>
          </w:p>
          <w:p w14:paraId="711D0923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Cameras and microphones </w:t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should be turned off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when not in use.</w:t>
            </w:r>
          </w:p>
        </w:tc>
      </w:tr>
      <w:tr w:rsidR="00C17F9B" w:rsidRPr="00C17F9B" w14:paraId="6F4B356D" w14:textId="77777777">
        <w:tc>
          <w:tcPr>
            <w:tcW w:w="9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9F50D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b/>
                <w:bCs/>
                <w:i/>
                <w:iCs/>
                <w:color w:val="001A70" w:themeColor="text2"/>
                <w:sz w:val="24"/>
                <w:szCs w:val="24"/>
              </w:rPr>
              <w:t>Tips for choosing an email solution</w:t>
            </w:r>
          </w:p>
          <w:p w14:paraId="04EAC819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Look for a solution that </w:t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is targeted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toward business and/or commercial. </w:t>
            </w:r>
          </w:p>
          <w:p w14:paraId="3E0B1F6E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lastRenderedPageBreak/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Look for a solution the offers the following:</w:t>
            </w:r>
          </w:p>
          <w:p w14:paraId="4BC18937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o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End-to-end encryption </w:t>
            </w:r>
          </w:p>
          <w:p w14:paraId="5AB9DD0B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o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Two factor authentication</w:t>
            </w:r>
          </w:p>
          <w:p w14:paraId="2761D593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o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>Message recall or message self-destruct feature.</w:t>
            </w:r>
          </w:p>
        </w:tc>
      </w:tr>
      <w:tr w:rsidR="00C17F9B" w:rsidRPr="00C17F9B" w14:paraId="1B894403" w14:textId="77777777">
        <w:tc>
          <w:tcPr>
            <w:tcW w:w="9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D8C50" w14:textId="77777777" w:rsidR="00C17F9B" w:rsidRPr="00C17F9B" w:rsidRDefault="00C17F9B" w:rsidP="00C17F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b/>
                <w:bCs/>
                <w:i/>
                <w:iCs/>
                <w:color w:val="001A70" w:themeColor="text2"/>
                <w:sz w:val="24"/>
                <w:szCs w:val="24"/>
              </w:rPr>
              <w:lastRenderedPageBreak/>
              <w:t xml:space="preserve">Tips for using email </w:t>
            </w:r>
          </w:p>
          <w:p w14:paraId="410C9A53" w14:textId="77777777" w:rsidR="00C17F9B" w:rsidRPr="00C17F9B" w:rsidRDefault="00C17F9B" w:rsidP="00C17F9B">
            <w:pPr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</w:pP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·</w:t>
            </w:r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ab/>
              <w:t xml:space="preserve">Where you have an existing email solution that </w:t>
            </w:r>
            <w:proofErr w:type="gramStart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>doesn’t</w:t>
            </w:r>
            <w:proofErr w:type="gramEnd"/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offer end-to-end encryption, health information should be sent in </w:t>
            </w:r>
            <w:hyperlink r:id="rId31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encrypted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email attachments or </w:t>
            </w:r>
            <w:hyperlink r:id="rId32" w:history="1">
              <w:r w:rsidRPr="00C17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password protected PDFs</w:t>
              </w:r>
            </w:hyperlink>
            <w:r w:rsidRPr="00C17F9B">
              <w:rPr>
                <w:rFonts w:ascii="Times New Roman" w:hAnsi="Times New Roman" w:cs="Times New Roman"/>
                <w:color w:val="001A70" w:themeColor="text2"/>
                <w:sz w:val="24"/>
                <w:szCs w:val="24"/>
              </w:rPr>
              <w:t xml:space="preserve"> rather than in the email body or by fax.</w:t>
            </w:r>
          </w:p>
        </w:tc>
      </w:tr>
    </w:tbl>
    <w:p w14:paraId="207F7518" w14:textId="77777777" w:rsidR="00D64587" w:rsidRPr="00C17F9B" w:rsidRDefault="00D64587" w:rsidP="00C17F9B">
      <w:pPr>
        <w:rPr>
          <w:rFonts w:ascii="Times New Roman" w:hAnsi="Times New Roman" w:cs="Times New Roman"/>
          <w:sz w:val="24"/>
          <w:szCs w:val="24"/>
        </w:rPr>
      </w:pPr>
    </w:p>
    <w:sectPr w:rsidR="00D64587" w:rsidRPr="00C17F9B" w:rsidSect="003E6457">
      <w:headerReference w:type="default" r:id="rId33"/>
      <w:footerReference w:type="default" r:id="rId34"/>
      <w:type w:val="continuous"/>
      <w:pgSz w:w="11906" w:h="16838"/>
      <w:pgMar w:top="32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25F9D" w14:textId="77777777" w:rsidR="005F0FEE" w:rsidRDefault="005F0FEE" w:rsidP="006D1088">
      <w:pPr>
        <w:spacing w:after="0" w:line="240" w:lineRule="auto"/>
      </w:pPr>
      <w:r>
        <w:separator/>
      </w:r>
    </w:p>
  </w:endnote>
  <w:endnote w:type="continuationSeparator" w:id="0">
    <w:p w14:paraId="1C76D61E" w14:textId="77777777" w:rsidR="005F0FEE" w:rsidRDefault="005F0FEE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B670D" w14:textId="431D984F" w:rsidR="006C5F27" w:rsidRDefault="009D60CF" w:rsidP="009D60CF">
    <w:pPr>
      <w:pStyle w:val="Footer"/>
      <w:jc w:val="right"/>
    </w:pPr>
    <w:r>
      <w:t>Last updated 4 August 2020</w:t>
    </w:r>
    <w:r>
      <w:tab/>
    </w:r>
    <w:r>
      <w:tab/>
    </w:r>
    <w:r>
      <w:tab/>
    </w:r>
    <w:r>
      <w:tab/>
    </w:r>
    <w:sdt>
      <w:sdtPr>
        <w:id w:val="20653750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B9A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4485E" w14:textId="77777777" w:rsidR="005F0FEE" w:rsidRDefault="005F0FEE" w:rsidP="006D1088">
      <w:pPr>
        <w:spacing w:after="0" w:line="240" w:lineRule="auto"/>
      </w:pPr>
      <w:r>
        <w:separator/>
      </w:r>
    </w:p>
  </w:footnote>
  <w:footnote w:type="continuationSeparator" w:id="0">
    <w:p w14:paraId="4296A9C7" w14:textId="77777777" w:rsidR="005F0FEE" w:rsidRDefault="005F0FEE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E0504" w14:textId="77777777" w:rsidR="006D1088" w:rsidRDefault="008553F7">
    <w:pPr>
      <w:pStyle w:val="Header"/>
    </w:pPr>
    <w:r w:rsidRPr="00113A8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A622DA" wp14:editId="75C7F989">
              <wp:simplePos x="0" y="0"/>
              <wp:positionH relativeFrom="margin">
                <wp:align>right</wp:align>
              </wp:positionH>
              <wp:positionV relativeFrom="paragraph">
                <wp:posOffset>-320791</wp:posOffset>
              </wp:positionV>
              <wp:extent cx="2537138" cy="1285200"/>
              <wp:effectExtent l="0" t="0" r="0" b="0"/>
              <wp:wrapNone/>
              <wp:docPr id="6" name="Title 3">
                <a:extLst xmlns:a="http://schemas.openxmlformats.org/drawingml/2006/main"/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537138" cy="1285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43A56" w14:textId="69016504" w:rsidR="00C17F9B" w:rsidRPr="009A05D5" w:rsidRDefault="00C17F9B" w:rsidP="00C17F9B">
                          <w:pPr>
                            <w:pStyle w:val="NormalWeb"/>
                            <w:spacing w:line="600" w:lineRule="exact"/>
                            <w:jc w:val="right"/>
                            <w:rPr>
                              <w:rFonts w:asciiTheme="majorHAnsi" w:eastAsiaTheme="majorEastAsia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28"/>
                              <w:szCs w:val="28"/>
                            </w:rPr>
                          </w:pPr>
                          <w:r w:rsidRPr="009A05D5">
                            <w:rPr>
                              <w:rFonts w:asciiTheme="majorHAnsi" w:eastAsiaTheme="majorEastAsia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28"/>
                              <w:szCs w:val="28"/>
                            </w:rPr>
                            <w:t xml:space="preserve">Factsheet - Privacy Checklist for Telehealth Services </w:t>
                          </w:r>
                        </w:p>
                        <w:p w14:paraId="265EDC67" w14:textId="1EDD2EFB" w:rsidR="008553F7" w:rsidRDefault="00C17F9B" w:rsidP="00420023">
                          <w:pPr>
                            <w:pStyle w:val="NormalWeb"/>
                            <w:spacing w:before="0" w:beforeAutospacing="0" w:after="0" w:afterAutospacing="0" w:line="600" w:lineRule="exact"/>
                            <w:jc w:val="right"/>
                          </w:pPr>
                          <w:r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56"/>
                              <w:szCs w:val="5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8553F7"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56"/>
                              <w:szCs w:val="56"/>
                              <w:lang w:val="en-US"/>
                            </w:rPr>
                            <w:t>hanges</w:t>
                          </w:r>
                          <w:proofErr w:type="spellEnd"/>
                          <w:proofErr w:type="gramEnd"/>
                          <w:r w:rsidR="008553F7"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56"/>
                              <w:szCs w:val="56"/>
                              <w:lang w:val="en-US"/>
                            </w:rPr>
                            <w:t xml:space="preserve"> factsheet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A622DA" id="Title 3" o:spid="_x0000_s1026" style="position:absolute;margin-left:148.55pt;margin-top:-25.25pt;width:199.75pt;height:101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" filled="f" stroked="f">
              <v:path arrowok="t"/>
              <o:lock v:ext="edit" grouping="t"/>
              <v:textbox>
                <w:txbxContent>
                  <w:p w14:paraId="74C43A56" w14:textId="69016504" w:rsidR="00C17F9B" w:rsidRPr="009A05D5" w:rsidRDefault="00C17F9B" w:rsidP="00C17F9B">
                    <w:pPr>
                      <w:pStyle w:val="NormalWeb"/>
                      <w:spacing w:line="600" w:lineRule="exact"/>
                      <w:jc w:val="right"/>
                      <w:rPr>
                        <w:rFonts w:asciiTheme="majorHAnsi" w:eastAsiaTheme="majorEastAsia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28"/>
                        <w:szCs w:val="28"/>
                      </w:rPr>
                    </w:pPr>
                    <w:r w:rsidRPr="009A05D5">
                      <w:rPr>
                        <w:rFonts w:asciiTheme="majorHAnsi" w:eastAsiaTheme="majorEastAsia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28"/>
                        <w:szCs w:val="28"/>
                      </w:rPr>
                      <w:t xml:space="preserve">Factsheet - Privacy Checklist for Telehealth Services </w:t>
                    </w:r>
                  </w:p>
                  <w:p w14:paraId="265EDC67" w14:textId="1EDD2EFB" w:rsidR="008553F7" w:rsidRDefault="00C17F9B" w:rsidP="00420023">
                    <w:pPr>
                      <w:pStyle w:val="NormalWeb"/>
                      <w:spacing w:before="0" w:beforeAutospacing="0" w:after="0" w:afterAutospacing="0" w:line="600" w:lineRule="exact"/>
                      <w:jc w:val="right"/>
                    </w:pPr>
                    <w:r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56"/>
                        <w:szCs w:val="56"/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 w:rsidR="008553F7"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56"/>
                        <w:szCs w:val="56"/>
                        <w:lang w:val="en-US"/>
                      </w:rPr>
                      <w:t>hanges</w:t>
                    </w:r>
                    <w:proofErr w:type="spellEnd"/>
                    <w:proofErr w:type="gramEnd"/>
                    <w:r w:rsidR="008553F7"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56"/>
                        <w:szCs w:val="56"/>
                        <w:lang w:val="en-US"/>
                      </w:rPr>
                      <w:t xml:space="preserve"> factsheet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D1088" w:rsidRPr="006D108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AB76D39" wp14:editId="29E5F64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1BA57" w14:textId="77777777" w:rsidR="006C5F27" w:rsidRDefault="006C5F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E5238"/>
    <w:multiLevelType w:val="hybridMultilevel"/>
    <w:tmpl w:val="E99E100E"/>
    <w:lvl w:ilvl="0" w:tplc="0248EE7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E2335C"/>
    <w:multiLevelType w:val="hybridMultilevel"/>
    <w:tmpl w:val="191A61CE"/>
    <w:lvl w:ilvl="0" w:tplc="6C76454A">
      <w:start w:val="1"/>
      <w:numFmt w:val="bullet"/>
      <w:pStyle w:val="Bullet"/>
      <w:lvlText w:val=""/>
      <w:lvlJc w:val="left"/>
      <w:pPr>
        <w:ind w:left="1914" w:hanging="360"/>
      </w:pPr>
      <w:rPr>
        <w:rFonts w:ascii="Wingdings 3" w:hAnsi="Wingdings 3" w:hint="default"/>
        <w:color w:val="auto"/>
        <w:position w:val="2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 w15:restartNumberingAfterBreak="0">
    <w:nsid w:val="17012DC6"/>
    <w:multiLevelType w:val="hybridMultilevel"/>
    <w:tmpl w:val="7526A996"/>
    <w:lvl w:ilvl="0" w:tplc="8D86FA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3F6D43"/>
    <w:multiLevelType w:val="hybridMultilevel"/>
    <w:tmpl w:val="D85E0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35A91"/>
    <w:multiLevelType w:val="hybridMultilevel"/>
    <w:tmpl w:val="13CE19E0"/>
    <w:lvl w:ilvl="0" w:tplc="819E1B3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1C44B9"/>
    <w:multiLevelType w:val="hybridMultilevel"/>
    <w:tmpl w:val="9DDEDFC0"/>
    <w:lvl w:ilvl="0" w:tplc="0248EE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F4A5E"/>
    <w:multiLevelType w:val="hybridMultilevel"/>
    <w:tmpl w:val="7E32B546"/>
    <w:lvl w:ilvl="0" w:tplc="456E220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F405B"/>
    <w:multiLevelType w:val="hybridMultilevel"/>
    <w:tmpl w:val="D5781528"/>
    <w:lvl w:ilvl="0" w:tplc="0248EE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D6286"/>
    <w:multiLevelType w:val="hybridMultilevel"/>
    <w:tmpl w:val="E7F43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3"/>
  </w:num>
  <w:num w:numId="16">
    <w:abstractNumId w:val="17"/>
  </w:num>
  <w:num w:numId="17">
    <w:abstractNumId w:val="12"/>
  </w:num>
  <w:num w:numId="18">
    <w:abstractNumId w:val="10"/>
  </w:num>
  <w:num w:numId="19">
    <w:abstractNumId w:val="11"/>
  </w:num>
  <w:num w:numId="20">
    <w:abstractNumId w:val="15"/>
  </w:num>
  <w:num w:numId="21">
    <w:abstractNumId w:val="16"/>
  </w:num>
  <w:num w:numId="22">
    <w:abstractNumId w:val="1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EE"/>
    <w:rsid w:val="000074DD"/>
    <w:rsid w:val="000367AA"/>
    <w:rsid w:val="000411E0"/>
    <w:rsid w:val="00045810"/>
    <w:rsid w:val="00081B97"/>
    <w:rsid w:val="00085277"/>
    <w:rsid w:val="000A2F0A"/>
    <w:rsid w:val="000B01AE"/>
    <w:rsid w:val="000B2A1B"/>
    <w:rsid w:val="000C2143"/>
    <w:rsid w:val="000C3B83"/>
    <w:rsid w:val="000D1778"/>
    <w:rsid w:val="001014EB"/>
    <w:rsid w:val="00102885"/>
    <w:rsid w:val="00121100"/>
    <w:rsid w:val="00124E0B"/>
    <w:rsid w:val="0012779E"/>
    <w:rsid w:val="00130343"/>
    <w:rsid w:val="00135417"/>
    <w:rsid w:val="00141BC3"/>
    <w:rsid w:val="001432AF"/>
    <w:rsid w:val="00151636"/>
    <w:rsid w:val="00155BD4"/>
    <w:rsid w:val="0015621C"/>
    <w:rsid w:val="00167446"/>
    <w:rsid w:val="0017279A"/>
    <w:rsid w:val="00172B1A"/>
    <w:rsid w:val="0018054B"/>
    <w:rsid w:val="00181B52"/>
    <w:rsid w:val="0018507E"/>
    <w:rsid w:val="0019170A"/>
    <w:rsid w:val="001A6FE6"/>
    <w:rsid w:val="001A7FB7"/>
    <w:rsid w:val="001C5C56"/>
    <w:rsid w:val="001E3FEC"/>
    <w:rsid w:val="001E6F63"/>
    <w:rsid w:val="001F49E8"/>
    <w:rsid w:val="00200902"/>
    <w:rsid w:val="00203F3E"/>
    <w:rsid w:val="0021035A"/>
    <w:rsid w:val="00221334"/>
    <w:rsid w:val="002427E0"/>
    <w:rsid w:val="00243D1C"/>
    <w:rsid w:val="00262717"/>
    <w:rsid w:val="0026502E"/>
    <w:rsid w:val="00276A29"/>
    <w:rsid w:val="00281820"/>
    <w:rsid w:val="0029571B"/>
    <w:rsid w:val="00296E28"/>
    <w:rsid w:val="002A3C7C"/>
    <w:rsid w:val="002A5A70"/>
    <w:rsid w:val="002B70AC"/>
    <w:rsid w:val="002C1774"/>
    <w:rsid w:val="002D2CC5"/>
    <w:rsid w:val="002D5DAF"/>
    <w:rsid w:val="002D6939"/>
    <w:rsid w:val="003122B4"/>
    <w:rsid w:val="00337919"/>
    <w:rsid w:val="00345DC5"/>
    <w:rsid w:val="00352174"/>
    <w:rsid w:val="00355E8A"/>
    <w:rsid w:val="00363819"/>
    <w:rsid w:val="003700B3"/>
    <w:rsid w:val="0037163D"/>
    <w:rsid w:val="00374AE3"/>
    <w:rsid w:val="003A06B7"/>
    <w:rsid w:val="003A097E"/>
    <w:rsid w:val="003A52BA"/>
    <w:rsid w:val="003B56AD"/>
    <w:rsid w:val="003D5CEF"/>
    <w:rsid w:val="003E0945"/>
    <w:rsid w:val="003E6457"/>
    <w:rsid w:val="003F6682"/>
    <w:rsid w:val="003F6A4F"/>
    <w:rsid w:val="00405506"/>
    <w:rsid w:val="00420023"/>
    <w:rsid w:val="00422665"/>
    <w:rsid w:val="00425089"/>
    <w:rsid w:val="00427D7F"/>
    <w:rsid w:val="004324B6"/>
    <w:rsid w:val="00433682"/>
    <w:rsid w:val="0043744D"/>
    <w:rsid w:val="004406EB"/>
    <w:rsid w:val="00445086"/>
    <w:rsid w:val="004511F2"/>
    <w:rsid w:val="00467CD7"/>
    <w:rsid w:val="00475E53"/>
    <w:rsid w:val="004835F0"/>
    <w:rsid w:val="00494B72"/>
    <w:rsid w:val="00496081"/>
    <w:rsid w:val="004A1348"/>
    <w:rsid w:val="004B243F"/>
    <w:rsid w:val="004C2B08"/>
    <w:rsid w:val="004D2C7C"/>
    <w:rsid w:val="004D71C4"/>
    <w:rsid w:val="004E1559"/>
    <w:rsid w:val="004E52A2"/>
    <w:rsid w:val="004E7C80"/>
    <w:rsid w:val="004F0AA6"/>
    <w:rsid w:val="004F2B84"/>
    <w:rsid w:val="004F2E8D"/>
    <w:rsid w:val="00503D72"/>
    <w:rsid w:val="005060B9"/>
    <w:rsid w:val="00510063"/>
    <w:rsid w:val="0052108D"/>
    <w:rsid w:val="005261D0"/>
    <w:rsid w:val="00526B7A"/>
    <w:rsid w:val="00533EA6"/>
    <w:rsid w:val="0054242B"/>
    <w:rsid w:val="00542F07"/>
    <w:rsid w:val="00543427"/>
    <w:rsid w:val="00550525"/>
    <w:rsid w:val="00570B62"/>
    <w:rsid w:val="0058065A"/>
    <w:rsid w:val="00595BBD"/>
    <w:rsid w:val="0059641E"/>
    <w:rsid w:val="005C437D"/>
    <w:rsid w:val="005E1472"/>
    <w:rsid w:val="005F0FEE"/>
    <w:rsid w:val="006173AC"/>
    <w:rsid w:val="0062100F"/>
    <w:rsid w:val="00634194"/>
    <w:rsid w:val="00634880"/>
    <w:rsid w:val="006425BA"/>
    <w:rsid w:val="00650B9A"/>
    <w:rsid w:val="00653345"/>
    <w:rsid w:val="00655D74"/>
    <w:rsid w:val="00656F11"/>
    <w:rsid w:val="00664E1C"/>
    <w:rsid w:val="00670DFE"/>
    <w:rsid w:val="00684D37"/>
    <w:rsid w:val="00687105"/>
    <w:rsid w:val="00694030"/>
    <w:rsid w:val="006961D6"/>
    <w:rsid w:val="006A175B"/>
    <w:rsid w:val="006A788C"/>
    <w:rsid w:val="006C5F27"/>
    <w:rsid w:val="006D04CC"/>
    <w:rsid w:val="006D1088"/>
    <w:rsid w:val="006D2A35"/>
    <w:rsid w:val="006E3573"/>
    <w:rsid w:val="006F5785"/>
    <w:rsid w:val="00726103"/>
    <w:rsid w:val="00727F4C"/>
    <w:rsid w:val="00734F6B"/>
    <w:rsid w:val="00736D31"/>
    <w:rsid w:val="0074139E"/>
    <w:rsid w:val="007430C1"/>
    <w:rsid w:val="0074468D"/>
    <w:rsid w:val="00781867"/>
    <w:rsid w:val="00785ABB"/>
    <w:rsid w:val="007D1D3A"/>
    <w:rsid w:val="007E2604"/>
    <w:rsid w:val="007E33D2"/>
    <w:rsid w:val="00822065"/>
    <w:rsid w:val="008307E4"/>
    <w:rsid w:val="00834903"/>
    <w:rsid w:val="008352AC"/>
    <w:rsid w:val="00852651"/>
    <w:rsid w:val="008553F7"/>
    <w:rsid w:val="00864E28"/>
    <w:rsid w:val="008766AD"/>
    <w:rsid w:val="00881219"/>
    <w:rsid w:val="008869FA"/>
    <w:rsid w:val="008957B9"/>
    <w:rsid w:val="008A067A"/>
    <w:rsid w:val="008A6F4F"/>
    <w:rsid w:val="008B336D"/>
    <w:rsid w:val="008E258C"/>
    <w:rsid w:val="008E4C9B"/>
    <w:rsid w:val="008E7B7C"/>
    <w:rsid w:val="008F1594"/>
    <w:rsid w:val="008F4B45"/>
    <w:rsid w:val="009000AA"/>
    <w:rsid w:val="00903783"/>
    <w:rsid w:val="00907B4A"/>
    <w:rsid w:val="0091706C"/>
    <w:rsid w:val="00942A31"/>
    <w:rsid w:val="009532A1"/>
    <w:rsid w:val="009542F2"/>
    <w:rsid w:val="009562F4"/>
    <w:rsid w:val="00977405"/>
    <w:rsid w:val="009858E2"/>
    <w:rsid w:val="009939C3"/>
    <w:rsid w:val="009944BA"/>
    <w:rsid w:val="00997B1B"/>
    <w:rsid w:val="009A05D5"/>
    <w:rsid w:val="009B32BA"/>
    <w:rsid w:val="009B51E7"/>
    <w:rsid w:val="009B5206"/>
    <w:rsid w:val="009B7859"/>
    <w:rsid w:val="009C742B"/>
    <w:rsid w:val="009D0B98"/>
    <w:rsid w:val="009D60CF"/>
    <w:rsid w:val="009E4A9E"/>
    <w:rsid w:val="009E66EE"/>
    <w:rsid w:val="009E6DE2"/>
    <w:rsid w:val="009F52D4"/>
    <w:rsid w:val="00A1312B"/>
    <w:rsid w:val="00A26321"/>
    <w:rsid w:val="00A3287F"/>
    <w:rsid w:val="00A37CE3"/>
    <w:rsid w:val="00A42F78"/>
    <w:rsid w:val="00A51FC5"/>
    <w:rsid w:val="00A5641C"/>
    <w:rsid w:val="00A60FB7"/>
    <w:rsid w:val="00A64177"/>
    <w:rsid w:val="00A7172E"/>
    <w:rsid w:val="00A75DC5"/>
    <w:rsid w:val="00A91196"/>
    <w:rsid w:val="00AA41CD"/>
    <w:rsid w:val="00AA5232"/>
    <w:rsid w:val="00AA69A9"/>
    <w:rsid w:val="00AB53A4"/>
    <w:rsid w:val="00AE2F7E"/>
    <w:rsid w:val="00AF1B09"/>
    <w:rsid w:val="00AF2B9A"/>
    <w:rsid w:val="00AF51AC"/>
    <w:rsid w:val="00B06E28"/>
    <w:rsid w:val="00B15CE8"/>
    <w:rsid w:val="00B2044B"/>
    <w:rsid w:val="00B22C37"/>
    <w:rsid w:val="00B23A4C"/>
    <w:rsid w:val="00B31FBA"/>
    <w:rsid w:val="00B378D4"/>
    <w:rsid w:val="00B3793F"/>
    <w:rsid w:val="00B542FB"/>
    <w:rsid w:val="00B714E8"/>
    <w:rsid w:val="00B83E3D"/>
    <w:rsid w:val="00B90DB5"/>
    <w:rsid w:val="00BA0109"/>
    <w:rsid w:val="00BA7CA8"/>
    <w:rsid w:val="00BB0FEE"/>
    <w:rsid w:val="00BB25DE"/>
    <w:rsid w:val="00BC50C1"/>
    <w:rsid w:val="00BD1C20"/>
    <w:rsid w:val="00BD2649"/>
    <w:rsid w:val="00BD55AD"/>
    <w:rsid w:val="00BE2018"/>
    <w:rsid w:val="00BE505F"/>
    <w:rsid w:val="00BF00A9"/>
    <w:rsid w:val="00BF426F"/>
    <w:rsid w:val="00BF67CF"/>
    <w:rsid w:val="00C00B47"/>
    <w:rsid w:val="00C0126E"/>
    <w:rsid w:val="00C05423"/>
    <w:rsid w:val="00C11326"/>
    <w:rsid w:val="00C12639"/>
    <w:rsid w:val="00C131D7"/>
    <w:rsid w:val="00C13ABA"/>
    <w:rsid w:val="00C17F9B"/>
    <w:rsid w:val="00C4491F"/>
    <w:rsid w:val="00C61A31"/>
    <w:rsid w:val="00C66700"/>
    <w:rsid w:val="00C71FFC"/>
    <w:rsid w:val="00CA5F76"/>
    <w:rsid w:val="00CB35ED"/>
    <w:rsid w:val="00CC39C8"/>
    <w:rsid w:val="00CE59B0"/>
    <w:rsid w:val="00CF45CC"/>
    <w:rsid w:val="00D07EC2"/>
    <w:rsid w:val="00D10AF1"/>
    <w:rsid w:val="00D11EDB"/>
    <w:rsid w:val="00D16EF3"/>
    <w:rsid w:val="00D3244E"/>
    <w:rsid w:val="00D37294"/>
    <w:rsid w:val="00D3741F"/>
    <w:rsid w:val="00D40067"/>
    <w:rsid w:val="00D422E5"/>
    <w:rsid w:val="00D471A6"/>
    <w:rsid w:val="00D62923"/>
    <w:rsid w:val="00D6302E"/>
    <w:rsid w:val="00D64587"/>
    <w:rsid w:val="00D67E9A"/>
    <w:rsid w:val="00D728E8"/>
    <w:rsid w:val="00D76659"/>
    <w:rsid w:val="00D81D98"/>
    <w:rsid w:val="00DA50D6"/>
    <w:rsid w:val="00DB54A4"/>
    <w:rsid w:val="00DC127A"/>
    <w:rsid w:val="00DC356C"/>
    <w:rsid w:val="00DE22E2"/>
    <w:rsid w:val="00DF729C"/>
    <w:rsid w:val="00DF7606"/>
    <w:rsid w:val="00DF7BF1"/>
    <w:rsid w:val="00DF7C32"/>
    <w:rsid w:val="00E43F82"/>
    <w:rsid w:val="00E51017"/>
    <w:rsid w:val="00E7460D"/>
    <w:rsid w:val="00E82C89"/>
    <w:rsid w:val="00E850D3"/>
    <w:rsid w:val="00E91760"/>
    <w:rsid w:val="00EA2CDC"/>
    <w:rsid w:val="00EC2DBE"/>
    <w:rsid w:val="00ED1055"/>
    <w:rsid w:val="00ED2B70"/>
    <w:rsid w:val="00ED60EE"/>
    <w:rsid w:val="00F074CE"/>
    <w:rsid w:val="00F07E89"/>
    <w:rsid w:val="00F22581"/>
    <w:rsid w:val="00F2545E"/>
    <w:rsid w:val="00F33D07"/>
    <w:rsid w:val="00F3739C"/>
    <w:rsid w:val="00F50491"/>
    <w:rsid w:val="00F50994"/>
    <w:rsid w:val="00F605E6"/>
    <w:rsid w:val="00F74AD4"/>
    <w:rsid w:val="00F74DFC"/>
    <w:rsid w:val="00F93F71"/>
    <w:rsid w:val="00F96FDB"/>
    <w:rsid w:val="00FA301E"/>
    <w:rsid w:val="00FB4DEF"/>
    <w:rsid w:val="00FC690D"/>
    <w:rsid w:val="00FC6993"/>
    <w:rsid w:val="00FD1E77"/>
    <w:rsid w:val="00FE50B6"/>
    <w:rsid w:val="00FF1490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  <w14:docId w14:val="4829BC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109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B53A4"/>
    <w:pPr>
      <w:spacing w:before="240" w:line="240" w:lineRule="auto"/>
      <w:outlineLvl w:val="0"/>
    </w:pPr>
    <w:rPr>
      <w:rFonts w:asciiTheme="majorHAnsi" w:hAnsiTheme="majorHAnsi"/>
      <w:color w:val="001A70" w:themeColor="text2"/>
      <w:sz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53A4"/>
    <w:pPr>
      <w:spacing w:after="120"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53A4"/>
    <w:rPr>
      <w:rFonts w:asciiTheme="majorHAnsi" w:eastAsiaTheme="minorEastAsia" w:hAnsiTheme="majorHAnsi"/>
      <w:color w:val="001A70" w:themeColor="text2"/>
      <w:sz w:val="52"/>
      <w:szCs w:val="21"/>
    </w:rPr>
  </w:style>
  <w:style w:type="paragraph" w:styleId="ListParagraph">
    <w:name w:val="List Paragraph"/>
    <w:basedOn w:val="Normal"/>
    <w:uiPriority w:val="34"/>
    <w:qFormat/>
    <w:rsid w:val="00135417"/>
    <w:pPr>
      <w:numPr>
        <w:numId w:val="2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AB53A4"/>
    <w:rPr>
      <w:rFonts w:asciiTheme="majorHAnsi" w:eastAsiaTheme="minorEastAsia" w:hAnsiTheme="majorHAnsi"/>
      <w:color w:val="001A70" w:themeColor="text2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D37294"/>
    <w:pPr>
      <w:tabs>
        <w:tab w:val="center" w:pos="4513"/>
        <w:tab w:val="right" w:pos="9026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37294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9F52D4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customStyle="1" w:styleId="Disclaimer">
    <w:name w:val="Disclaimer"/>
    <w:basedOn w:val="Normal"/>
    <w:uiPriority w:val="10"/>
    <w:qFormat/>
    <w:rsid w:val="00656F11"/>
    <w:pPr>
      <w:ind w:left="567" w:right="1394"/>
    </w:pPr>
    <w:rPr>
      <w:i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53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0023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  <w:style w:type="paragraph" w:customStyle="1" w:styleId="Bullet">
    <w:name w:val="Bullet"/>
    <w:basedOn w:val="Normal"/>
    <w:qFormat/>
    <w:rsid w:val="00F96FDB"/>
    <w:pPr>
      <w:keepNext/>
      <w:keepLines/>
      <w:numPr>
        <w:numId w:val="19"/>
      </w:numPr>
      <w:spacing w:before="60" w:after="60" w:line="300" w:lineRule="auto"/>
      <w:outlineLvl w:val="2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BD55A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mj.com/content/bmj/suppl/2020/03/24/bmj.m1182.DC1/gret055914.fi.pdf" TargetMode="External"/><Relationship Id="rId18" Type="http://schemas.openxmlformats.org/officeDocument/2006/relationships/hyperlink" Target="https://www.oaic.gov.au/privacy/australian-privacy-principles-guidelines/chapter-5-app-5-notification-of-the-collection-of-personal-information/" TargetMode="External"/><Relationship Id="rId26" Type="http://schemas.openxmlformats.org/officeDocument/2006/relationships/hyperlink" Target="https://www.oaic.gov.au/privacy/guidance-and-advice/data-breach-action-plan-for-health-service-provider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yber.gov.au/publications/small-business-cyber-security-guide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ahpra.gov.au/News/COVID-19/Workforce-resources/Telehealth-guidance-for-practitioners.aspx" TargetMode="External"/><Relationship Id="rId17" Type="http://schemas.openxmlformats.org/officeDocument/2006/relationships/hyperlink" Target="https://www.oaic.gov.au/privacy/your-privacy-rights/what-is-a-privacy-policy/" TargetMode="External"/><Relationship Id="rId25" Type="http://schemas.openxmlformats.org/officeDocument/2006/relationships/hyperlink" Target="https://www.oaic.gov.au/privacy/guidance-and-advice/assessing-privacy-risks-in-changed-working-environments-privacy-impact-assessments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aic.gov.au/privacy/australian-privacy-principles-guidelines/chapter-8-app-8-cross-border-disclosure-of-personal-information/" TargetMode="External"/><Relationship Id="rId20" Type="http://schemas.openxmlformats.org/officeDocument/2006/relationships/hyperlink" Target="https://www.staysmartonline.gov.au/protect-yourself/doing-things-safely/passwords-passphrases" TargetMode="External"/><Relationship Id="rId29" Type="http://schemas.openxmlformats.org/officeDocument/2006/relationships/hyperlink" Target="https://www.oaic.gov.au/privacy/guidance-and-advice/guide-to-health-privacy/chapter-2-collecting-health-informati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cgp.org.au/FSDEDEV/media/documents/Clinical%20Resources/Guidelines/Guide-to-providing-telephone-and-video-consultations.pdf" TargetMode="External"/><Relationship Id="rId24" Type="http://schemas.openxmlformats.org/officeDocument/2006/relationships/hyperlink" Target="https://www.racgp.org.au/FSDEDEV/media/documents/Clinical%20Resources/Guidelines/Telephone-and-video-consultations-in-general-practice-Flowcharts.pdf" TargetMode="External"/><Relationship Id="rId32" Type="http://schemas.openxmlformats.org/officeDocument/2006/relationships/hyperlink" Target="https://helpx.adobe.com/au/acrobat/using/securing-pdfs-passwords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acgp.org.au/FSDEDEV/media/documents/Clinical%20Resources/Guidelines/Telephone-and-video-consultations-in-general-practice-Flowcharts.pdf" TargetMode="External"/><Relationship Id="rId23" Type="http://schemas.openxmlformats.org/officeDocument/2006/relationships/hyperlink" Target="https://www.cyber.gov.au/publications/step-by-step-guide-turning-on-automatic-updates-for-imac-macbook-and-iphone-ipad" TargetMode="External"/><Relationship Id="rId28" Type="http://schemas.openxmlformats.org/officeDocument/2006/relationships/hyperlink" Target="https://www.racgp.org.au/FSDEDEV/media/documents/Clinical%20Resources/Guidelines/Telephone-and-video-consultations-in-general-practice-Flowcharts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racgp.org.au/running-a-practice/technology/clinical-technology/telehealth" TargetMode="External"/><Relationship Id="rId19" Type="http://schemas.openxmlformats.org/officeDocument/2006/relationships/hyperlink" Target="https://www.cyber.gov.au/publications/web-conferencing-security" TargetMode="External"/><Relationship Id="rId31" Type="http://schemas.openxmlformats.org/officeDocument/2006/relationships/hyperlink" Target="https://ico.org.uk/for-organisations/guide-to-data-protection-1998/encryption/scenarios/encrypted-attachme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aic.gov.au/privacy/guidance-and-advice/guide-to-health-privacy" TargetMode="External"/><Relationship Id="rId22" Type="http://schemas.openxmlformats.org/officeDocument/2006/relationships/hyperlink" Target="https://www.cyber.gov.au/publications/step-by-step-guide-turning-on-automatic-updates-for-windows-10" TargetMode="External"/><Relationship Id="rId27" Type="http://schemas.openxmlformats.org/officeDocument/2006/relationships/hyperlink" Target="https://www.oaic.gov.au/privacy/guidance-and-advice/guide-to-securing-personal-information/" TargetMode="External"/><Relationship Id="rId30" Type="http://schemas.openxmlformats.org/officeDocument/2006/relationships/hyperlink" Target="https://www.oaic.gov.au/privacy/australian-privacy-principles-guidelines/chapter-8-app-8-cross-border-disclosure-of-personal-information/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PS Document" ma:contentTypeID="0x01010081989C2BD4E57C4CBCC679DFC77B692A0097F4490F998C2F43AD8BB2389CDC5E22" ma:contentTypeVersion="1" ma:contentTypeDescription="" ma:contentTypeScope="" ma:versionID="8cff5036f0a01378bc27d069de34377f">
  <xsd:schema xmlns:xsd="http://www.w3.org/2001/XMLSchema" xmlns:xs="http://www.w3.org/2001/XMLSchema" xmlns:p="http://schemas.microsoft.com/office/2006/metadata/properties" xmlns:ns3="81348d9c-1cc5-4b3b-8e15-6dd12d470b88" xmlns:ns4="F2369729-DF80-4B8A-A689-02F021C983F4" xmlns:ns5="http://schemas.microsoft.com/sharepoint/v4" targetNamespace="http://schemas.microsoft.com/office/2006/metadata/properties" ma:root="true" ma:fieldsID="74277ec3b4c456cf6d26275b124a1bf1" ns3:_="" ns4:_="" ns5:_="">
    <xsd:import namespace="81348d9c-1cc5-4b3b-8e15-6dd12d470b88"/>
    <xsd:import namespace="F2369729-DF80-4B8A-A689-02F021C983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48d9c-1cc5-4b3b-8e15-6dd12d470b8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afef6c28-b4e4-441e-a1b8-fd823a81cf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fef506-6a88-44c1-a29d-b2d983ca1247}" ma:internalName="TaxCatchAll" ma:showField="CatchAllData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efef506-6a88-44c1-a29d-b2d983ca1247}" ma:internalName="TaxCatchAllLabel" ma:readOnly="true" ma:showField="CatchAllDataLabel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9729-DF80-4B8A-A689-02F021C98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48d9c-1cc5-4b3b-8e15-6dd12d470b88"/>
    <TaxKeywordTaxHTField xmlns="81348d9c-1cc5-4b3b-8e15-6dd12d470b88">
      <Terms xmlns="http://schemas.microsoft.com/office/infopath/2007/PartnerControls"/>
    </TaxKeywordTaxHTField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DF250B6-1B63-4FB5-88CD-2A55D3A1E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1E56A-ED4F-41CD-8E51-2635F8206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48d9c-1cc5-4b3b-8e15-6dd12d470b88"/>
    <ds:schemaRef ds:uri="F2369729-DF80-4B8A-A689-02F021C983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086A3-A8B7-400B-BB27-913B0AD15FF9}">
  <ds:schemaRefs>
    <ds:schemaRef ds:uri="81348d9c-1cc5-4b3b-8e15-6dd12d470b88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369729-DF80-4B8A-A689-02F021C983F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2020-08-03T20:29:00Z</dcterms:created>
  <dcterms:modified xsi:type="dcterms:W3CDTF">2020-08-03T20:32:00Z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8943191780d475987777758a28d909c">
    <vt:lpwstr/>
  </property>
  <property fmtid="{D5CDD505-2E9C-101B-9397-08002B2CF9AE}" pid="3" name="TaxKeyword">
    <vt:lpwstr/>
  </property>
  <property fmtid="{D5CDD505-2E9C-101B-9397-08002B2CF9AE}" pid="4" name="OutputType">
    <vt:lpwstr/>
  </property>
  <property fmtid="{D5CDD505-2E9C-101B-9397-08002B2CF9AE}" pid="5" name="AuthorIds_UIVersion_3">
    <vt:lpwstr>380</vt:lpwstr>
  </property>
  <property fmtid="{D5CDD505-2E9C-101B-9397-08002B2CF9AE}" pid="6" name="ContentTypeId">
    <vt:lpwstr>0x01010081989C2BD4E57C4CBCC679DFC77B692A0097F4490F998C2F43AD8BB2389CDC5E22</vt:lpwstr>
  </property>
  <property fmtid="{D5CDD505-2E9C-101B-9397-08002B2CF9AE}" pid="7" name="AuthorIds_UIVersion_1">
    <vt:lpwstr>380</vt:lpwstr>
  </property>
  <property fmtid="{D5CDD505-2E9C-101B-9397-08002B2CF9AE}" pid="8" name="MedicalTopic">
    <vt:lpwstr/>
  </property>
  <property fmtid="{D5CDD505-2E9C-101B-9397-08002B2CF9AE}" pid="9" name="fa6c1b8b0cc2431d9705c8a16216ef94">
    <vt:lpwstr/>
  </property>
  <property fmtid="{D5CDD505-2E9C-101B-9397-08002B2CF9AE}" pid="10" name="AuthorIds_UIVersion_33">
    <vt:lpwstr>380</vt:lpwstr>
  </property>
  <property fmtid="{D5CDD505-2E9C-101B-9397-08002B2CF9AE}" pid="11" name="ae87646631494269b32b7096ed1c6c63">
    <vt:lpwstr/>
  </property>
  <property fmtid="{D5CDD505-2E9C-101B-9397-08002B2CF9AE}" pid="12" name="AuthorIds_UIVersion_10">
    <vt:lpwstr>380</vt:lpwstr>
  </property>
  <property fmtid="{D5CDD505-2E9C-101B-9397-08002B2CF9AE}" pid="13" name="Audience1">
    <vt:lpwstr/>
  </property>
</Properties>
</file>