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7E221F43" w:rsidR="00AB53A4" w:rsidRPr="008F2E7A" w:rsidRDefault="00613310" w:rsidP="004F272F">
      <w:pPr>
        <w:pStyle w:val="Heading1"/>
        <w:spacing w:before="120"/>
        <w:rPr>
          <w:sz w:val="44"/>
        </w:rPr>
      </w:pPr>
      <w:r w:rsidRPr="008F2E7A">
        <w:rPr>
          <w:sz w:val="44"/>
        </w:rPr>
        <w:t xml:space="preserve">Changes to </w:t>
      </w:r>
      <w:r w:rsidR="00DE6C1F">
        <w:rPr>
          <w:sz w:val="44"/>
        </w:rPr>
        <w:t xml:space="preserve">General </w:t>
      </w:r>
      <w:r w:rsidRPr="008F2E7A">
        <w:rPr>
          <w:sz w:val="44"/>
        </w:rPr>
        <w:t xml:space="preserve">MBS Items for Orthopaedic Surgery </w:t>
      </w:r>
    </w:p>
    <w:p w14:paraId="164E6074" w14:textId="4DBE7269" w:rsidR="00907B4A" w:rsidRPr="00AB53A4" w:rsidRDefault="00907B4A" w:rsidP="00AB53A4">
      <w:bookmarkStart w:id="0" w:name="_Hlk4568006"/>
      <w:r w:rsidRPr="00F96A18">
        <w:t xml:space="preserve">Last updated: </w:t>
      </w:r>
      <w:r w:rsidR="00862213">
        <w:t>1 July</w:t>
      </w:r>
      <w:r w:rsidR="00613310" w:rsidRPr="00F96A18">
        <w:t xml:space="preserve"> 2021</w:t>
      </w:r>
    </w:p>
    <w:bookmarkEnd w:id="0"/>
    <w:p w14:paraId="57D6FE4F" w14:textId="74968EAC" w:rsidR="00045810" w:rsidRDefault="00907B4A" w:rsidP="009E66EE">
      <w:pPr>
        <w:pStyle w:val="ListParagraph"/>
      </w:pPr>
      <w:r>
        <w:t xml:space="preserve">From </w:t>
      </w:r>
      <w:r w:rsidR="00613310">
        <w:t>1 July 2021, the</w:t>
      </w:r>
      <w:r>
        <w:t xml:space="preserve"> MBS items for </w:t>
      </w:r>
      <w:r w:rsidR="00613310">
        <w:t>orthopaedic 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79488785" w:rsidR="00045810" w:rsidRDefault="003E0EB0" w:rsidP="00045810">
      <w:pPr>
        <w:pStyle w:val="ListParagraph"/>
      </w:pPr>
      <w:r>
        <w:t xml:space="preserve">These changes are relevant to </w:t>
      </w:r>
      <w:r w:rsidR="00621A16">
        <w:t>specialists</w:t>
      </w:r>
      <w:r w:rsidR="006E4F95">
        <w:t xml:space="preserve"> involved in the provision of orthopaedic surgery services, consumers claiming these services, private hospitals, and private health insurers. </w:t>
      </w:r>
    </w:p>
    <w:p w14:paraId="4FBB073F" w14:textId="1DB7B112" w:rsidR="00AB53A4" w:rsidRDefault="006E4F95" w:rsidP="00AB53A4">
      <w:pPr>
        <w:pStyle w:val="ListParagraph"/>
      </w:pPr>
      <w:r>
        <w:t xml:space="preserve">Billing practices from 1 July 2021 will need to be adjusted to reflect these changes. </w:t>
      </w:r>
    </w:p>
    <w:p w14:paraId="5511CF48" w14:textId="77777777" w:rsidR="0017279A" w:rsidRDefault="00EA2C94"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0F9444E9" w14:textId="0E0C7B2C" w:rsidR="00B067DD"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orthopaedic surgery</w:t>
      </w:r>
      <w:r>
        <w:t xml:space="preserve">. </w:t>
      </w:r>
      <w:r w:rsidR="00B067DD">
        <w:t xml:space="preserve">The changes will affect general orthopaedic items and items </w:t>
      </w:r>
      <w:r w:rsidR="00EB37EB">
        <w:t>specific</w:t>
      </w:r>
      <w:r w:rsidR="00B067DD">
        <w:t xml:space="preserve"> to each </w:t>
      </w:r>
      <w:proofErr w:type="gramStart"/>
      <w:r w:rsidR="00B067DD">
        <w:t>sub</w:t>
      </w:r>
      <w:r w:rsidR="00EB37EB">
        <w:t>specialty;</w:t>
      </w:r>
      <w:proofErr w:type="gramEnd"/>
    </w:p>
    <w:p w14:paraId="57BE1B51" w14:textId="734E00A9" w:rsidR="00BD1C20" w:rsidRDefault="00B067DD" w:rsidP="00EB37EB">
      <w:pPr>
        <w:pStyle w:val="ListParagraph"/>
        <w:numPr>
          <w:ilvl w:val="0"/>
          <w:numId w:val="25"/>
        </w:numPr>
      </w:pPr>
      <w:r>
        <w:t xml:space="preserve">For information relating to </w:t>
      </w:r>
      <w:r w:rsidR="00EB37EB">
        <w:t xml:space="preserve">the </w:t>
      </w:r>
      <w:r>
        <w:t>sub</w:t>
      </w:r>
      <w:r w:rsidR="00160936">
        <w:t>-</w:t>
      </w:r>
      <w:r>
        <w:t>specialty specific changes to orthopaedic surgery services, please refer to the relevant factsheet on the MBS Online website.</w:t>
      </w:r>
      <w:r w:rsidR="00132091">
        <w:t xml:space="preserve"> Factsheets are now available for the Foot and Ankle, Hand and Wrist, Shoulder and Elbow, Hip, Knee and Paediatric sub</w:t>
      </w:r>
      <w:r w:rsidR="00160936">
        <w:t>-</w:t>
      </w:r>
      <w:r w:rsidR="00132091">
        <w:t>specialties.</w:t>
      </w:r>
    </w:p>
    <w:p w14:paraId="22279D6C" w14:textId="7D527E84" w:rsidR="008F0660" w:rsidRDefault="00EB37EB" w:rsidP="00EB37EB">
      <w:pPr>
        <w:pStyle w:val="ListParagraph"/>
        <w:numPr>
          <w:ilvl w:val="0"/>
          <w:numId w:val="25"/>
        </w:numPr>
      </w:pPr>
      <w:r>
        <w:t>Changes to general orthopaedic items</w:t>
      </w:r>
      <w:r w:rsidR="00132091">
        <w:t>,</w:t>
      </w:r>
      <w:r>
        <w:t xml:space="preserve"> and changes that affect similar procedures across more than one sub</w:t>
      </w:r>
      <w:r w:rsidR="00160936">
        <w:t>-</w:t>
      </w:r>
      <w:r>
        <w:t>specialty</w:t>
      </w:r>
      <w:r w:rsidR="00132091">
        <w:t>,</w:t>
      </w:r>
      <w:r w:rsidR="00160936">
        <w:t xml:space="preserve"> are provided</w:t>
      </w:r>
      <w:r>
        <w:t xml:space="preserve"> below.</w:t>
      </w:r>
    </w:p>
    <w:p w14:paraId="32316100" w14:textId="1F25315E"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272078B0" w14:textId="210893BF" w:rsidR="00D061E9" w:rsidRDefault="000F737E" w:rsidP="00921291">
      <w:pPr>
        <w:rPr>
          <w:szCs w:val="20"/>
        </w:rPr>
      </w:pPr>
      <w:r>
        <w:rPr>
          <w:szCs w:val="20"/>
        </w:rPr>
        <w:t xml:space="preserve">The new </w:t>
      </w:r>
      <w:r w:rsidR="00D061E9">
        <w:rPr>
          <w:szCs w:val="20"/>
        </w:rPr>
        <w:t>orthopaedic item structure will be included in the MBS under Subgroup</w:t>
      </w:r>
      <w:r w:rsidR="00DE6C1F">
        <w:rPr>
          <w:szCs w:val="20"/>
        </w:rPr>
        <w:t>s 1 to 15</w:t>
      </w:r>
      <w:r w:rsidR="00D061E9">
        <w:rPr>
          <w:szCs w:val="20"/>
        </w:rPr>
        <w:t xml:space="preserve"> of Group T8 – Surgical Operations.</w:t>
      </w:r>
    </w:p>
    <w:p w14:paraId="6E4551CD" w14:textId="4B3D2CBE" w:rsidR="0009225E" w:rsidRDefault="0009225E" w:rsidP="00921291">
      <w:pPr>
        <w:rPr>
          <w:szCs w:val="20"/>
        </w:rPr>
      </w:pPr>
      <w:r>
        <w:rPr>
          <w:szCs w:val="20"/>
        </w:rPr>
        <w:t xml:space="preserve">The MBS items have been restructured to create </w:t>
      </w:r>
      <w:r w:rsidR="000F737E">
        <w:rPr>
          <w:szCs w:val="20"/>
        </w:rPr>
        <w:t xml:space="preserve">a </w:t>
      </w:r>
      <w:r w:rsidR="00F0776F">
        <w:rPr>
          <w:szCs w:val="20"/>
        </w:rPr>
        <w:t xml:space="preserve">more </w:t>
      </w:r>
      <w:r>
        <w:rPr>
          <w:szCs w:val="20"/>
        </w:rPr>
        <w:t>logic</w:t>
      </w:r>
      <w:r w:rsidR="00F0776F">
        <w:rPr>
          <w:szCs w:val="20"/>
        </w:rPr>
        <w:t xml:space="preserve">al and streamlined </w:t>
      </w:r>
      <w:r w:rsidR="000F737E">
        <w:rPr>
          <w:szCs w:val="20"/>
        </w:rPr>
        <w:t xml:space="preserve">group of items in line with contemporary practice. </w:t>
      </w:r>
    </w:p>
    <w:p w14:paraId="71258305" w14:textId="46A128EE" w:rsidR="00FD4830" w:rsidRDefault="00F0776F" w:rsidP="00FD4830">
      <w:pPr>
        <w:rPr>
          <w:szCs w:val="20"/>
        </w:rPr>
      </w:pPr>
      <w:r>
        <w:rPr>
          <w:szCs w:val="20"/>
        </w:rPr>
        <w:t>C</w:t>
      </w:r>
      <w:r w:rsidR="0009225E">
        <w:rPr>
          <w:szCs w:val="20"/>
        </w:rPr>
        <w:t xml:space="preserve">hanges have been made to some item descriptors to create complete medical services. Descriptors now </w:t>
      </w:r>
      <w:r w:rsidR="00621A16">
        <w:rPr>
          <w:szCs w:val="20"/>
        </w:rPr>
        <w:t>specify</w:t>
      </w:r>
      <w:r w:rsidR="0009225E">
        <w:rPr>
          <w:szCs w:val="20"/>
        </w:rPr>
        <w:t xml:space="preserve"> the components to be included in a procedure to provide greater clarity on the use of the items. </w:t>
      </w:r>
      <w:proofErr w:type="gramStart"/>
      <w:r w:rsidR="00FD4830">
        <w:rPr>
          <w:szCs w:val="20"/>
        </w:rPr>
        <w:t>A number of</w:t>
      </w:r>
      <w:proofErr w:type="gramEnd"/>
      <w:r w:rsidR="00FD4830">
        <w:rPr>
          <w:szCs w:val="20"/>
        </w:rPr>
        <w:t xml:space="preserve"> items have been amended to include a provision for surgical assistance to reflect the complexity of the procedures and support patient safety and outcomes.</w:t>
      </w:r>
    </w:p>
    <w:p w14:paraId="3E9A9BF3" w14:textId="3472FE17" w:rsidR="00921291" w:rsidRDefault="00921291" w:rsidP="00921291">
      <w:pPr>
        <w:rPr>
          <w:szCs w:val="20"/>
        </w:rPr>
      </w:pPr>
      <w:r w:rsidRPr="00921291">
        <w:rPr>
          <w:szCs w:val="20"/>
        </w:rPr>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7FE58A34" w14:textId="21567443" w:rsidR="00132091" w:rsidRPr="00CF0C6C" w:rsidRDefault="00F0776F" w:rsidP="00843711">
      <w:pPr>
        <w:spacing w:after="120"/>
        <w:rPr>
          <w:szCs w:val="20"/>
        </w:rPr>
      </w:pPr>
      <w:r>
        <w:rPr>
          <w:szCs w:val="20"/>
        </w:rPr>
        <w:t xml:space="preserve">The following information provides an overview of key changes within the </w:t>
      </w:r>
      <w:r w:rsidR="00FD4830">
        <w:rPr>
          <w:szCs w:val="20"/>
        </w:rPr>
        <w:t>general orthopaedic</w:t>
      </w:r>
      <w:r>
        <w:rPr>
          <w:szCs w:val="20"/>
        </w:rPr>
        <w:t xml:space="preserve"> surgery schedule. </w:t>
      </w:r>
    </w:p>
    <w:p w14:paraId="72C52164" w14:textId="77777777" w:rsidR="00F96A18" w:rsidRDefault="00F96A18" w:rsidP="00843711">
      <w:pPr>
        <w:spacing w:after="120"/>
        <w:rPr>
          <w:b/>
          <w:szCs w:val="20"/>
        </w:rPr>
      </w:pPr>
    </w:p>
    <w:p w14:paraId="7BF6C872" w14:textId="03C68ABD" w:rsidR="00DE6C1F" w:rsidRPr="00464A15" w:rsidRDefault="00464A15" w:rsidP="00843711">
      <w:pPr>
        <w:spacing w:after="120"/>
        <w:rPr>
          <w:b/>
          <w:szCs w:val="20"/>
        </w:rPr>
      </w:pPr>
      <w:r w:rsidRPr="00464A15">
        <w:rPr>
          <w:b/>
          <w:szCs w:val="20"/>
        </w:rPr>
        <w:lastRenderedPageBreak/>
        <w:t>Bone Grafting</w:t>
      </w:r>
    </w:p>
    <w:p w14:paraId="2B7D8213" w14:textId="35B973C2" w:rsidR="00464A15" w:rsidRPr="00464A15" w:rsidRDefault="009729E3" w:rsidP="00843711">
      <w:pPr>
        <w:spacing w:after="120"/>
        <w:rPr>
          <w:szCs w:val="20"/>
        </w:rPr>
      </w:pPr>
      <w:r>
        <w:rPr>
          <w:szCs w:val="20"/>
        </w:rPr>
        <w:t xml:space="preserve">Items 48200–48242, 47726, 47729, </w:t>
      </w:r>
      <w:r w:rsidR="00464A15" w:rsidRPr="00464A15">
        <w:rPr>
          <w:szCs w:val="20"/>
        </w:rPr>
        <w:t>47732</w:t>
      </w:r>
      <w:r>
        <w:rPr>
          <w:szCs w:val="20"/>
        </w:rPr>
        <w:t xml:space="preserve"> and 47951</w:t>
      </w:r>
      <w:r w:rsidR="00464A15" w:rsidRPr="00464A15">
        <w:rPr>
          <w:szCs w:val="20"/>
        </w:rPr>
        <w:t>:</w:t>
      </w:r>
    </w:p>
    <w:p w14:paraId="404F60B1" w14:textId="79AF6485" w:rsidR="00DE6C1F" w:rsidRDefault="00464A15" w:rsidP="00843711">
      <w:pPr>
        <w:pStyle w:val="ListParagraph"/>
        <w:numPr>
          <w:ilvl w:val="0"/>
          <w:numId w:val="2"/>
        </w:numPr>
        <w:spacing w:after="120"/>
        <w:rPr>
          <w:szCs w:val="20"/>
        </w:rPr>
      </w:pPr>
      <w:r>
        <w:rPr>
          <w:szCs w:val="20"/>
        </w:rPr>
        <w:t>Have been consolidated under</w:t>
      </w:r>
      <w:r w:rsidRPr="00464A15">
        <w:rPr>
          <w:szCs w:val="20"/>
        </w:rPr>
        <w:t xml:space="preserve"> 5 new items for bone grafting </w:t>
      </w:r>
      <w:r>
        <w:rPr>
          <w:szCs w:val="20"/>
        </w:rPr>
        <w:t xml:space="preserve">(48245, 48248, 48251, 48254 and 48257) which </w:t>
      </w:r>
      <w:r w:rsidRPr="00464A15">
        <w:rPr>
          <w:szCs w:val="20"/>
        </w:rPr>
        <w:t>are based on the type of graft and the complexity of the procedure required to harvest the graft.</w:t>
      </w:r>
    </w:p>
    <w:p w14:paraId="1B47FC14" w14:textId="324953A4" w:rsidR="00464A15" w:rsidRDefault="00464A15" w:rsidP="00843711">
      <w:pPr>
        <w:pStyle w:val="ListParagraph"/>
        <w:numPr>
          <w:ilvl w:val="0"/>
          <w:numId w:val="2"/>
        </w:numPr>
        <w:spacing w:after="120"/>
        <w:rPr>
          <w:szCs w:val="20"/>
        </w:rPr>
      </w:pPr>
      <w:r w:rsidRPr="00464A15">
        <w:rPr>
          <w:szCs w:val="20"/>
        </w:rPr>
        <w:t>The new items are intended to be used as graft-specific (secondary) item numbers that are co-claimed with procedure-specific primary items</w:t>
      </w:r>
      <w:r w:rsidR="00F96A18">
        <w:rPr>
          <w:szCs w:val="20"/>
        </w:rPr>
        <w:t>.</w:t>
      </w:r>
    </w:p>
    <w:p w14:paraId="03154754" w14:textId="6A040B07" w:rsidR="00464A15" w:rsidRDefault="00464A15" w:rsidP="00843711">
      <w:pPr>
        <w:pStyle w:val="ListParagraph"/>
        <w:numPr>
          <w:ilvl w:val="0"/>
          <w:numId w:val="2"/>
        </w:numPr>
        <w:spacing w:after="120"/>
        <w:rPr>
          <w:szCs w:val="20"/>
        </w:rPr>
      </w:pPr>
      <w:r w:rsidRPr="00464A15">
        <w:rPr>
          <w:szCs w:val="20"/>
        </w:rPr>
        <w:t>Separating bone graft items from the primary procedure reflects the technical expertise required for harvesting and applying the graft, which can vary considerably.</w:t>
      </w:r>
    </w:p>
    <w:p w14:paraId="18924A88" w14:textId="365C1E8C" w:rsidR="00464A15" w:rsidRPr="00464A15" w:rsidRDefault="00464A15" w:rsidP="00843711">
      <w:pPr>
        <w:pStyle w:val="ListParagraph"/>
        <w:numPr>
          <w:ilvl w:val="0"/>
          <w:numId w:val="2"/>
        </w:numPr>
        <w:spacing w:after="120"/>
        <w:rPr>
          <w:szCs w:val="20"/>
        </w:rPr>
      </w:pPr>
      <w:r>
        <w:rPr>
          <w:szCs w:val="20"/>
        </w:rPr>
        <w:t xml:space="preserve">Please note that </w:t>
      </w:r>
      <w:r w:rsidRPr="00464A15">
        <w:rPr>
          <w:szCs w:val="20"/>
        </w:rPr>
        <w:t>simple bone grafts and graft substitutes should n</w:t>
      </w:r>
      <w:r>
        <w:rPr>
          <w:szCs w:val="20"/>
        </w:rPr>
        <w:t>ot attract specific MBS rebates; where bone grafting is included within a primary procedure item, this is noted within the descriptor.</w:t>
      </w:r>
    </w:p>
    <w:p w14:paraId="5D7B8002" w14:textId="7EBF56DB" w:rsidR="00CF0C6C" w:rsidRPr="00843711" w:rsidRDefault="00464A15" w:rsidP="00843711">
      <w:pPr>
        <w:pStyle w:val="ListParagraph"/>
        <w:numPr>
          <w:ilvl w:val="0"/>
          <w:numId w:val="2"/>
        </w:numPr>
        <w:spacing w:after="120"/>
        <w:rPr>
          <w:szCs w:val="20"/>
        </w:rPr>
      </w:pPr>
      <w:r w:rsidRPr="00464A15">
        <w:rPr>
          <w:szCs w:val="20"/>
        </w:rPr>
        <w:t>The new items are intended to provide greater clarity and consiste</w:t>
      </w:r>
      <w:r w:rsidR="008670B9">
        <w:rPr>
          <w:szCs w:val="20"/>
        </w:rPr>
        <w:t>ncy for clinicians and patients</w:t>
      </w:r>
      <w:r w:rsidRPr="00464A15">
        <w:rPr>
          <w:szCs w:val="20"/>
        </w:rPr>
        <w:t>.</w:t>
      </w:r>
      <w:r w:rsidR="00843711">
        <w:rPr>
          <w:szCs w:val="20"/>
        </w:rPr>
        <w:br/>
      </w:r>
    </w:p>
    <w:p w14:paraId="0F208555" w14:textId="3DF58D24" w:rsidR="00464A15" w:rsidRDefault="00464A15" w:rsidP="00843711">
      <w:pPr>
        <w:spacing w:after="120"/>
        <w:rPr>
          <w:b/>
        </w:rPr>
      </w:pPr>
      <w:r w:rsidRPr="00464A15">
        <w:rPr>
          <w:b/>
        </w:rPr>
        <w:t>Osteectomy</w:t>
      </w:r>
    </w:p>
    <w:p w14:paraId="35C27FE0" w14:textId="730A492E" w:rsidR="00464A15" w:rsidRPr="00464A15" w:rsidRDefault="00464A15" w:rsidP="00843711">
      <w:pPr>
        <w:spacing w:after="120"/>
      </w:pPr>
      <w:r w:rsidRPr="00464A15">
        <w:t>Items 48400, 48403, 48406, 48409, 46396, 48412, 48415, 48418, 48421, 48424, 48427 47501, 47504, 47507 and 47510:</w:t>
      </w:r>
    </w:p>
    <w:p w14:paraId="045ED4FD" w14:textId="56A5E802" w:rsidR="00464A15" w:rsidRDefault="00464A15" w:rsidP="00843711">
      <w:pPr>
        <w:pStyle w:val="ListParagraph"/>
        <w:numPr>
          <w:ilvl w:val="0"/>
          <w:numId w:val="4"/>
        </w:numPr>
        <w:spacing w:after="120"/>
      </w:pPr>
      <w:r w:rsidRPr="00464A15">
        <w:t>The term ‘osteectomy’</w:t>
      </w:r>
      <w:r>
        <w:t xml:space="preserve"> has been removed from all orthopaedic MBS items.</w:t>
      </w:r>
    </w:p>
    <w:p w14:paraId="0BDDBA98" w14:textId="3D02B945" w:rsidR="00464A15" w:rsidRDefault="00464A15" w:rsidP="00843711">
      <w:pPr>
        <w:pStyle w:val="ListParagraph"/>
        <w:numPr>
          <w:ilvl w:val="0"/>
          <w:numId w:val="3"/>
        </w:numPr>
        <w:spacing w:after="120"/>
      </w:pPr>
      <w:r>
        <w:t>‘O</w:t>
      </w:r>
      <w:r w:rsidRPr="00464A15">
        <w:t xml:space="preserve">steectomy’ is a broad term that does not </w:t>
      </w:r>
      <w:r>
        <w:t>have precise clinical meaning; a</w:t>
      </w:r>
      <w:r w:rsidRPr="00464A15">
        <w:t xml:space="preserve">s a </w:t>
      </w:r>
      <w:proofErr w:type="gramStart"/>
      <w:r w:rsidRPr="00464A15">
        <w:t>result</w:t>
      </w:r>
      <w:proofErr w:type="gramEnd"/>
      <w:r w:rsidRPr="00464A15">
        <w:t xml:space="preserve"> it is unclear in which circumstances it is appropriate for clinicians to claim a separate item for bone procedures.</w:t>
      </w:r>
    </w:p>
    <w:p w14:paraId="0D435ECC" w14:textId="58F9080D" w:rsidR="00A57AD4" w:rsidRDefault="00464A15" w:rsidP="00843711">
      <w:pPr>
        <w:pStyle w:val="ListParagraph"/>
        <w:numPr>
          <w:ilvl w:val="0"/>
          <w:numId w:val="3"/>
        </w:numPr>
        <w:spacing w:after="120"/>
      </w:pPr>
      <w:r>
        <w:t xml:space="preserve">Where it is </w:t>
      </w:r>
      <w:r w:rsidRPr="00464A15">
        <w:t xml:space="preserve">appropriate to claim a separate item for osteectomy, new items have been </w:t>
      </w:r>
      <w:r w:rsidR="004C4D80">
        <w:t>created</w:t>
      </w:r>
      <w:r w:rsidRPr="00464A15">
        <w:t xml:space="preserve"> to </w:t>
      </w:r>
      <w:r w:rsidR="00A57AD4">
        <w:t>prevent access gaps in the MBS.</w:t>
      </w:r>
    </w:p>
    <w:p w14:paraId="509034A6" w14:textId="52CE7A37" w:rsidR="00CF0C6C" w:rsidRPr="00CF0C6C" w:rsidRDefault="00A57AD4" w:rsidP="00843711">
      <w:pPr>
        <w:pStyle w:val="ListParagraph"/>
        <w:numPr>
          <w:ilvl w:val="0"/>
          <w:numId w:val="3"/>
        </w:numPr>
        <w:spacing w:after="120"/>
      </w:pPr>
      <w:r>
        <w:t>P</w:t>
      </w:r>
      <w:r w:rsidR="00464A15">
        <w:t xml:space="preserve">lease </w:t>
      </w:r>
      <w:r>
        <w:t>refer to</w:t>
      </w:r>
      <w:r w:rsidR="00464A15">
        <w:t xml:space="preserve"> the re</w:t>
      </w:r>
      <w:r>
        <w:t>levant sub-specialty fact sheet</w:t>
      </w:r>
      <w:r w:rsidR="00464A15">
        <w:t xml:space="preserve"> for </w:t>
      </w:r>
      <w:r>
        <w:t xml:space="preserve">further </w:t>
      </w:r>
      <w:r w:rsidR="00464A15">
        <w:t>details.</w:t>
      </w:r>
      <w:r w:rsidR="00843711">
        <w:br/>
      </w:r>
    </w:p>
    <w:p w14:paraId="34511343" w14:textId="49662421" w:rsidR="00464A15" w:rsidRDefault="009729E3" w:rsidP="00843711">
      <w:pPr>
        <w:spacing w:after="120"/>
        <w:rPr>
          <w:b/>
        </w:rPr>
      </w:pPr>
      <w:r>
        <w:rPr>
          <w:b/>
        </w:rPr>
        <w:t xml:space="preserve">Internal and External Fixation </w:t>
      </w:r>
    </w:p>
    <w:p w14:paraId="4652610F" w14:textId="7BABB705" w:rsidR="00464A15" w:rsidRDefault="009729E3" w:rsidP="00843711">
      <w:pPr>
        <w:spacing w:after="120"/>
      </w:pPr>
      <w:r>
        <w:t>Items 47924 and 47927:</w:t>
      </w:r>
    </w:p>
    <w:p w14:paraId="059933E8" w14:textId="15195F91" w:rsidR="009729E3" w:rsidRDefault="008670B9" w:rsidP="00843711">
      <w:pPr>
        <w:pStyle w:val="ListParagraph"/>
        <w:numPr>
          <w:ilvl w:val="0"/>
          <w:numId w:val="5"/>
        </w:numPr>
        <w:spacing w:after="120"/>
      </w:pPr>
      <w:r>
        <w:t>Have been amended to provide clarity around usage.</w:t>
      </w:r>
    </w:p>
    <w:p w14:paraId="4E307498" w14:textId="1FBC1E72" w:rsidR="009729E3" w:rsidRDefault="009729E3" w:rsidP="00843711">
      <w:pPr>
        <w:pStyle w:val="ListParagraph"/>
        <w:numPr>
          <w:ilvl w:val="0"/>
          <w:numId w:val="5"/>
        </w:numPr>
        <w:spacing w:after="120"/>
      </w:pPr>
      <w:r>
        <w:t>This includes r</w:t>
      </w:r>
      <w:r w:rsidRPr="009729E3">
        <w:t>eplacing the phrase ‘per bone’ with ‘per incision’</w:t>
      </w:r>
      <w:r>
        <w:t>.</w:t>
      </w:r>
    </w:p>
    <w:p w14:paraId="5C40021F" w14:textId="663196C4" w:rsidR="00843711" w:rsidRDefault="009729E3" w:rsidP="00843711">
      <w:pPr>
        <w:pStyle w:val="ListParagraph"/>
        <w:numPr>
          <w:ilvl w:val="0"/>
          <w:numId w:val="5"/>
        </w:numPr>
        <w:spacing w:after="120"/>
      </w:pPr>
      <w:r w:rsidRPr="009729E3">
        <w:t>The phrase ‘and suture’ has been removed from item 47924 to account for multiple techniques for wound closure.</w:t>
      </w:r>
    </w:p>
    <w:p w14:paraId="1771CA87" w14:textId="77777777" w:rsidR="00843711" w:rsidRDefault="00843711">
      <w:pPr>
        <w:spacing w:line="259" w:lineRule="auto"/>
      </w:pPr>
      <w:r>
        <w:br w:type="page"/>
      </w:r>
    </w:p>
    <w:p w14:paraId="3402B048" w14:textId="77777777" w:rsidR="00132091" w:rsidRDefault="00132091" w:rsidP="000F1C01">
      <w:pPr>
        <w:pStyle w:val="ListParagraph"/>
        <w:numPr>
          <w:ilvl w:val="0"/>
          <w:numId w:val="0"/>
        </w:numPr>
        <w:spacing w:after="120"/>
        <w:ind w:left="720"/>
      </w:pPr>
    </w:p>
    <w:p w14:paraId="1508184B" w14:textId="5E935FCB" w:rsidR="00464A15" w:rsidRPr="009729E3" w:rsidRDefault="009729E3" w:rsidP="00843711">
      <w:pPr>
        <w:spacing w:after="120"/>
      </w:pPr>
      <w:r w:rsidRPr="009729E3">
        <w:t>I</w:t>
      </w:r>
      <w:r>
        <w:t>tems 47929, 47930 and 47948:</w:t>
      </w:r>
    </w:p>
    <w:p w14:paraId="35221262" w14:textId="3CB7C118" w:rsidR="00464A15" w:rsidRDefault="00A57AD4" w:rsidP="00843711">
      <w:pPr>
        <w:pStyle w:val="ListParagraph"/>
        <w:numPr>
          <w:ilvl w:val="0"/>
          <w:numId w:val="6"/>
        </w:numPr>
        <w:spacing w:after="120"/>
      </w:pPr>
      <w:r>
        <w:t>Items 47930 and 47948 have been consolidated under item 47929 for removal of an internal or external fixation.</w:t>
      </w:r>
    </w:p>
    <w:p w14:paraId="707798D9" w14:textId="052F64E1" w:rsidR="00A57AD4" w:rsidRDefault="00A57AD4" w:rsidP="00843711">
      <w:pPr>
        <w:pStyle w:val="ListParagraph"/>
        <w:numPr>
          <w:ilvl w:val="0"/>
          <w:numId w:val="6"/>
        </w:numPr>
        <w:spacing w:after="120"/>
      </w:pPr>
      <w:r>
        <w:t>The</w:t>
      </w:r>
      <w:r w:rsidRPr="00A57AD4">
        <w:t xml:space="preserve"> items allow for different surgical methods that result in the same clinical</w:t>
      </w:r>
      <w:r>
        <w:t xml:space="preserve"> outcome.</w:t>
      </w:r>
    </w:p>
    <w:p w14:paraId="253F8DE3" w14:textId="4C343DEF" w:rsidR="00CF0C6C" w:rsidRPr="00CF0C6C" w:rsidRDefault="00A57AD4" w:rsidP="00843711">
      <w:pPr>
        <w:pStyle w:val="ListParagraph"/>
        <w:numPr>
          <w:ilvl w:val="0"/>
          <w:numId w:val="6"/>
        </w:numPr>
        <w:spacing w:after="120"/>
      </w:pPr>
      <w:r>
        <w:t>T</w:t>
      </w:r>
      <w:r w:rsidRPr="00A57AD4">
        <w:t>he item can be claimed ‘per incision’ and should occur as a hospital service in an operating theatre.</w:t>
      </w:r>
      <w:r w:rsidR="00843711">
        <w:br/>
      </w:r>
    </w:p>
    <w:p w14:paraId="64E45362" w14:textId="4C75C854" w:rsidR="00464A15" w:rsidRPr="00A57AD4" w:rsidRDefault="00A57AD4" w:rsidP="00843711">
      <w:pPr>
        <w:spacing w:after="120"/>
        <w:rPr>
          <w:b/>
        </w:rPr>
      </w:pPr>
      <w:r w:rsidRPr="00A57AD4">
        <w:rPr>
          <w:b/>
        </w:rPr>
        <w:t>Tendon Procedures</w:t>
      </w:r>
    </w:p>
    <w:p w14:paraId="6FD477BF" w14:textId="089BA8D0" w:rsidR="00464A15" w:rsidRDefault="00A57AD4" w:rsidP="00843711">
      <w:pPr>
        <w:spacing w:after="120"/>
      </w:pPr>
      <w:r>
        <w:t xml:space="preserve">Items </w:t>
      </w:r>
      <w:r w:rsidRPr="00A57AD4">
        <w:t>47957, 47963, 47966 and 47969</w:t>
      </w:r>
      <w:r>
        <w:t>:</w:t>
      </w:r>
    </w:p>
    <w:p w14:paraId="56A7E23E" w14:textId="3C81F9EB" w:rsidR="00A57AD4" w:rsidRDefault="00A57AD4" w:rsidP="00843711">
      <w:pPr>
        <w:pStyle w:val="ListParagraph"/>
        <w:numPr>
          <w:ilvl w:val="0"/>
          <w:numId w:val="8"/>
        </w:numPr>
        <w:spacing w:after="120"/>
      </w:pPr>
      <w:r>
        <w:t xml:space="preserve">Have been replaced with items specific to each sub-specialty </w:t>
      </w:r>
      <w:proofErr w:type="gramStart"/>
      <w:r>
        <w:t>in an effort to</w:t>
      </w:r>
      <w:proofErr w:type="gramEnd"/>
      <w:r>
        <w:t xml:space="preserve"> provide rebates for high value care and </w:t>
      </w:r>
      <w:r w:rsidR="00B418FD">
        <w:t>guide appropriate</w:t>
      </w:r>
      <w:r>
        <w:t xml:space="preserve"> co-claiming.</w:t>
      </w:r>
    </w:p>
    <w:p w14:paraId="7716932B" w14:textId="1B33B4CB" w:rsidR="00A57AD4" w:rsidRPr="00A57AD4" w:rsidRDefault="00A57AD4" w:rsidP="00843711">
      <w:pPr>
        <w:pStyle w:val="ListParagraph"/>
        <w:numPr>
          <w:ilvl w:val="0"/>
          <w:numId w:val="8"/>
        </w:numPr>
        <w:spacing w:after="120"/>
      </w:pPr>
      <w:r w:rsidRPr="00A57AD4">
        <w:t xml:space="preserve">Please refer to the relevant sub-specialty fact sheet for </w:t>
      </w:r>
      <w:r>
        <w:t xml:space="preserve">further </w:t>
      </w:r>
      <w:r w:rsidRPr="00A57AD4">
        <w:t>details.</w:t>
      </w:r>
    </w:p>
    <w:p w14:paraId="11EB94BD" w14:textId="77777777" w:rsidR="00F96A18" w:rsidRDefault="00F96A18" w:rsidP="00843711">
      <w:pPr>
        <w:spacing w:after="120"/>
      </w:pPr>
    </w:p>
    <w:p w14:paraId="0031677D" w14:textId="02BC6E99" w:rsidR="007A1087" w:rsidRDefault="007A1087" w:rsidP="00843711">
      <w:pPr>
        <w:spacing w:after="120"/>
      </w:pPr>
      <w:r>
        <w:t>Item 47954:</w:t>
      </w:r>
    </w:p>
    <w:p w14:paraId="025BD65E" w14:textId="77777777" w:rsidR="007A1087" w:rsidRDefault="007A1087" w:rsidP="00843711">
      <w:pPr>
        <w:pStyle w:val="ListParagraph"/>
        <w:numPr>
          <w:ilvl w:val="0"/>
          <w:numId w:val="7"/>
        </w:numPr>
        <w:spacing w:after="120"/>
      </w:pPr>
      <w:r>
        <w:t>Has been amended to specify the clinical indication for the</w:t>
      </w:r>
      <w:r w:rsidRPr="00A57AD4">
        <w:t xml:space="preserve"> surgery by including the word ‘traumatic tear or rupture’</w:t>
      </w:r>
      <w:r>
        <w:t>.</w:t>
      </w:r>
    </w:p>
    <w:p w14:paraId="12E5840E" w14:textId="30F3E4CC" w:rsidR="00CF0C6C" w:rsidRPr="00CF0C6C" w:rsidRDefault="007A1087" w:rsidP="00843711">
      <w:pPr>
        <w:pStyle w:val="ListParagraph"/>
        <w:numPr>
          <w:ilvl w:val="0"/>
          <w:numId w:val="7"/>
        </w:numPr>
        <w:spacing w:after="120"/>
      </w:pPr>
      <w:r>
        <w:t>Changes to the</w:t>
      </w:r>
      <w:r w:rsidRPr="00A57AD4">
        <w:t xml:space="preserve"> item provide greater clarity regarding appropriate clinical use of the item and aim to </w:t>
      </w:r>
      <w:r w:rsidR="00F96A18">
        <w:t xml:space="preserve">guide </w:t>
      </w:r>
      <w:r w:rsidRPr="00A57AD4">
        <w:t>appropriate</w:t>
      </w:r>
      <w:r>
        <w:t xml:space="preserve"> co-claiming.</w:t>
      </w:r>
      <w:r w:rsidR="00843711">
        <w:br/>
      </w:r>
    </w:p>
    <w:p w14:paraId="155DBE90" w14:textId="13E4CAAB" w:rsidR="00A57AD4" w:rsidRPr="007A1087" w:rsidRDefault="007A1087" w:rsidP="00843711">
      <w:pPr>
        <w:spacing w:after="120"/>
        <w:rPr>
          <w:b/>
        </w:rPr>
      </w:pPr>
      <w:r>
        <w:rPr>
          <w:b/>
        </w:rPr>
        <w:t>Joint Procedures</w:t>
      </w:r>
      <w:r w:rsidRPr="007A1087">
        <w:rPr>
          <w:b/>
        </w:rPr>
        <w:t xml:space="preserve"> </w:t>
      </w:r>
    </w:p>
    <w:p w14:paraId="3C29321D" w14:textId="787DBB0A" w:rsidR="00464A15" w:rsidRDefault="007A1087" w:rsidP="00843711">
      <w:pPr>
        <w:spacing w:after="120"/>
      </w:pPr>
      <w:r w:rsidRPr="007A1087">
        <w:t>Items 50100, 50102, 50103, 50104, 50106, 50109 and 50127</w:t>
      </w:r>
      <w:r>
        <w:t>:</w:t>
      </w:r>
    </w:p>
    <w:p w14:paraId="510714A8" w14:textId="751F88BD" w:rsidR="007A1087" w:rsidRPr="007A1087" w:rsidRDefault="007A1087" w:rsidP="00843711">
      <w:pPr>
        <w:pStyle w:val="ListParagraph"/>
        <w:numPr>
          <w:ilvl w:val="0"/>
          <w:numId w:val="9"/>
        </w:numPr>
        <w:spacing w:after="120"/>
      </w:pPr>
      <w:r w:rsidRPr="007A1087">
        <w:t xml:space="preserve">Have been replaced with items specific to each sub-specialty </w:t>
      </w:r>
      <w:proofErr w:type="gramStart"/>
      <w:r w:rsidRPr="007A1087">
        <w:t>in an effort to</w:t>
      </w:r>
      <w:proofErr w:type="gramEnd"/>
      <w:r w:rsidRPr="007A1087">
        <w:t xml:space="preserve"> provide rebates for high value care and </w:t>
      </w:r>
      <w:r w:rsidR="00B418FD">
        <w:t>guide appropriate</w:t>
      </w:r>
      <w:r w:rsidRPr="007A1087">
        <w:t xml:space="preserve"> co-claiming.</w:t>
      </w:r>
    </w:p>
    <w:p w14:paraId="0A7D68D8" w14:textId="54E56BCA" w:rsidR="007A1087" w:rsidRDefault="007A1087" w:rsidP="00843711">
      <w:pPr>
        <w:pStyle w:val="ListParagraph"/>
        <w:numPr>
          <w:ilvl w:val="0"/>
          <w:numId w:val="9"/>
        </w:numPr>
        <w:spacing w:after="120"/>
      </w:pPr>
      <w:r w:rsidRPr="007A1087">
        <w:t>Please refer to the relevant sub-specialty fact sheet for further details.</w:t>
      </w:r>
    </w:p>
    <w:p w14:paraId="644E8F93" w14:textId="77777777" w:rsidR="00FC7640" w:rsidRDefault="00FC7640" w:rsidP="00843711">
      <w:pPr>
        <w:spacing w:after="120"/>
      </w:pPr>
    </w:p>
    <w:p w14:paraId="0064FADB" w14:textId="4F936320" w:rsidR="007A1087" w:rsidRDefault="007A1087" w:rsidP="00843711">
      <w:pPr>
        <w:spacing w:after="120"/>
      </w:pPr>
      <w:r>
        <w:t>Item 50115:</w:t>
      </w:r>
    </w:p>
    <w:p w14:paraId="2229E7F3" w14:textId="40928834" w:rsidR="007A1087" w:rsidRDefault="007A1087" w:rsidP="00843711">
      <w:pPr>
        <w:pStyle w:val="ListParagraph"/>
        <w:numPr>
          <w:ilvl w:val="0"/>
          <w:numId w:val="10"/>
        </w:numPr>
        <w:spacing w:after="120"/>
      </w:pPr>
      <w:r>
        <w:t>Has been amended to specify that the item excludes joints of the spine on recommendation of the Spinal Surgery Clinical Committee.</w:t>
      </w:r>
    </w:p>
    <w:p w14:paraId="45003B35" w14:textId="03889A25" w:rsidR="00CF0C6C" w:rsidRPr="00CF0C6C" w:rsidRDefault="007A1087" w:rsidP="00843711">
      <w:pPr>
        <w:pStyle w:val="ListParagraph"/>
        <w:numPr>
          <w:ilvl w:val="0"/>
          <w:numId w:val="10"/>
        </w:numPr>
        <w:spacing w:after="120"/>
      </w:pPr>
      <w:r>
        <w:t>T</w:t>
      </w:r>
      <w:r w:rsidRPr="007A1087">
        <w:t>he service covered by item 50115 is already covered by other items within the spine sub-category</w:t>
      </w:r>
      <w:r>
        <w:t>.</w:t>
      </w:r>
      <w:r w:rsidR="00CF0C6C">
        <w:br/>
      </w:r>
    </w:p>
    <w:p w14:paraId="40DEC214" w14:textId="77777777" w:rsidR="00193615" w:rsidRDefault="00193615">
      <w:pPr>
        <w:spacing w:line="259" w:lineRule="auto"/>
        <w:rPr>
          <w:b/>
        </w:rPr>
      </w:pPr>
      <w:r>
        <w:rPr>
          <w:b/>
        </w:rPr>
        <w:br w:type="page"/>
      </w:r>
    </w:p>
    <w:p w14:paraId="2DE359FE" w14:textId="0A00197F" w:rsidR="00DE4553" w:rsidRDefault="00DE4553" w:rsidP="00843711">
      <w:pPr>
        <w:spacing w:after="120"/>
        <w:rPr>
          <w:b/>
        </w:rPr>
      </w:pPr>
      <w:r>
        <w:rPr>
          <w:b/>
        </w:rPr>
        <w:lastRenderedPageBreak/>
        <w:t>Insertion of a Bone Growth Stimulator</w:t>
      </w:r>
    </w:p>
    <w:p w14:paraId="06002976" w14:textId="77777777" w:rsidR="00DE4553" w:rsidRPr="009729E3" w:rsidRDefault="00DE4553" w:rsidP="00843711">
      <w:pPr>
        <w:spacing w:after="120"/>
      </w:pPr>
      <w:r w:rsidRPr="009729E3">
        <w:t>Item 47920:</w:t>
      </w:r>
    </w:p>
    <w:p w14:paraId="62564CA0" w14:textId="77777777" w:rsidR="00193615" w:rsidRDefault="00DE4553" w:rsidP="00843711">
      <w:pPr>
        <w:pStyle w:val="ListParagraph"/>
        <w:numPr>
          <w:ilvl w:val="0"/>
          <w:numId w:val="5"/>
        </w:numPr>
        <w:spacing w:after="120"/>
      </w:pPr>
      <w:r w:rsidRPr="009729E3">
        <w:t>Has been deleted as item has low clinical utility, there are safety concerns and overall lacks clinical evidence</w:t>
      </w:r>
      <w:r>
        <w:t>.</w:t>
      </w:r>
    </w:p>
    <w:p w14:paraId="735CEAEB" w14:textId="77777777" w:rsidR="00193615" w:rsidRDefault="00193615" w:rsidP="00193615">
      <w:pPr>
        <w:spacing w:after="120"/>
        <w:rPr>
          <w:b/>
        </w:rPr>
      </w:pPr>
    </w:p>
    <w:p w14:paraId="45CC6EA1" w14:textId="085D0386" w:rsidR="00DE4553" w:rsidRPr="00193615" w:rsidRDefault="00DE4553" w:rsidP="00193615">
      <w:pPr>
        <w:spacing w:after="120"/>
      </w:pPr>
      <w:r w:rsidRPr="00193615">
        <w:rPr>
          <w:b/>
        </w:rPr>
        <w:t>Diagnostic Biopsies</w:t>
      </w:r>
    </w:p>
    <w:p w14:paraId="4EBCE3BD" w14:textId="77777777" w:rsidR="00DE4553" w:rsidRDefault="00DE4553" w:rsidP="00843711">
      <w:pPr>
        <w:spacing w:after="120"/>
      </w:pPr>
      <w:r>
        <w:t>Items 50200 and 50201:</w:t>
      </w:r>
    </w:p>
    <w:p w14:paraId="3F79ADEA" w14:textId="77777777" w:rsidR="00DE4553" w:rsidRDefault="00DE4553" w:rsidP="00843711">
      <w:pPr>
        <w:pStyle w:val="ListParagraph"/>
        <w:numPr>
          <w:ilvl w:val="0"/>
          <w:numId w:val="20"/>
        </w:numPr>
        <w:spacing w:after="120"/>
      </w:pPr>
      <w:r>
        <w:t xml:space="preserve">Have been amended to </w:t>
      </w:r>
      <w:r w:rsidRPr="00555BD7">
        <w:t>reflect the difference between the two biopsy procedures, provide clarity and create complete medical services.</w:t>
      </w:r>
    </w:p>
    <w:p w14:paraId="3A11C532" w14:textId="77777777" w:rsidR="00DE4553" w:rsidRDefault="00DE4553" w:rsidP="00843711">
      <w:pPr>
        <w:pStyle w:val="ListParagraph"/>
        <w:numPr>
          <w:ilvl w:val="0"/>
          <w:numId w:val="20"/>
        </w:numPr>
        <w:spacing w:after="120"/>
      </w:pPr>
      <w:r>
        <w:t>Item 50200 is for core needle biopsy while item 50201 is for incisional biopsy.</w:t>
      </w:r>
    </w:p>
    <w:p w14:paraId="56C6EB2D" w14:textId="77777777" w:rsidR="00DE4553" w:rsidRDefault="00DE4553" w:rsidP="00843711">
      <w:pPr>
        <w:pStyle w:val="ListParagraph"/>
        <w:numPr>
          <w:ilvl w:val="0"/>
          <w:numId w:val="20"/>
        </w:numPr>
        <w:spacing w:after="120"/>
      </w:pPr>
      <w:r w:rsidRPr="00555BD7">
        <w:t>The term ‘deep’ has been removed from the descriptors because it is ambiguous and has no clinical meaning.</w:t>
      </w:r>
    </w:p>
    <w:p w14:paraId="71AC2472" w14:textId="7E2C7069" w:rsidR="00132091" w:rsidRPr="00843711" w:rsidRDefault="00DE4553" w:rsidP="00843711">
      <w:pPr>
        <w:pStyle w:val="ListParagraph"/>
        <w:numPr>
          <w:ilvl w:val="0"/>
          <w:numId w:val="20"/>
        </w:numPr>
        <w:spacing w:after="120"/>
      </w:pPr>
      <w:r>
        <w:t>Histological</w:t>
      </w:r>
      <w:r w:rsidRPr="00555BD7">
        <w:t xml:space="preserve"> proof of the benign, the aggressive benign or the malignant nature of the tumour </w:t>
      </w:r>
      <w:r>
        <w:t>should be obtained.</w:t>
      </w:r>
      <w:r w:rsidR="00843711">
        <w:br/>
      </w:r>
    </w:p>
    <w:p w14:paraId="7AA34CA7" w14:textId="4D708BB3" w:rsidR="00555BD7" w:rsidRPr="00555BD7" w:rsidRDefault="00555BD7" w:rsidP="00843711">
      <w:pPr>
        <w:spacing w:after="120"/>
        <w:rPr>
          <w:b/>
        </w:rPr>
      </w:pPr>
      <w:r>
        <w:rPr>
          <w:b/>
        </w:rPr>
        <w:t xml:space="preserve">Ganglion, </w:t>
      </w:r>
      <w:r w:rsidRPr="00555BD7">
        <w:rPr>
          <w:b/>
        </w:rPr>
        <w:t>B</w:t>
      </w:r>
      <w:r>
        <w:rPr>
          <w:b/>
        </w:rPr>
        <w:t>ursa and Cyst Procedures</w:t>
      </w:r>
    </w:p>
    <w:p w14:paraId="7A66A286" w14:textId="77777777" w:rsidR="00555BD7" w:rsidRDefault="00555BD7" w:rsidP="00843711">
      <w:pPr>
        <w:spacing w:after="120"/>
      </w:pPr>
      <w:r>
        <w:t>Item 30111:</w:t>
      </w:r>
    </w:p>
    <w:p w14:paraId="4E75F720" w14:textId="3C6256AE" w:rsidR="00555BD7" w:rsidRDefault="00555BD7" w:rsidP="00843711">
      <w:pPr>
        <w:pStyle w:val="ListParagraph"/>
        <w:numPr>
          <w:ilvl w:val="0"/>
          <w:numId w:val="18"/>
        </w:numPr>
        <w:spacing w:after="120"/>
      </w:pPr>
      <w:r>
        <w:t xml:space="preserve">Has been replaced with items specific to each sub-specialty </w:t>
      </w:r>
      <w:proofErr w:type="gramStart"/>
      <w:r>
        <w:t>in an effort to</w:t>
      </w:r>
      <w:proofErr w:type="gramEnd"/>
      <w:r>
        <w:t xml:space="preserve"> </w:t>
      </w:r>
      <w:r w:rsidR="00B418FD">
        <w:t>support</w:t>
      </w:r>
      <w:r>
        <w:t xml:space="preserve"> high value care and </w:t>
      </w:r>
      <w:r w:rsidR="00B418FD">
        <w:t>g</w:t>
      </w:r>
      <w:r w:rsidR="006F5E81">
        <w:t>uide appropr</w:t>
      </w:r>
      <w:r w:rsidR="00B418FD">
        <w:t>i</w:t>
      </w:r>
      <w:r w:rsidR="006F5E81">
        <w:t>a</w:t>
      </w:r>
      <w:r w:rsidR="00B418FD">
        <w:t>te</w:t>
      </w:r>
      <w:r>
        <w:t xml:space="preserve"> co-claiming.</w:t>
      </w:r>
    </w:p>
    <w:p w14:paraId="1E9657A0" w14:textId="77777777" w:rsidR="00555BD7" w:rsidRDefault="00555BD7" w:rsidP="00843711">
      <w:pPr>
        <w:pStyle w:val="ListParagraph"/>
        <w:numPr>
          <w:ilvl w:val="0"/>
          <w:numId w:val="18"/>
        </w:numPr>
        <w:spacing w:after="120"/>
      </w:pPr>
      <w:r>
        <w:t>Please refer to the relevant sub-specialty fact sheet for further details.</w:t>
      </w:r>
    </w:p>
    <w:p w14:paraId="2311027A" w14:textId="77777777" w:rsidR="00FC7640" w:rsidRDefault="00FC7640" w:rsidP="00843711">
      <w:pPr>
        <w:spacing w:after="120"/>
      </w:pPr>
    </w:p>
    <w:p w14:paraId="59174C5E" w14:textId="2ECDAA74" w:rsidR="007A1087" w:rsidRDefault="00555BD7" w:rsidP="00843711">
      <w:pPr>
        <w:spacing w:after="120"/>
      </w:pPr>
      <w:r>
        <w:t>Item 30107:</w:t>
      </w:r>
    </w:p>
    <w:p w14:paraId="7D67D89B" w14:textId="7382BA5D" w:rsidR="00555BD7" w:rsidRDefault="00555BD7" w:rsidP="00843711">
      <w:pPr>
        <w:pStyle w:val="ListParagraph"/>
        <w:numPr>
          <w:ilvl w:val="0"/>
          <w:numId w:val="17"/>
        </w:numPr>
        <w:spacing w:after="120"/>
      </w:pPr>
      <w:r>
        <w:t>Has been amended to limit the scope of the item to the excision of ganglion.</w:t>
      </w:r>
    </w:p>
    <w:p w14:paraId="73A05B49" w14:textId="0E6500BA" w:rsidR="00555BD7" w:rsidRDefault="00555BD7" w:rsidP="00843711">
      <w:pPr>
        <w:pStyle w:val="ListParagraph"/>
        <w:numPr>
          <w:ilvl w:val="0"/>
          <w:numId w:val="17"/>
        </w:numPr>
        <w:spacing w:after="120"/>
      </w:pPr>
      <w:r>
        <w:t>The phrase ‘or small bursa’ has been removed from the descriptor as it does not properly guide clinical use.</w:t>
      </w:r>
    </w:p>
    <w:p w14:paraId="53D9A448" w14:textId="74D8BA63" w:rsidR="00555BD7" w:rsidRDefault="00555BD7" w:rsidP="00843711">
      <w:pPr>
        <w:pStyle w:val="ListParagraph"/>
        <w:numPr>
          <w:ilvl w:val="0"/>
          <w:numId w:val="17"/>
        </w:numPr>
        <w:spacing w:after="120"/>
      </w:pPr>
      <w:r>
        <w:t>Removal of the term will prevent a service shift to item 30107 following the removal of item 30111.</w:t>
      </w:r>
    </w:p>
    <w:p w14:paraId="764E405E" w14:textId="77777777" w:rsidR="00FC7640" w:rsidRDefault="00FC7640" w:rsidP="00843711">
      <w:pPr>
        <w:spacing w:after="120"/>
      </w:pPr>
    </w:p>
    <w:p w14:paraId="3E7A4C96" w14:textId="6A08FFE7" w:rsidR="00555BD7" w:rsidRDefault="00555BD7" w:rsidP="00843711">
      <w:pPr>
        <w:spacing w:after="120"/>
      </w:pPr>
      <w:r>
        <w:t>Item 47900:</w:t>
      </w:r>
    </w:p>
    <w:p w14:paraId="042913A0" w14:textId="4646E240" w:rsidR="00555BD7" w:rsidRDefault="00555BD7" w:rsidP="00843711">
      <w:pPr>
        <w:pStyle w:val="ListParagraph"/>
        <w:numPr>
          <w:ilvl w:val="0"/>
          <w:numId w:val="19"/>
        </w:numPr>
        <w:spacing w:after="120"/>
      </w:pPr>
      <w:r>
        <w:t xml:space="preserve">Has been </w:t>
      </w:r>
      <w:r w:rsidR="004C4D80">
        <w:t>amended</w:t>
      </w:r>
      <w:r>
        <w:t xml:space="preserve"> to more clearly specify the items intended use.</w:t>
      </w:r>
    </w:p>
    <w:p w14:paraId="5C0D06A9" w14:textId="626B7575" w:rsidR="00555BD7" w:rsidRDefault="00555BD7" w:rsidP="00843711">
      <w:pPr>
        <w:pStyle w:val="ListParagraph"/>
        <w:numPr>
          <w:ilvl w:val="0"/>
          <w:numId w:val="19"/>
        </w:numPr>
        <w:spacing w:after="120"/>
      </w:pPr>
      <w:r>
        <w:t>The item covers injection or aspiration of a unicameral bone cyst.</w:t>
      </w:r>
    </w:p>
    <w:p w14:paraId="17605A37" w14:textId="025BABF4" w:rsidR="00843711" w:rsidRDefault="00555BD7" w:rsidP="00843711">
      <w:pPr>
        <w:pStyle w:val="ListParagraph"/>
        <w:numPr>
          <w:ilvl w:val="0"/>
          <w:numId w:val="19"/>
        </w:numPr>
        <w:spacing w:after="120"/>
      </w:pPr>
      <w:r>
        <w:t xml:space="preserve">The </w:t>
      </w:r>
      <w:r w:rsidRPr="00555BD7">
        <w:t>item should primarily be used for paediatric patients, as unicameral bone cysts are predominantly a childhood condition.</w:t>
      </w:r>
      <w:r w:rsidR="00843711">
        <w:br/>
      </w:r>
    </w:p>
    <w:p w14:paraId="467B2584" w14:textId="77777777" w:rsidR="00F96A18" w:rsidRDefault="00F96A18" w:rsidP="00F96A18">
      <w:pPr>
        <w:spacing w:line="259" w:lineRule="auto"/>
      </w:pPr>
    </w:p>
    <w:p w14:paraId="30C86470" w14:textId="77777777" w:rsidR="00F96A18" w:rsidRDefault="00F96A18" w:rsidP="00F96A18">
      <w:pPr>
        <w:spacing w:line="259" w:lineRule="auto"/>
      </w:pPr>
    </w:p>
    <w:p w14:paraId="2F2B54A2" w14:textId="63663076" w:rsidR="00DE4553" w:rsidRPr="00F96A18" w:rsidRDefault="00DE4553" w:rsidP="00F96A18">
      <w:pPr>
        <w:spacing w:line="259" w:lineRule="auto"/>
      </w:pPr>
      <w:r w:rsidRPr="0041536A">
        <w:rPr>
          <w:b/>
        </w:rPr>
        <w:lastRenderedPageBreak/>
        <w:t>Osteomyelitis Procedures</w:t>
      </w:r>
    </w:p>
    <w:p w14:paraId="2C5A9E53" w14:textId="77777777" w:rsidR="00DE4553" w:rsidRDefault="00DE4553" w:rsidP="00843711">
      <w:pPr>
        <w:spacing w:after="120"/>
        <w:ind w:left="360" w:hanging="360"/>
      </w:pPr>
      <w:r w:rsidRPr="0041536A">
        <w:t>Items 43503, 43506, 43509, 43512, 43515 43518</w:t>
      </w:r>
      <w:r>
        <w:t xml:space="preserve"> and 43524</w:t>
      </w:r>
      <w:r w:rsidRPr="0041536A">
        <w:t>:</w:t>
      </w:r>
    </w:p>
    <w:p w14:paraId="2B7896F8" w14:textId="77777777" w:rsidR="00DE4553" w:rsidRDefault="00DE4553" w:rsidP="00843711">
      <w:pPr>
        <w:pStyle w:val="ListParagraph"/>
        <w:numPr>
          <w:ilvl w:val="0"/>
          <w:numId w:val="16"/>
        </w:numPr>
        <w:spacing w:after="120"/>
      </w:pPr>
      <w:r>
        <w:t>Have been consolidated under three new items for the treatment of septic arthritis and</w:t>
      </w:r>
      <w:r w:rsidRPr="0041536A">
        <w:t xml:space="preserve"> osteomyelitis</w:t>
      </w:r>
      <w:r>
        <w:t>.</w:t>
      </w:r>
    </w:p>
    <w:p w14:paraId="4C446024" w14:textId="77777777" w:rsidR="00DE4553" w:rsidRDefault="00DE4553" w:rsidP="00843711">
      <w:pPr>
        <w:pStyle w:val="ListParagraph"/>
        <w:numPr>
          <w:ilvl w:val="0"/>
          <w:numId w:val="16"/>
        </w:numPr>
        <w:spacing w:after="120"/>
      </w:pPr>
      <w:r>
        <w:t xml:space="preserve">New item 43527 covers the treatment of the </w:t>
      </w:r>
      <w:r w:rsidRPr="0041536A">
        <w:t xml:space="preserve">sternum, clavicle, rib, metacarpus, carpus, phalanx, metatarsus, tarsus, </w:t>
      </w:r>
      <w:proofErr w:type="gramStart"/>
      <w:r w:rsidRPr="0041536A">
        <w:t>mandible</w:t>
      </w:r>
      <w:proofErr w:type="gramEnd"/>
      <w:r w:rsidRPr="0041536A">
        <w:t xml:space="preserve"> or maxilla (other than alveolar margins)</w:t>
      </w:r>
      <w:r>
        <w:t>.</w:t>
      </w:r>
    </w:p>
    <w:p w14:paraId="762919D2" w14:textId="77777777" w:rsidR="00DE4553" w:rsidRDefault="00DE4553" w:rsidP="00843711">
      <w:pPr>
        <w:pStyle w:val="ListParagraph"/>
        <w:numPr>
          <w:ilvl w:val="0"/>
          <w:numId w:val="16"/>
        </w:numPr>
        <w:spacing w:after="120"/>
      </w:pPr>
      <w:r>
        <w:t xml:space="preserve">New item 43530 covers the treatment of the </w:t>
      </w:r>
      <w:r w:rsidRPr="0041536A">
        <w:t>scapula, ulna, radius, tibia, fibula, humerus or femur</w:t>
      </w:r>
      <w:r>
        <w:t>.</w:t>
      </w:r>
    </w:p>
    <w:p w14:paraId="21D077D7" w14:textId="77777777" w:rsidR="00DE4553" w:rsidRDefault="00DE4553" w:rsidP="00843711">
      <w:pPr>
        <w:pStyle w:val="ListParagraph"/>
        <w:numPr>
          <w:ilvl w:val="0"/>
          <w:numId w:val="16"/>
        </w:numPr>
        <w:spacing w:after="120"/>
      </w:pPr>
      <w:r>
        <w:t>New item 43533</w:t>
      </w:r>
      <w:r w:rsidRPr="0041536A">
        <w:t xml:space="preserve"> covers the treatment of the</w:t>
      </w:r>
      <w:r>
        <w:t xml:space="preserve"> spin or pelvis. </w:t>
      </w:r>
    </w:p>
    <w:p w14:paraId="5BE62D07" w14:textId="1AE2F4E9" w:rsidR="00EB37EB" w:rsidRPr="00132091" w:rsidRDefault="00DE4553" w:rsidP="00843711">
      <w:pPr>
        <w:pStyle w:val="ListParagraph"/>
        <w:numPr>
          <w:ilvl w:val="0"/>
          <w:numId w:val="16"/>
        </w:numPr>
        <w:spacing w:after="120"/>
      </w:pPr>
      <w:r w:rsidRPr="0041536A">
        <w:t xml:space="preserve">Removing the distinction between acute and chronic osteomyelitis makes it possible to consolidate services under fewer items and </w:t>
      </w:r>
      <w:r>
        <w:t xml:space="preserve">will </w:t>
      </w:r>
      <w:r w:rsidRPr="0041536A">
        <w:t>simplify</w:t>
      </w:r>
      <w:r>
        <w:t xml:space="preserve"> and modernise</w:t>
      </w:r>
      <w:r w:rsidRPr="0041536A">
        <w:t xml:space="preserve"> the MBS.</w:t>
      </w:r>
      <w:r w:rsidR="00CF0C6C">
        <w:br/>
      </w:r>
    </w:p>
    <w:p w14:paraId="6E49D769" w14:textId="5DC7FA9C" w:rsidR="00555BD7" w:rsidRPr="008C1ACD" w:rsidRDefault="008C1ACD" w:rsidP="00843711">
      <w:pPr>
        <w:spacing w:after="120"/>
        <w:rPr>
          <w:b/>
        </w:rPr>
      </w:pPr>
      <w:r w:rsidRPr="008C1ACD">
        <w:rPr>
          <w:b/>
        </w:rPr>
        <w:t>Mass Lesion Procedures</w:t>
      </w:r>
    </w:p>
    <w:p w14:paraId="553821ED" w14:textId="005A2346" w:rsidR="00555BD7" w:rsidRDefault="008C1ACD" w:rsidP="00843711">
      <w:pPr>
        <w:spacing w:after="120"/>
      </w:pPr>
      <w:r>
        <w:t>Item 47936:</w:t>
      </w:r>
    </w:p>
    <w:p w14:paraId="1D07D241" w14:textId="3C8317C2" w:rsidR="008C1ACD" w:rsidRDefault="008C1ACD" w:rsidP="00843711">
      <w:pPr>
        <w:pStyle w:val="ListParagraph"/>
        <w:numPr>
          <w:ilvl w:val="0"/>
          <w:numId w:val="21"/>
        </w:numPr>
        <w:spacing w:after="120"/>
      </w:pPr>
      <w:r>
        <w:t xml:space="preserve">Has been consolidated under item 50426 given the ambiguity of the term ‘exostosis’ </w:t>
      </w:r>
      <w:r w:rsidRPr="008C1ACD">
        <w:t>in the context of bone tumours</w:t>
      </w:r>
      <w:r>
        <w:t>.</w:t>
      </w:r>
    </w:p>
    <w:p w14:paraId="46BE3D70" w14:textId="77777777" w:rsidR="00F96A18" w:rsidRDefault="00F96A18" w:rsidP="00843711">
      <w:pPr>
        <w:spacing w:after="120"/>
      </w:pPr>
    </w:p>
    <w:p w14:paraId="111D2A12" w14:textId="51E4848F" w:rsidR="00555BD7" w:rsidRDefault="00DE4553" w:rsidP="00843711">
      <w:pPr>
        <w:spacing w:after="120"/>
      </w:pPr>
      <w:r>
        <w:t>Items 50203, 50206 and 50209:</w:t>
      </w:r>
    </w:p>
    <w:p w14:paraId="6ECADF30" w14:textId="00FE8894" w:rsidR="00DE4553" w:rsidRDefault="00DE4553" w:rsidP="00843711">
      <w:pPr>
        <w:pStyle w:val="ListParagraph"/>
        <w:numPr>
          <w:ilvl w:val="0"/>
          <w:numId w:val="21"/>
        </w:numPr>
        <w:spacing w:after="120"/>
      </w:pPr>
      <w:r>
        <w:t xml:space="preserve">Have been amended to better </w:t>
      </w:r>
      <w:r w:rsidR="004C4D80">
        <w:t>reflect</w:t>
      </w:r>
      <w:r>
        <w:t xml:space="preserve"> </w:t>
      </w:r>
      <w:r w:rsidRPr="00DE4553">
        <w:t>the approach to surgical resection and the complexity of the procedure.</w:t>
      </w:r>
    </w:p>
    <w:p w14:paraId="64801634" w14:textId="77777777" w:rsidR="00A17FEB" w:rsidRDefault="00A17FEB" w:rsidP="00843711">
      <w:pPr>
        <w:pStyle w:val="ListParagraph"/>
        <w:numPr>
          <w:ilvl w:val="0"/>
          <w:numId w:val="21"/>
        </w:numPr>
        <w:spacing w:after="120"/>
      </w:pPr>
      <w:r>
        <w:t xml:space="preserve">Item 50203 provides for excision of a bone or soft tissue tumour. </w:t>
      </w:r>
    </w:p>
    <w:p w14:paraId="2FC303CC" w14:textId="4BBD71C8" w:rsidR="00A17FEB" w:rsidRDefault="00A17FEB" w:rsidP="00843711">
      <w:pPr>
        <w:pStyle w:val="ListParagraph"/>
        <w:numPr>
          <w:ilvl w:val="0"/>
          <w:numId w:val="21"/>
        </w:numPr>
        <w:spacing w:after="120"/>
      </w:pPr>
      <w:r>
        <w:t xml:space="preserve">Items 50206 and 50209 provide for the excision of a bone tumour and a combination of autograft, </w:t>
      </w:r>
      <w:proofErr w:type="gramStart"/>
      <w:r>
        <w:t>allograft</w:t>
      </w:r>
      <w:proofErr w:type="gramEnd"/>
      <w:r>
        <w:t xml:space="preserve"> and </w:t>
      </w:r>
      <w:r w:rsidRPr="00A17FEB">
        <w:t>cementation.</w:t>
      </w:r>
    </w:p>
    <w:p w14:paraId="077DC28D" w14:textId="22C2E592" w:rsidR="00A17FEB" w:rsidRDefault="00A17FEB" w:rsidP="00843711">
      <w:pPr>
        <w:pStyle w:val="ListParagraph"/>
        <w:numPr>
          <w:ilvl w:val="0"/>
          <w:numId w:val="21"/>
        </w:numPr>
        <w:spacing w:after="120"/>
      </w:pPr>
      <w:r w:rsidRPr="00A17FEB">
        <w:t>Histological proof of either the benign, the aggressive benign, or the malignant nature of the process should be obtained</w:t>
      </w:r>
      <w:r w:rsidR="00B418FD">
        <w:t>.</w:t>
      </w:r>
    </w:p>
    <w:p w14:paraId="6DB267F8" w14:textId="77777777" w:rsidR="00F96A18" w:rsidRDefault="00F96A18" w:rsidP="00843711">
      <w:pPr>
        <w:spacing w:after="120"/>
      </w:pPr>
    </w:p>
    <w:p w14:paraId="02E19967" w14:textId="2B8A24CC" w:rsidR="00A17FEB" w:rsidRDefault="00A17FEB" w:rsidP="00843711">
      <w:pPr>
        <w:spacing w:after="120"/>
      </w:pPr>
      <w:r>
        <w:t>Items 50212, 50215, 50218, 50221 and 50224:</w:t>
      </w:r>
    </w:p>
    <w:p w14:paraId="183ADCE8" w14:textId="26B0DC0C" w:rsidR="00A17FEB" w:rsidRDefault="00A17FEB" w:rsidP="00843711">
      <w:pPr>
        <w:pStyle w:val="ListParagraph"/>
        <w:numPr>
          <w:ilvl w:val="0"/>
          <w:numId w:val="23"/>
        </w:numPr>
        <w:spacing w:after="120"/>
      </w:pPr>
      <w:r>
        <w:t xml:space="preserve">Have been amended to better reflect </w:t>
      </w:r>
      <w:r w:rsidRPr="00A17FEB">
        <w:t>the approach to</w:t>
      </w:r>
      <w:r>
        <w:t xml:space="preserve"> surgical resection and to remove specific reference</w:t>
      </w:r>
      <w:r w:rsidRPr="00A17FEB">
        <w:t xml:space="preserve"> to the anatomical site.</w:t>
      </w:r>
    </w:p>
    <w:p w14:paraId="69F69112" w14:textId="3C064940" w:rsidR="00A17FEB" w:rsidRDefault="00A17FEB" w:rsidP="00843711">
      <w:pPr>
        <w:pStyle w:val="ListParagraph"/>
        <w:numPr>
          <w:ilvl w:val="0"/>
          <w:numId w:val="23"/>
        </w:numPr>
        <w:spacing w:after="120"/>
      </w:pPr>
      <w:r w:rsidRPr="00A17FEB">
        <w:t xml:space="preserve">The </w:t>
      </w:r>
      <w:r w:rsidR="00B87FA3">
        <w:t>updated</w:t>
      </w:r>
      <w:r>
        <w:t xml:space="preserve"> </w:t>
      </w:r>
      <w:r w:rsidRPr="00A17FEB">
        <w:t>item</w:t>
      </w:r>
      <w:r>
        <w:t>s include</w:t>
      </w:r>
      <w:r w:rsidRPr="00A17FEB">
        <w:t xml:space="preserve"> all aspects of the surgica</w:t>
      </w:r>
      <w:r>
        <w:t xml:space="preserve">l approach, the resection, and the </w:t>
      </w:r>
      <w:r w:rsidRPr="00A17FEB">
        <w:t xml:space="preserve">subsequent reconstruction by the same surgeon (as required). </w:t>
      </w:r>
    </w:p>
    <w:p w14:paraId="53087E58" w14:textId="77777777" w:rsidR="00F96A18" w:rsidRDefault="00F96A18" w:rsidP="00843711">
      <w:pPr>
        <w:spacing w:after="120"/>
      </w:pPr>
    </w:p>
    <w:p w14:paraId="75C75DFC" w14:textId="5BD0E9B2" w:rsidR="00555BD7" w:rsidRDefault="00A17FEB" w:rsidP="00843711">
      <w:pPr>
        <w:spacing w:after="120"/>
      </w:pPr>
      <w:r>
        <w:t>Items 50227 and 50230:</w:t>
      </w:r>
    </w:p>
    <w:p w14:paraId="5289118C" w14:textId="53219BD0" w:rsidR="00A17FEB" w:rsidRDefault="00A17FEB" w:rsidP="00843711">
      <w:pPr>
        <w:pStyle w:val="ListParagraph"/>
        <w:numPr>
          <w:ilvl w:val="0"/>
          <w:numId w:val="22"/>
        </w:numPr>
        <w:spacing w:after="120"/>
      </w:pPr>
      <w:r>
        <w:t xml:space="preserve">Have been consolidated under items </w:t>
      </w:r>
      <w:r w:rsidRPr="00A17FEB">
        <w:t>50206, 50209, 50215, 50218 and 50224.</w:t>
      </w:r>
    </w:p>
    <w:p w14:paraId="1851A679" w14:textId="77777777" w:rsidR="00FC7640" w:rsidRDefault="00FC7640" w:rsidP="00FC7640">
      <w:pPr>
        <w:spacing w:line="259" w:lineRule="auto"/>
      </w:pPr>
    </w:p>
    <w:p w14:paraId="11F804E4" w14:textId="03D187C1" w:rsidR="00DE4553" w:rsidRDefault="009A77DD" w:rsidP="00FC7640">
      <w:pPr>
        <w:spacing w:line="259" w:lineRule="auto"/>
      </w:pPr>
      <w:r>
        <w:lastRenderedPageBreak/>
        <w:t>Items 5023</w:t>
      </w:r>
      <w:r w:rsidR="008F0660">
        <w:t>3, 50236 and 50239:</w:t>
      </w:r>
    </w:p>
    <w:p w14:paraId="4ED5BE3E" w14:textId="2B430C75" w:rsidR="00DE4553" w:rsidRDefault="008F0660" w:rsidP="00843711">
      <w:pPr>
        <w:pStyle w:val="ListParagraph"/>
        <w:numPr>
          <w:ilvl w:val="0"/>
          <w:numId w:val="22"/>
        </w:numPr>
        <w:spacing w:after="120"/>
      </w:pPr>
      <w:r>
        <w:t xml:space="preserve">Have been amended to </w:t>
      </w:r>
      <w:proofErr w:type="gramStart"/>
      <w:r>
        <w:t>more clearly define the anatomical site of the amputation</w:t>
      </w:r>
      <w:proofErr w:type="gramEnd"/>
      <w:r>
        <w:t xml:space="preserve"> and to specify that the procedure is indicated for aggressive bone and soft tissue tumours.</w:t>
      </w:r>
    </w:p>
    <w:p w14:paraId="4641A7B8" w14:textId="01887146" w:rsidR="008F0660" w:rsidRDefault="008F0660" w:rsidP="00843711">
      <w:pPr>
        <w:pStyle w:val="ListParagraph"/>
        <w:numPr>
          <w:ilvl w:val="0"/>
          <w:numId w:val="22"/>
        </w:numPr>
        <w:spacing w:after="120"/>
      </w:pPr>
      <w:r w:rsidRPr="008F0660">
        <w:t>The item includes all aspects of the surgical approach, the resection, and the subsequent reconstruction by the same surgeon (as required).</w:t>
      </w:r>
    </w:p>
    <w:p w14:paraId="70176035" w14:textId="70EC13A2" w:rsidR="008F0660" w:rsidRDefault="008F0660" w:rsidP="00843711">
      <w:pPr>
        <w:pStyle w:val="ListParagraph"/>
        <w:numPr>
          <w:ilvl w:val="0"/>
          <w:numId w:val="22"/>
        </w:numPr>
        <w:spacing w:after="120"/>
      </w:pPr>
      <w:r>
        <w:t>The c</w:t>
      </w:r>
      <w:r w:rsidRPr="008F0660">
        <w:t>hanges have been made to these items to better reflect modern clinical practice.</w:t>
      </w:r>
    </w:p>
    <w:p w14:paraId="1EF60A8E" w14:textId="77777777" w:rsidR="00F96A18" w:rsidRDefault="00F96A18" w:rsidP="00843711">
      <w:pPr>
        <w:spacing w:after="120"/>
      </w:pPr>
    </w:p>
    <w:p w14:paraId="2BBA19AD" w14:textId="0D194EF0" w:rsidR="008F0660" w:rsidRDefault="008F0660" w:rsidP="00843711">
      <w:pPr>
        <w:spacing w:after="120"/>
      </w:pPr>
      <w:r>
        <w:t>Items 50242 and 50245:</w:t>
      </w:r>
    </w:p>
    <w:p w14:paraId="7B68BB5E" w14:textId="6337F059" w:rsidR="008F0660" w:rsidRDefault="008F0660" w:rsidP="00843711">
      <w:pPr>
        <w:pStyle w:val="ListParagraph"/>
        <w:numPr>
          <w:ilvl w:val="0"/>
          <w:numId w:val="24"/>
        </w:numPr>
        <w:spacing w:after="120"/>
      </w:pPr>
      <w:r>
        <w:t xml:space="preserve">Have been created to provide new items for revision procedures associated with mass </w:t>
      </w:r>
      <w:r w:rsidR="004C4D80">
        <w:t>lesions</w:t>
      </w:r>
      <w:r>
        <w:t>.</w:t>
      </w:r>
    </w:p>
    <w:p w14:paraId="5A438681" w14:textId="3368DC92" w:rsidR="008F0660" w:rsidRDefault="008F0660" w:rsidP="00843711">
      <w:pPr>
        <w:pStyle w:val="ListParagraph"/>
        <w:numPr>
          <w:ilvl w:val="0"/>
          <w:numId w:val="24"/>
        </w:numPr>
        <w:spacing w:after="120"/>
      </w:pPr>
      <w:r>
        <w:t>Item 50242 applies to endoprosthetic replacement</w:t>
      </w:r>
      <w:r w:rsidRPr="008F0660">
        <w:t xml:space="preserve"> previously undertaken for procedures </w:t>
      </w:r>
      <w:r>
        <w:t>covered by items 50218 or 50224.</w:t>
      </w:r>
    </w:p>
    <w:p w14:paraId="69C39B4A" w14:textId="1CC2E214" w:rsidR="008F0660" w:rsidRDefault="008F0660" w:rsidP="00843711">
      <w:pPr>
        <w:pStyle w:val="ListParagraph"/>
        <w:numPr>
          <w:ilvl w:val="0"/>
          <w:numId w:val="24"/>
        </w:numPr>
        <w:spacing w:after="120"/>
      </w:pPr>
      <w:r>
        <w:t xml:space="preserve">Item 50245 applies to enbloc resection previously </w:t>
      </w:r>
      <w:r w:rsidRPr="008F0660">
        <w:t>undertaken for procedures covered under items 50215, 50218, 50224</w:t>
      </w:r>
      <w:r>
        <w:t>.</w:t>
      </w:r>
    </w:p>
    <w:p w14:paraId="7B67CA57" w14:textId="3F4F8A47" w:rsidR="008F0660" w:rsidRDefault="008F0660" w:rsidP="00843711">
      <w:pPr>
        <w:pStyle w:val="ListParagraph"/>
        <w:numPr>
          <w:ilvl w:val="0"/>
          <w:numId w:val="24"/>
        </w:numPr>
        <w:spacing w:after="120"/>
      </w:pPr>
      <w:r w:rsidRPr="008F0660">
        <w:t>The need to revise previous reconstructive procedures to treat malignant or aggressive bone tumours is increasing because an increasing number of limb-sparing procedures are performed and the survival rates for these patients are improving.</w:t>
      </w:r>
    </w:p>
    <w:p w14:paraId="6978A7F2" w14:textId="4DD215F9" w:rsidR="008F0660" w:rsidRPr="008F0660" w:rsidRDefault="008F0660" w:rsidP="00843711">
      <w:pPr>
        <w:pStyle w:val="ListParagraph"/>
        <w:numPr>
          <w:ilvl w:val="0"/>
          <w:numId w:val="24"/>
        </w:numPr>
        <w:spacing w:after="120"/>
      </w:pPr>
      <w:r>
        <w:t xml:space="preserve">The items will ensure there is no service gap on the MBS </w:t>
      </w:r>
      <w:proofErr w:type="gramStart"/>
      <w:r>
        <w:t>with regard to</w:t>
      </w:r>
      <w:proofErr w:type="gramEnd"/>
      <w:r>
        <w:t xml:space="preserve"> the revision of mass lesion procedures. </w:t>
      </w:r>
      <w:r w:rsidR="00CF0C6C">
        <w:br/>
      </w:r>
    </w:p>
    <w:p w14:paraId="1D84A3C7" w14:textId="56FA4AAD" w:rsidR="00DE4553" w:rsidRPr="0092277B" w:rsidRDefault="00DE4553" w:rsidP="00843711">
      <w:pPr>
        <w:spacing w:after="120"/>
        <w:rPr>
          <w:b/>
        </w:rPr>
      </w:pPr>
      <w:r w:rsidRPr="0092277B">
        <w:rPr>
          <w:b/>
        </w:rPr>
        <w:t>Pelvic Ring Fractures</w:t>
      </w:r>
    </w:p>
    <w:p w14:paraId="048BCA42" w14:textId="77777777" w:rsidR="00DE4553" w:rsidRDefault="00DE4553" w:rsidP="00843711">
      <w:pPr>
        <w:spacing w:after="120"/>
      </w:pPr>
      <w:r w:rsidRPr="007A1087">
        <w:t xml:space="preserve">Item </w:t>
      </w:r>
      <w:r>
        <w:t>47486 and 47489:</w:t>
      </w:r>
    </w:p>
    <w:p w14:paraId="01DB0BF7" w14:textId="4C31FBFC" w:rsidR="00DE4553" w:rsidRDefault="00DE4553" w:rsidP="00843711">
      <w:pPr>
        <w:pStyle w:val="ListParagraph"/>
        <w:numPr>
          <w:ilvl w:val="0"/>
          <w:numId w:val="11"/>
        </w:numPr>
        <w:spacing w:after="120"/>
      </w:pPr>
      <w:r>
        <w:t xml:space="preserve">Have been </w:t>
      </w:r>
      <w:r w:rsidR="004C4D80">
        <w:t>amended</w:t>
      </w:r>
      <w:r>
        <w:t xml:space="preserve"> to </w:t>
      </w:r>
      <w:r w:rsidRPr="007A1087">
        <w:t>anatomical landmarks, the extent of injury and the surgical procedure used by clinicians better reflects modern clinical practice.</w:t>
      </w:r>
    </w:p>
    <w:p w14:paraId="4B66A8DE" w14:textId="77777777" w:rsidR="00DE4553" w:rsidRDefault="00DE4553" w:rsidP="00843711">
      <w:pPr>
        <w:pStyle w:val="ListParagraph"/>
        <w:numPr>
          <w:ilvl w:val="0"/>
          <w:numId w:val="11"/>
        </w:numPr>
        <w:spacing w:after="120"/>
      </w:pPr>
      <w:r>
        <w:t>The items are to be used to treat the anterior and posterior pelvic ring respectively.</w:t>
      </w:r>
    </w:p>
    <w:p w14:paraId="2B9433F4" w14:textId="67792263" w:rsidR="00DE4553" w:rsidRDefault="00DE4553" w:rsidP="00843711">
      <w:pPr>
        <w:pStyle w:val="ListParagraph"/>
        <w:numPr>
          <w:ilvl w:val="0"/>
          <w:numId w:val="11"/>
        </w:numPr>
        <w:spacing w:after="120"/>
      </w:pPr>
      <w:r>
        <w:t>T</w:t>
      </w:r>
      <w:r w:rsidRPr="00170A97">
        <w:t>he item</w:t>
      </w:r>
      <w:r>
        <w:t>s</w:t>
      </w:r>
      <w:r w:rsidRPr="00170A97">
        <w:t xml:space="preserve"> can only be used if there is a clinical indication for open reduction and internal fixation.</w:t>
      </w:r>
      <w:r>
        <w:t xml:space="preserve"> </w:t>
      </w:r>
      <w:r w:rsidR="00843711">
        <w:br/>
      </w:r>
    </w:p>
    <w:p w14:paraId="4EC1F448" w14:textId="77777777" w:rsidR="00FC7640" w:rsidRDefault="00FC7640" w:rsidP="00843711">
      <w:pPr>
        <w:spacing w:after="120"/>
        <w:rPr>
          <w:b/>
        </w:rPr>
      </w:pPr>
    </w:p>
    <w:p w14:paraId="6F99E6D6" w14:textId="57435FE0" w:rsidR="00DE4553" w:rsidRPr="0092277B" w:rsidRDefault="00DE4553" w:rsidP="00843711">
      <w:pPr>
        <w:spacing w:after="120"/>
        <w:rPr>
          <w:b/>
        </w:rPr>
      </w:pPr>
      <w:r w:rsidRPr="0092277B">
        <w:rPr>
          <w:b/>
        </w:rPr>
        <w:t>Acetabular Fractures</w:t>
      </w:r>
    </w:p>
    <w:p w14:paraId="7E399FB7" w14:textId="77777777" w:rsidR="00DE4553" w:rsidRDefault="00DE4553" w:rsidP="00843711">
      <w:pPr>
        <w:spacing w:after="120"/>
      </w:pPr>
      <w:r>
        <w:t>Items 47492 and 47495:</w:t>
      </w:r>
    </w:p>
    <w:p w14:paraId="03B138FA" w14:textId="56F80EC9" w:rsidR="00DE4553" w:rsidRDefault="00DE4553" w:rsidP="00843711">
      <w:pPr>
        <w:pStyle w:val="ListParagraph"/>
        <w:numPr>
          <w:ilvl w:val="0"/>
          <w:numId w:val="12"/>
        </w:numPr>
        <w:spacing w:after="120"/>
      </w:pPr>
      <w:r>
        <w:t xml:space="preserve">Item 47492 has been consolidated under item 47495 for </w:t>
      </w:r>
      <w:r w:rsidR="004C4D80">
        <w:t>treatment</w:t>
      </w:r>
      <w:r>
        <w:t xml:space="preserve"> of fracture of the acetabulum and any associated dislocation.</w:t>
      </w:r>
    </w:p>
    <w:p w14:paraId="40E38E49" w14:textId="77777777" w:rsidR="00DE4553" w:rsidRDefault="00DE4553" w:rsidP="00843711">
      <w:pPr>
        <w:pStyle w:val="ListParagraph"/>
        <w:numPr>
          <w:ilvl w:val="0"/>
          <w:numId w:val="12"/>
        </w:numPr>
        <w:spacing w:after="120"/>
      </w:pPr>
      <w:r w:rsidRPr="007D61BB">
        <w:t>Consolidating these items will simplify the MBS</w:t>
      </w:r>
      <w:r>
        <w:t>.</w:t>
      </w:r>
    </w:p>
    <w:p w14:paraId="173CFF28" w14:textId="07E3B918" w:rsidR="00F96A18" w:rsidRDefault="00F96A18" w:rsidP="00843711">
      <w:pPr>
        <w:spacing w:after="120"/>
      </w:pPr>
    </w:p>
    <w:p w14:paraId="74D65A96" w14:textId="253C595D" w:rsidR="00DE4553" w:rsidRDefault="00DE4553" w:rsidP="00843711">
      <w:pPr>
        <w:spacing w:after="120"/>
      </w:pPr>
      <w:r>
        <w:lastRenderedPageBreak/>
        <w:t>Item 47514:</w:t>
      </w:r>
    </w:p>
    <w:p w14:paraId="5E5E250D" w14:textId="77777777" w:rsidR="00DE4553" w:rsidRDefault="00DE4553" w:rsidP="00843711">
      <w:pPr>
        <w:pStyle w:val="ListParagraph"/>
        <w:numPr>
          <w:ilvl w:val="0"/>
          <w:numId w:val="13"/>
        </w:numPr>
        <w:spacing w:after="120"/>
      </w:pPr>
      <w:r>
        <w:t xml:space="preserve">Has been created to provide a new item for </w:t>
      </w:r>
      <w:r w:rsidRPr="00D568E1">
        <w:t>acetabulum posterior wall fracture requiring open reduction and internal fixation of both acetabulum and femoral head</w:t>
      </w:r>
      <w:r>
        <w:t>.</w:t>
      </w:r>
    </w:p>
    <w:p w14:paraId="5CC0479A" w14:textId="09473219" w:rsidR="00DE4553" w:rsidRDefault="004C4D80" w:rsidP="00843711">
      <w:pPr>
        <w:pStyle w:val="ListParagraph"/>
        <w:numPr>
          <w:ilvl w:val="0"/>
          <w:numId w:val="13"/>
        </w:numPr>
        <w:spacing w:after="120"/>
      </w:pPr>
      <w:r>
        <w:t>Previously</w:t>
      </w:r>
      <w:r w:rsidR="00DE4553">
        <w:t>, no specific item has been available for this service.</w:t>
      </w:r>
    </w:p>
    <w:p w14:paraId="2B2BC800" w14:textId="77777777" w:rsidR="00F96A18" w:rsidRDefault="00F96A18" w:rsidP="00843711">
      <w:pPr>
        <w:spacing w:after="120"/>
      </w:pPr>
    </w:p>
    <w:p w14:paraId="5787BDA7" w14:textId="69E5AD07" w:rsidR="00DE4553" w:rsidRDefault="00DE4553" w:rsidP="00843711">
      <w:pPr>
        <w:spacing w:after="120"/>
      </w:pPr>
      <w:r>
        <w:t>Item 47501:</w:t>
      </w:r>
    </w:p>
    <w:p w14:paraId="0D83A04A" w14:textId="77777777" w:rsidR="00DE4553" w:rsidRDefault="00DE4553" w:rsidP="00843711">
      <w:pPr>
        <w:pStyle w:val="ListParagraph"/>
        <w:numPr>
          <w:ilvl w:val="0"/>
          <w:numId w:val="14"/>
        </w:numPr>
        <w:spacing w:after="120"/>
      </w:pPr>
      <w:r>
        <w:t>Has been amended to include the location of the fracture and better reflect modern clinical practice.</w:t>
      </w:r>
    </w:p>
    <w:p w14:paraId="0DA8EA96" w14:textId="77777777" w:rsidR="00DE4553" w:rsidRDefault="00DE4553" w:rsidP="00843711">
      <w:pPr>
        <w:pStyle w:val="ListParagraph"/>
        <w:numPr>
          <w:ilvl w:val="0"/>
          <w:numId w:val="14"/>
        </w:numPr>
        <w:spacing w:after="120"/>
      </w:pPr>
      <w:r>
        <w:t xml:space="preserve">The phrase </w:t>
      </w:r>
      <w:r w:rsidRPr="00D568E1">
        <w:t xml:space="preserve">‘single column fracture’ </w:t>
      </w:r>
      <w:r>
        <w:t xml:space="preserve">has been replaced </w:t>
      </w:r>
      <w:r w:rsidRPr="00D568E1">
        <w:t>with ‘treatment of anterior or posterior column fracture’.</w:t>
      </w:r>
    </w:p>
    <w:p w14:paraId="1F7193AE" w14:textId="77777777" w:rsidR="00F96A18" w:rsidRDefault="00F96A18" w:rsidP="00843711">
      <w:pPr>
        <w:spacing w:after="120"/>
      </w:pPr>
    </w:p>
    <w:p w14:paraId="243C3CB5" w14:textId="5A202D2A" w:rsidR="00DE4553" w:rsidRDefault="00DE4553" w:rsidP="00843711">
      <w:pPr>
        <w:spacing w:after="120"/>
      </w:pPr>
      <w:r>
        <w:t>Items 47504, 47507, 47510 and 47511:</w:t>
      </w:r>
    </w:p>
    <w:p w14:paraId="35F1B8C8" w14:textId="77777777" w:rsidR="00DE4553" w:rsidRDefault="00DE4553" w:rsidP="00843711">
      <w:pPr>
        <w:pStyle w:val="ListParagraph"/>
        <w:numPr>
          <w:ilvl w:val="0"/>
          <w:numId w:val="15"/>
        </w:numPr>
        <w:spacing w:after="120"/>
      </w:pPr>
      <w:r>
        <w:t>Items 47504, 47507 and</w:t>
      </w:r>
      <w:r w:rsidRPr="00D568E1">
        <w:t xml:space="preserve"> 47510</w:t>
      </w:r>
      <w:r>
        <w:t xml:space="preserve"> have been consolidated under the item 47511.</w:t>
      </w:r>
    </w:p>
    <w:p w14:paraId="154AA002" w14:textId="4AF63EFD" w:rsidR="00DE4553" w:rsidRDefault="00DE4553" w:rsidP="00843711">
      <w:pPr>
        <w:pStyle w:val="ListParagraph"/>
        <w:numPr>
          <w:ilvl w:val="0"/>
          <w:numId w:val="15"/>
        </w:numPr>
        <w:spacing w:after="120"/>
      </w:pPr>
      <w:r>
        <w:t xml:space="preserve">The new item covers the </w:t>
      </w:r>
      <w:r w:rsidRPr="00D568E1">
        <w:t xml:space="preserve">treatment of combined column fractures, T-type fractures, transverse fractures, anterior </w:t>
      </w:r>
      <w:proofErr w:type="gramStart"/>
      <w:r w:rsidRPr="00D568E1">
        <w:t>column</w:t>
      </w:r>
      <w:proofErr w:type="gramEnd"/>
      <w:r w:rsidRPr="00D568E1">
        <w:t xml:space="preserve"> and posterior hemi</w:t>
      </w:r>
      <w:r w:rsidR="004C4D80">
        <w:t>-</w:t>
      </w:r>
      <w:r w:rsidRPr="00D568E1">
        <w:t>transverse fractures</w:t>
      </w:r>
      <w:r>
        <w:t xml:space="preserve"> affecting the acetabulum. </w:t>
      </w:r>
    </w:p>
    <w:p w14:paraId="790E69C8" w14:textId="77777777" w:rsidR="00F96A18" w:rsidRDefault="00F96A18" w:rsidP="00843711">
      <w:pPr>
        <w:spacing w:after="120"/>
      </w:pPr>
    </w:p>
    <w:p w14:paraId="6AE92DE9" w14:textId="41C68CA5" w:rsidR="00DE4553" w:rsidRDefault="00DE4553" w:rsidP="00843711">
      <w:pPr>
        <w:spacing w:after="120"/>
      </w:pPr>
      <w:r>
        <w:t>Item 47513:</w:t>
      </w:r>
    </w:p>
    <w:p w14:paraId="2798C8E9" w14:textId="274B3418" w:rsidR="00CF0C6C" w:rsidRDefault="00DE4553" w:rsidP="00843711">
      <w:pPr>
        <w:pStyle w:val="ListParagraph"/>
        <w:numPr>
          <w:ilvl w:val="0"/>
          <w:numId w:val="16"/>
        </w:numPr>
        <w:spacing w:after="120"/>
      </w:pPr>
      <w:r>
        <w:t xml:space="preserve">Has been deleted as </w:t>
      </w:r>
      <w:r w:rsidRPr="0041536A">
        <w:t>it is not an independent procedure and should form part of other fracture procedures, if required</w:t>
      </w:r>
      <w:r>
        <w:t>.</w:t>
      </w:r>
      <w:r w:rsidR="000F1C01">
        <w:br/>
      </w:r>
    </w:p>
    <w:p w14:paraId="0A8BA0D5" w14:textId="3357EF82" w:rsidR="003E0EB0" w:rsidRPr="003E0EB0" w:rsidRDefault="003E0EB0" w:rsidP="003E0EB0">
      <w:pPr>
        <w:pStyle w:val="Heading2"/>
        <w:rPr>
          <w:sz w:val="26"/>
          <w:szCs w:val="26"/>
        </w:rPr>
      </w:pPr>
      <w:r w:rsidRPr="003E0EB0">
        <w:rPr>
          <w:sz w:val="26"/>
          <w:szCs w:val="26"/>
        </w:rPr>
        <w:t>Why are the changes being made?</w:t>
      </w:r>
    </w:p>
    <w:p w14:paraId="6CCCA31D" w14:textId="13F03229" w:rsidR="00727B93" w:rsidRDefault="00727B93" w:rsidP="00727B93">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orthopaedic surgery</w:t>
      </w:r>
      <w:r w:rsidRPr="003E0EB0">
        <w:rPr>
          <w:color w:val="auto"/>
          <w:sz w:val="20"/>
          <w:szCs w:val="20"/>
        </w:rPr>
        <w:t xml:space="preserve"> were required </w:t>
      </w:r>
      <w:r>
        <w:rPr>
          <w:color w:val="auto"/>
          <w:sz w:val="20"/>
          <w:szCs w:val="20"/>
        </w:rPr>
        <w:t xml:space="preserve">to reduce ambiguity among item descriptors, and to ensure the schedule is structured logically and </w:t>
      </w:r>
      <w:r w:rsidRPr="003E0EB0">
        <w:rPr>
          <w:color w:val="auto"/>
          <w:sz w:val="20"/>
          <w:szCs w:val="20"/>
        </w:rPr>
        <w:t>reflect</w:t>
      </w:r>
      <w:r>
        <w:rPr>
          <w:color w:val="auto"/>
          <w:sz w:val="20"/>
          <w:szCs w:val="20"/>
        </w:rPr>
        <w:t>s</w:t>
      </w:r>
      <w:r w:rsidRPr="003E0EB0">
        <w:rPr>
          <w:color w:val="auto"/>
          <w:sz w:val="20"/>
          <w:szCs w:val="20"/>
        </w:rPr>
        <w:t xml:space="preserve"> modern clinical practice</w:t>
      </w:r>
      <w:r>
        <w:rPr>
          <w:color w:val="auto"/>
          <w:sz w:val="20"/>
          <w:szCs w:val="20"/>
        </w:rPr>
        <w:t>.</w:t>
      </w:r>
    </w:p>
    <w:p w14:paraId="019A70DF" w14:textId="6F273792" w:rsidR="00727B93" w:rsidRDefault="00727B93" w:rsidP="00727B93">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5F07A730" w14:textId="4E8BCF94" w:rsidR="00FC7640" w:rsidRDefault="00FC7640" w:rsidP="00FC7640">
      <w:r w:rsidRPr="00E62B97">
        <w:t xml:space="preserve">In </w:t>
      </w:r>
      <w:r>
        <w:t>some</w:t>
      </w:r>
      <w:r w:rsidRPr="00E62B97">
        <w:t xml:space="preserve"> instances</w:t>
      </w:r>
      <w:r>
        <w:t>,</w:t>
      </w:r>
      <w:r w:rsidRPr="00E62B97">
        <w:t xml:space="preserve"> item descriptors may differ from the descriptors proposed by the </w:t>
      </w:r>
      <w:r>
        <w:t>Taskforce. This is a result of</w:t>
      </w:r>
      <w:r w:rsidRPr="00E62B97">
        <w:t xml:space="preserve"> </w:t>
      </w:r>
      <w:r>
        <w:t xml:space="preserve">recommendations made by the Orthopaedic Surgery </w:t>
      </w:r>
      <w:r w:rsidRPr="00E62B97">
        <w:t>Implementation Liaison Group (</w:t>
      </w:r>
      <w:r>
        <w:t>OS</w:t>
      </w:r>
      <w:r w:rsidRPr="00E62B97">
        <w:t xml:space="preserve">ILG). The </w:t>
      </w:r>
      <w:r>
        <w:t>OS</w:t>
      </w:r>
      <w:r w:rsidRPr="00E62B97">
        <w:t xml:space="preserve">ILG </w:t>
      </w:r>
      <w:r>
        <w:t xml:space="preserve">comprised </w:t>
      </w:r>
      <w:r w:rsidRPr="0058292E">
        <w:t xml:space="preserve">representatives </w:t>
      </w:r>
      <w:r>
        <w:t xml:space="preserve">of orthopaedic sub-specialty societies, the Australian Medical Association (AMA) and the private hospital and health insurance sectors. The OSILG provided advice on the </w:t>
      </w:r>
      <w:r w:rsidRPr="00E62B97">
        <w:t>implementation</w:t>
      </w:r>
      <w:r>
        <w:t xml:space="preserve"> of the item changes, including</w:t>
      </w:r>
      <w:r w:rsidRPr="00E62B97">
        <w:t xml:space="preserve"> identifying </w:t>
      </w:r>
      <w:r w:rsidR="00862213">
        <w:t xml:space="preserve">potential </w:t>
      </w:r>
      <w:r w:rsidRPr="00E62B97">
        <w:t>service gaps and preventing unintended consequences arising as an outcome of the review.</w:t>
      </w:r>
    </w:p>
    <w:p w14:paraId="2A016630" w14:textId="77777777" w:rsidR="00727B93" w:rsidRDefault="00727B93" w:rsidP="00727B93">
      <w:pPr>
        <w:pStyle w:val="Heading2"/>
        <w:rPr>
          <w:color w:val="auto"/>
          <w:sz w:val="20"/>
          <w:szCs w:val="20"/>
        </w:rPr>
      </w:pPr>
      <w:r>
        <w:rPr>
          <w:color w:val="auto"/>
          <w:sz w:val="20"/>
          <w:szCs w:val="20"/>
        </w:rPr>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03E9C377" w:rsidR="008B1BED" w:rsidRPr="008B1BED" w:rsidRDefault="008B1BED" w:rsidP="008B1BED">
      <w:pPr>
        <w:pStyle w:val="Heading2"/>
        <w:rPr>
          <w:sz w:val="26"/>
          <w:szCs w:val="26"/>
        </w:rPr>
      </w:pPr>
      <w:r w:rsidRPr="008B1BED">
        <w:rPr>
          <w:sz w:val="26"/>
          <w:szCs w:val="26"/>
        </w:rPr>
        <w:lastRenderedPageBreak/>
        <w:t>What does this mean for providers?</w:t>
      </w:r>
    </w:p>
    <w:p w14:paraId="3702BCD9" w14:textId="5EB96B35" w:rsidR="008B1BED" w:rsidRPr="00921291" w:rsidRDefault="008B1BED" w:rsidP="008B1BED">
      <w:pPr>
        <w:pStyle w:val="Heading2"/>
        <w:rPr>
          <w:color w:val="auto"/>
          <w:sz w:val="20"/>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A0BA36F" w14:textId="0CE0D51F" w:rsidR="008B1BED" w:rsidRPr="008B1BED" w:rsidRDefault="008B1BED" w:rsidP="008B1BED">
      <w:pPr>
        <w:pStyle w:val="Heading2"/>
        <w:rPr>
          <w:sz w:val="26"/>
          <w:szCs w:val="26"/>
        </w:rPr>
      </w:pPr>
      <w:r w:rsidRPr="008B1BED">
        <w:rPr>
          <w:sz w:val="26"/>
          <w:szCs w:val="26"/>
        </w:rPr>
        <w:t>How will these changes affect patients?</w:t>
      </w:r>
    </w:p>
    <w:p w14:paraId="14BA5D84" w14:textId="59406484" w:rsidR="003E0EB0" w:rsidRPr="008B1BED" w:rsidRDefault="008B1BED" w:rsidP="008B1BED">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921291">
        <w:rPr>
          <w:color w:val="auto"/>
          <w:sz w:val="20"/>
          <w:szCs w:val="20"/>
        </w:rPr>
        <w:t xml:space="preserve">surgery </w:t>
      </w:r>
      <w:r w:rsidRPr="008B1BED">
        <w:rPr>
          <w:color w:val="auto"/>
          <w:sz w:val="20"/>
          <w:szCs w:val="20"/>
        </w:rPr>
        <w:t>services that are clinically appropriate and reflect modern clinical practice.</w:t>
      </w:r>
    </w:p>
    <w:p w14:paraId="0CC8C300" w14:textId="77777777" w:rsidR="008B1BED" w:rsidRPr="008B1BED" w:rsidRDefault="008B1BED" w:rsidP="008B1BED">
      <w:pPr>
        <w:pStyle w:val="Heading2"/>
        <w:rPr>
          <w:sz w:val="26"/>
          <w:szCs w:val="26"/>
        </w:rPr>
      </w:pPr>
      <w:r w:rsidRPr="008B1BED">
        <w:rPr>
          <w:sz w:val="26"/>
          <w:szCs w:val="26"/>
        </w:rPr>
        <w:t>Who was consulted on the changes?</w:t>
      </w:r>
    </w:p>
    <w:p w14:paraId="409F2EC7" w14:textId="77777777" w:rsidR="00727B93" w:rsidRDefault="00727B93" w:rsidP="00727B93">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6430B6D5" w14:textId="4DB2F501" w:rsidR="00727B93" w:rsidRPr="008B1BED" w:rsidRDefault="00FC7640" w:rsidP="00727B93">
      <w:pPr>
        <w:pStyle w:val="Heading2"/>
        <w:rPr>
          <w:color w:val="auto"/>
          <w:sz w:val="20"/>
          <w:szCs w:val="20"/>
        </w:rPr>
      </w:pPr>
      <w:r>
        <w:rPr>
          <w:color w:val="auto"/>
          <w:sz w:val="20"/>
          <w:szCs w:val="20"/>
        </w:rPr>
        <w:t xml:space="preserve">The MBS Review </w:t>
      </w:r>
      <w:r w:rsidRPr="008B1BED">
        <w:rPr>
          <w:color w:val="auto"/>
          <w:sz w:val="20"/>
          <w:szCs w:val="20"/>
        </w:rPr>
        <w:t>included a public consultation process</w:t>
      </w:r>
      <w:r w:rsidR="00193615">
        <w:rPr>
          <w:color w:val="auto"/>
          <w:sz w:val="20"/>
          <w:szCs w:val="20"/>
        </w:rPr>
        <w:t xml:space="preserve"> which provided </w:t>
      </w:r>
      <w:proofErr w:type="spellStart"/>
      <w:r w:rsidR="00193615">
        <w:rPr>
          <w:color w:val="auto"/>
          <w:sz w:val="20"/>
          <w:szCs w:val="20"/>
        </w:rPr>
        <w:t>feefback</w:t>
      </w:r>
      <w:proofErr w:type="spellEnd"/>
      <w:r w:rsidR="00193615">
        <w:rPr>
          <w:color w:val="auto"/>
          <w:sz w:val="20"/>
          <w:szCs w:val="20"/>
        </w:rPr>
        <w:t xml:space="preserve"> from p</w:t>
      </w:r>
      <w:r w:rsidRPr="008B1BED">
        <w:rPr>
          <w:color w:val="auto"/>
          <w:sz w:val="20"/>
          <w:szCs w:val="20"/>
        </w:rPr>
        <w:t>eak bodies,</w:t>
      </w:r>
      <w:r w:rsidR="00193615">
        <w:rPr>
          <w:color w:val="auto"/>
          <w:sz w:val="20"/>
          <w:szCs w:val="20"/>
        </w:rPr>
        <w:t xml:space="preserve"> </w:t>
      </w:r>
      <w:proofErr w:type="spellStart"/>
      <w:r w:rsidR="00193615">
        <w:rPr>
          <w:color w:val="auto"/>
          <w:sz w:val="20"/>
          <w:szCs w:val="20"/>
        </w:rPr>
        <w:t>clinicial</w:t>
      </w:r>
      <w:proofErr w:type="spellEnd"/>
      <w:r w:rsidR="00193615">
        <w:rPr>
          <w:color w:val="auto"/>
          <w:sz w:val="20"/>
          <w:szCs w:val="20"/>
        </w:rPr>
        <w:t xml:space="preserve"> experts and </w:t>
      </w:r>
      <w:r>
        <w:rPr>
          <w:color w:val="auto"/>
          <w:sz w:val="20"/>
          <w:szCs w:val="20"/>
        </w:rPr>
        <w:t>consumers</w:t>
      </w:r>
      <w:r w:rsidR="00193615">
        <w:rPr>
          <w:color w:val="auto"/>
          <w:sz w:val="20"/>
          <w:szCs w:val="20"/>
        </w:rPr>
        <w:t xml:space="preserve">. </w:t>
      </w:r>
      <w:r w:rsidR="00727B93" w:rsidRPr="008B1BED">
        <w:rPr>
          <w:color w:val="auto"/>
          <w:sz w:val="20"/>
          <w:szCs w:val="20"/>
        </w:rPr>
        <w:t xml:space="preserve">Feedback from </w:t>
      </w:r>
      <w:r w:rsidR="00727B93">
        <w:rPr>
          <w:color w:val="auto"/>
          <w:sz w:val="20"/>
          <w:szCs w:val="20"/>
        </w:rPr>
        <w:t>stakeholders</w:t>
      </w:r>
      <w:r w:rsidR="00727B93" w:rsidRPr="008B1BED">
        <w:rPr>
          <w:color w:val="auto"/>
          <w:sz w:val="20"/>
          <w:szCs w:val="20"/>
        </w:rPr>
        <w:t xml:space="preserve"> was considered by the Taskforce prior to making its final recommendations to the Government.</w:t>
      </w:r>
    </w:p>
    <w:p w14:paraId="6E762F5C" w14:textId="77777777" w:rsidR="00921291" w:rsidRPr="00921291" w:rsidRDefault="00921291" w:rsidP="00921291">
      <w:pPr>
        <w:pStyle w:val="Heading2"/>
        <w:rPr>
          <w:sz w:val="26"/>
          <w:szCs w:val="26"/>
        </w:rPr>
      </w:pPr>
      <w:r w:rsidRPr="00921291">
        <w:rPr>
          <w:sz w:val="26"/>
          <w:szCs w:val="26"/>
        </w:rPr>
        <w:t>How will the changes be monitored and reviewed?</w:t>
      </w:r>
    </w:p>
    <w:p w14:paraId="4703D462" w14:textId="118CD33C"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surgery </w:t>
      </w:r>
      <w:r w:rsidRPr="00921291">
        <w:rPr>
          <w:color w:val="auto"/>
          <w:sz w:val="20"/>
          <w:szCs w:val="20"/>
        </w:rPr>
        <w:t>items will be monitored and reviewed post implementation.</w:t>
      </w:r>
    </w:p>
    <w:p w14:paraId="78F78618" w14:textId="787E8E37" w:rsidR="00921291" w:rsidRPr="00921291" w:rsidRDefault="00921291" w:rsidP="00921291">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51D7C2CE" w14:textId="14707CAC" w:rsidR="002F6993" w:rsidRPr="00CF0C6C" w:rsidRDefault="00921291" w:rsidP="0071212A">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62873C30" w14:textId="77777777" w:rsidR="00193615" w:rsidRDefault="00193615" w:rsidP="0071212A">
      <w:pPr>
        <w:pStyle w:val="Heading2"/>
        <w:rPr>
          <w:sz w:val="26"/>
          <w:szCs w:val="26"/>
        </w:rPr>
      </w:pPr>
    </w:p>
    <w:p w14:paraId="3D675523" w14:textId="4EAD1EE6" w:rsidR="0071212A" w:rsidRPr="0071212A" w:rsidRDefault="00921291" w:rsidP="0071212A">
      <w:pPr>
        <w:pStyle w:val="Heading2"/>
        <w:rPr>
          <w:sz w:val="26"/>
          <w:szCs w:val="26"/>
        </w:rPr>
      </w:pPr>
      <w:r>
        <w:rPr>
          <w:sz w:val="26"/>
          <w:szCs w:val="26"/>
        </w:rPr>
        <w:t>Further information</w:t>
      </w:r>
    </w:p>
    <w:p w14:paraId="183B36B9" w14:textId="3276E14E" w:rsidR="00727B93" w:rsidRPr="00727B93" w:rsidRDefault="00727B93" w:rsidP="00727B93">
      <w:pPr>
        <w:rPr>
          <w:rFonts w:eastAsia="Times New Roman" w:cs="Times New Roman"/>
        </w:rPr>
      </w:pPr>
      <w:r w:rsidRPr="00727B93">
        <w:rPr>
          <w:rFonts w:eastAsia="Times New Roman" w:cs="Times New Roman"/>
        </w:rPr>
        <w:t xml:space="preserve">The full item descriptor(s) and information on amended schedule fees are now available on the </w:t>
      </w:r>
      <w:hyperlink r:id="rId10" w:history="1">
        <w:r w:rsidRPr="00727B93">
          <w:rPr>
            <w:rFonts w:eastAsia="Times New Roman" w:cs="Times New Roman"/>
            <w:color w:val="0563C1"/>
            <w:u w:val="single"/>
          </w:rPr>
          <w:t>MBS O</w:t>
        </w:r>
        <w:r w:rsidRPr="00727B93">
          <w:rPr>
            <w:rFonts w:eastAsia="Times New Roman" w:cs="Times New Roman"/>
            <w:color w:val="0563C1"/>
            <w:u w:val="single"/>
          </w:rPr>
          <w:t>n</w:t>
        </w:r>
        <w:r w:rsidRPr="00727B93">
          <w:rPr>
            <w:rFonts w:eastAsia="Times New Roman" w:cs="Times New Roman"/>
            <w:color w:val="0563C1"/>
            <w:u w:val="single"/>
          </w:rPr>
          <w:t>line</w:t>
        </w:r>
      </w:hyperlink>
      <w:r w:rsidRPr="00727B93">
        <w:rPr>
          <w:rFonts w:eastAsia="Times New Roman" w:cs="Times New Roman"/>
        </w:rPr>
        <w:t xml:space="preserve"> website</w:t>
      </w:r>
      <w:r w:rsidRPr="00727B93">
        <w:rPr>
          <w:rFonts w:eastAsia="Times New Roman" w:cs="Times New Roman"/>
          <w:color w:val="0563C1"/>
          <w:u w:val="single"/>
        </w:rPr>
        <w:t>.</w:t>
      </w:r>
      <w:r w:rsidRPr="00727B93">
        <w:rPr>
          <w:rFonts w:eastAsia="Times New Roman" w:cs="Times New Roman"/>
        </w:rPr>
        <w:t xml:space="preserve"> You can also subscribe to future MBS updates by visiting MBS Online and clicking ‘Subscribe’. </w:t>
      </w:r>
    </w:p>
    <w:p w14:paraId="64DA152D" w14:textId="77777777" w:rsidR="00193615" w:rsidRDefault="00193615">
      <w:pPr>
        <w:spacing w:line="259" w:lineRule="auto"/>
        <w:rPr>
          <w:rFonts w:asciiTheme="majorHAnsi" w:hAnsiTheme="majorHAnsi"/>
          <w:color w:val="001A70" w:themeColor="text2"/>
          <w:sz w:val="26"/>
          <w:szCs w:val="26"/>
        </w:rPr>
      </w:pPr>
      <w:r>
        <w:rPr>
          <w:sz w:val="26"/>
          <w:szCs w:val="26"/>
        </w:rPr>
        <w:br w:type="page"/>
      </w:r>
    </w:p>
    <w:p w14:paraId="2D436BCB" w14:textId="791CE715" w:rsidR="006116F4" w:rsidRPr="00921291" w:rsidRDefault="006116F4" w:rsidP="006116F4">
      <w:pPr>
        <w:pStyle w:val="Heading2"/>
        <w:rPr>
          <w:sz w:val="26"/>
          <w:szCs w:val="26"/>
        </w:rPr>
      </w:pPr>
      <w:r w:rsidRPr="00921291">
        <w:rPr>
          <w:sz w:val="26"/>
          <w:szCs w:val="26"/>
        </w:rPr>
        <w:lastRenderedPageBreak/>
        <w:t>Enquiries</w:t>
      </w:r>
    </w:p>
    <w:p w14:paraId="62BF804D" w14:textId="5D30158E" w:rsidR="00E370F4" w:rsidRDefault="00E370F4" w:rsidP="00E370F4">
      <w:r>
        <w:t xml:space="preserve">For questions relating to implementation, or to the interpretation of the new orthopaedic surgery MBS items, please email </w:t>
      </w:r>
      <w:hyperlink r:id="rId11" w:history="1">
        <w:r w:rsidR="00B13AA5" w:rsidRPr="00B13AA5">
          <w:rPr>
            <w:rStyle w:val="Hyperlink"/>
          </w:rPr>
          <w:t>1july2021MBSchanges.orthopaedics@health.gov.au</w:t>
        </w:r>
      </w:hyperlink>
      <w:r w:rsidRPr="00B13AA5">
        <w:t>.</w:t>
      </w:r>
      <w:r>
        <w:t xml:space="preserve"> </w:t>
      </w:r>
    </w:p>
    <w:p w14:paraId="7D55E00E" w14:textId="73B1142F" w:rsidR="00E370F4" w:rsidRDefault="00E370F4" w:rsidP="00E370F4">
      <w:r>
        <w:t>Subscribe to ‘</w:t>
      </w:r>
      <w:hyperlink r:id="rId12" w:history="1">
        <w:r w:rsidRPr="00064416">
          <w:rPr>
            <w:rStyle w:val="Hyperlink"/>
          </w:rPr>
          <w:t>News for Health Professionals</w:t>
        </w:r>
      </w:hyperlink>
      <w:r>
        <w:t xml:space="preserve">’ on the Services </w:t>
      </w:r>
      <w:r w:rsidR="004521A7">
        <w:t xml:space="preserve">Australia </w:t>
      </w:r>
      <w:r>
        <w:t>website and you will receive regular news highlights.</w:t>
      </w:r>
    </w:p>
    <w:p w14:paraId="08B618F3" w14:textId="7895279A" w:rsidR="00E370F4"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09EDDEF" w14:textId="588E88E9" w:rsidR="00656F11" w:rsidRPr="00FF390D" w:rsidRDefault="00E370F4" w:rsidP="00FF390D">
      <w:pPr>
        <w:pStyle w:val="Disclaimer"/>
        <w:jc w:val="center"/>
      </w:pPr>
      <w:r w:rsidRPr="0029176A">
        <w:t xml:space="preserve">This sheet is current as of the </w:t>
      </w:r>
      <w:r>
        <w:t>L</w:t>
      </w:r>
      <w:r w:rsidRPr="0029176A">
        <w:t>ast updated date</w:t>
      </w:r>
      <w:r>
        <w:t xml:space="preserve"> shown </w:t>
      </w:r>
      <w:proofErr w:type="gramStart"/>
      <w:r w:rsidR="00193615">
        <w:t>below</w:t>
      </w:r>
      <w:r w:rsidRPr="0029176A">
        <w:t>, and</w:t>
      </w:r>
      <w:proofErr w:type="gramEnd"/>
      <w:r w:rsidRPr="0029176A">
        <w:t xml:space="preserve"> does not account for MBS changes</w:t>
      </w:r>
      <w:r>
        <w:t xml:space="preserve"> since that date</w:t>
      </w:r>
      <w:r w:rsidRPr="0029176A">
        <w:t>.</w:t>
      </w:r>
    </w:p>
    <w:sectPr w:rsidR="00656F11" w:rsidRPr="00FF390D"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FF0A0A" w:rsidRDefault="00FF0A0A" w:rsidP="006D1088">
      <w:pPr>
        <w:spacing w:after="0" w:line="240" w:lineRule="auto"/>
      </w:pPr>
      <w:r>
        <w:separator/>
      </w:r>
    </w:p>
  </w:endnote>
  <w:endnote w:type="continuationSeparator" w:id="0">
    <w:p w14:paraId="3530A130" w14:textId="77777777" w:rsidR="00FF0A0A" w:rsidRDefault="00FF0A0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1DBC8243" w:rsidR="00FF0A0A" w:rsidRDefault="00EA2C94" w:rsidP="0001798A">
    <w:pPr>
      <w:pStyle w:val="Footer"/>
    </w:pPr>
    <w:r>
      <w:rPr>
        <w:rStyle w:val="BookTitle"/>
        <w:noProof/>
      </w:rPr>
      <w:pict w14:anchorId="0B51D9CD">
        <v:rect id="_x0000_i1025" style="width:523.3pt;height:1.9pt" o:hralign="center" o:hrstd="t" o:hr="t" fillcolor="#a0a0a0" stroked="f"/>
      </w:pict>
    </w:r>
    <w:r w:rsidR="00FF0A0A" w:rsidRPr="0001798A">
      <w:rPr>
        <w:b/>
      </w:rPr>
      <w:t>Medicare Benefits Schedule</w:t>
    </w:r>
    <w:r w:rsidR="00FF0A0A">
      <w:t xml:space="preserve"> </w:t>
    </w:r>
    <w:r w:rsidR="00FF0A0A" w:rsidRPr="0001798A">
      <w:rPr>
        <w:b/>
      </w:rPr>
      <w:t>Orthopaedic Surgery Items</w:t>
    </w:r>
    <w:r w:rsidR="00FF0A0A" w:rsidRPr="00E863C4">
      <w:rPr>
        <w:b/>
      </w:rPr>
      <w:t xml:space="preserve"> – </w:t>
    </w:r>
    <w:r w:rsidR="00FF0A0A">
      <w:rPr>
        <w:b/>
      </w:rPr>
      <w:t>Factsheet</w:t>
    </w:r>
    <w:r w:rsidR="00FF0A0A" w:rsidRPr="00E863C4">
      <w:t xml:space="preserve"> </w:t>
    </w:r>
    <w:sdt>
      <w:sdtPr>
        <w:id w:val="960607005"/>
        <w:docPartObj>
          <w:docPartGallery w:val="Page Numbers (Bottom of Page)"/>
          <w:docPartUnique/>
        </w:docPartObj>
      </w:sdtPr>
      <w:sdtEndPr>
        <w:rPr>
          <w:noProof/>
        </w:rPr>
      </w:sdtEndPr>
      <w:sdtContent>
        <w:r w:rsidR="00FF0A0A">
          <w:tab/>
        </w:r>
        <w:r w:rsidR="00FF0A0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FF0A0A" w:rsidRPr="00F546CA">
                  <w:t xml:space="preserve">Page </w:t>
                </w:r>
                <w:r w:rsidR="00FF0A0A" w:rsidRPr="00F546CA">
                  <w:rPr>
                    <w:bCs/>
                    <w:sz w:val="24"/>
                    <w:szCs w:val="24"/>
                  </w:rPr>
                  <w:fldChar w:fldCharType="begin"/>
                </w:r>
                <w:r w:rsidR="00FF0A0A" w:rsidRPr="00F546CA">
                  <w:rPr>
                    <w:bCs/>
                  </w:rPr>
                  <w:instrText xml:space="preserve"> PAGE </w:instrText>
                </w:r>
                <w:r w:rsidR="00FF0A0A" w:rsidRPr="00F546CA">
                  <w:rPr>
                    <w:bCs/>
                    <w:sz w:val="24"/>
                    <w:szCs w:val="24"/>
                  </w:rPr>
                  <w:fldChar w:fldCharType="separate"/>
                </w:r>
                <w:r w:rsidR="00862213">
                  <w:rPr>
                    <w:bCs/>
                    <w:noProof/>
                  </w:rPr>
                  <w:t>9</w:t>
                </w:r>
                <w:r w:rsidR="00FF0A0A" w:rsidRPr="00F546CA">
                  <w:rPr>
                    <w:bCs/>
                    <w:sz w:val="24"/>
                    <w:szCs w:val="24"/>
                  </w:rPr>
                  <w:fldChar w:fldCharType="end"/>
                </w:r>
                <w:r w:rsidR="00FF0A0A" w:rsidRPr="00F546CA">
                  <w:t xml:space="preserve"> of </w:t>
                </w:r>
                <w:r w:rsidR="00FF0A0A" w:rsidRPr="00F546CA">
                  <w:rPr>
                    <w:bCs/>
                    <w:sz w:val="24"/>
                    <w:szCs w:val="24"/>
                  </w:rPr>
                  <w:fldChar w:fldCharType="begin"/>
                </w:r>
                <w:r w:rsidR="00FF0A0A" w:rsidRPr="00F546CA">
                  <w:rPr>
                    <w:bCs/>
                  </w:rPr>
                  <w:instrText xml:space="preserve"> NUMPAGES  </w:instrText>
                </w:r>
                <w:r w:rsidR="00FF0A0A" w:rsidRPr="00F546CA">
                  <w:rPr>
                    <w:bCs/>
                    <w:sz w:val="24"/>
                    <w:szCs w:val="24"/>
                  </w:rPr>
                  <w:fldChar w:fldCharType="separate"/>
                </w:r>
                <w:r w:rsidR="00862213">
                  <w:rPr>
                    <w:bCs/>
                    <w:noProof/>
                  </w:rPr>
                  <w:t>9</w:t>
                </w:r>
                <w:r w:rsidR="00FF0A0A" w:rsidRPr="00F546CA">
                  <w:rPr>
                    <w:bCs/>
                    <w:sz w:val="24"/>
                    <w:szCs w:val="24"/>
                  </w:rPr>
                  <w:fldChar w:fldCharType="end"/>
                </w:r>
              </w:sdtContent>
            </w:sdt>
          </w:sdtContent>
        </w:sdt>
        <w:r w:rsidR="00FF0A0A">
          <w:t xml:space="preserve"> </w:t>
        </w:r>
      </w:sdtContent>
    </w:sdt>
  </w:p>
  <w:p w14:paraId="706AA6C8" w14:textId="77777777" w:rsidR="00FF0A0A" w:rsidRDefault="00EA2C94">
    <w:pPr>
      <w:pStyle w:val="Footer"/>
      <w:rPr>
        <w:rStyle w:val="Hyperlink"/>
        <w:szCs w:val="18"/>
      </w:rPr>
    </w:pPr>
    <w:hyperlink r:id="rId1" w:history="1">
      <w:r w:rsidR="00FF0A0A" w:rsidRPr="00E863C4">
        <w:rPr>
          <w:rStyle w:val="Hyperlink"/>
          <w:szCs w:val="18"/>
        </w:rPr>
        <w:t>MBS Online</w:t>
      </w:r>
    </w:hyperlink>
  </w:p>
  <w:p w14:paraId="468D2F08" w14:textId="56DFD551" w:rsidR="00FF0A0A" w:rsidRPr="009B32BA" w:rsidRDefault="00FF0A0A">
    <w:pPr>
      <w:pStyle w:val="Footer"/>
      <w:rPr>
        <w:szCs w:val="18"/>
      </w:rPr>
    </w:pPr>
    <w:r w:rsidRPr="00ED1564">
      <w:t xml:space="preserve">Last updated – </w:t>
    </w:r>
    <w:r w:rsidR="00862213">
      <w:t>1 July</w:t>
    </w:r>
    <w:r w:rsidRPr="00ED1564">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FF0A0A" w:rsidRDefault="00FF0A0A" w:rsidP="006D1088">
      <w:pPr>
        <w:spacing w:after="0" w:line="240" w:lineRule="auto"/>
      </w:pPr>
      <w:r>
        <w:separator/>
      </w:r>
    </w:p>
  </w:footnote>
  <w:footnote w:type="continuationSeparator" w:id="0">
    <w:p w14:paraId="089BECC8" w14:textId="77777777" w:rsidR="00FF0A0A" w:rsidRDefault="00FF0A0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678EABE1" w:rsidR="00FF0A0A" w:rsidRDefault="00FF0A0A">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2" name="Picture 2"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2047C"/>
    <w:multiLevelType w:val="hybridMultilevel"/>
    <w:tmpl w:val="710C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64AFA"/>
    <w:multiLevelType w:val="hybridMultilevel"/>
    <w:tmpl w:val="1B80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840D7"/>
    <w:multiLevelType w:val="hybridMultilevel"/>
    <w:tmpl w:val="005A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A07955"/>
    <w:multiLevelType w:val="hybridMultilevel"/>
    <w:tmpl w:val="47FC0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DB44553"/>
    <w:multiLevelType w:val="hybridMultilevel"/>
    <w:tmpl w:val="71D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7790A"/>
    <w:multiLevelType w:val="hybridMultilevel"/>
    <w:tmpl w:val="7F2C4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341205"/>
    <w:multiLevelType w:val="hybridMultilevel"/>
    <w:tmpl w:val="E162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D10E10"/>
    <w:multiLevelType w:val="hybridMultilevel"/>
    <w:tmpl w:val="AA96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055DE1"/>
    <w:multiLevelType w:val="hybridMultilevel"/>
    <w:tmpl w:val="8506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E3822"/>
    <w:multiLevelType w:val="hybridMultilevel"/>
    <w:tmpl w:val="45728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2B51C4"/>
    <w:multiLevelType w:val="hybridMultilevel"/>
    <w:tmpl w:val="9766A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AD48F5"/>
    <w:multiLevelType w:val="hybridMultilevel"/>
    <w:tmpl w:val="2E780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702D44"/>
    <w:multiLevelType w:val="hybridMultilevel"/>
    <w:tmpl w:val="845C6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4450D2"/>
    <w:multiLevelType w:val="hybridMultilevel"/>
    <w:tmpl w:val="7FF4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2275B"/>
    <w:multiLevelType w:val="hybridMultilevel"/>
    <w:tmpl w:val="1350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CD65BE"/>
    <w:multiLevelType w:val="hybridMultilevel"/>
    <w:tmpl w:val="D4BA6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B356DE"/>
    <w:multiLevelType w:val="hybridMultilevel"/>
    <w:tmpl w:val="8B66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AF7535"/>
    <w:multiLevelType w:val="hybridMultilevel"/>
    <w:tmpl w:val="6134A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D4288"/>
    <w:multiLevelType w:val="hybridMultilevel"/>
    <w:tmpl w:val="0E60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DB6187"/>
    <w:multiLevelType w:val="hybridMultilevel"/>
    <w:tmpl w:val="6EAE7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3907FD"/>
    <w:multiLevelType w:val="hybridMultilevel"/>
    <w:tmpl w:val="9CDE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113CC3"/>
    <w:multiLevelType w:val="hybridMultilevel"/>
    <w:tmpl w:val="6B52B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D2447C"/>
    <w:multiLevelType w:val="hybridMultilevel"/>
    <w:tmpl w:val="1B46B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687AFA"/>
    <w:multiLevelType w:val="hybridMultilevel"/>
    <w:tmpl w:val="49022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8"/>
  </w:num>
  <w:num w:numId="5">
    <w:abstractNumId w:val="19"/>
  </w:num>
  <w:num w:numId="6">
    <w:abstractNumId w:val="17"/>
  </w:num>
  <w:num w:numId="7">
    <w:abstractNumId w:val="14"/>
  </w:num>
  <w:num w:numId="8">
    <w:abstractNumId w:val="21"/>
  </w:num>
  <w:num w:numId="9">
    <w:abstractNumId w:val="9"/>
  </w:num>
  <w:num w:numId="10">
    <w:abstractNumId w:val="10"/>
  </w:num>
  <w:num w:numId="11">
    <w:abstractNumId w:val="0"/>
  </w:num>
  <w:num w:numId="12">
    <w:abstractNumId w:val="20"/>
  </w:num>
  <w:num w:numId="13">
    <w:abstractNumId w:val="13"/>
  </w:num>
  <w:num w:numId="14">
    <w:abstractNumId w:val="24"/>
  </w:num>
  <w:num w:numId="15">
    <w:abstractNumId w:val="16"/>
  </w:num>
  <w:num w:numId="16">
    <w:abstractNumId w:val="3"/>
  </w:num>
  <w:num w:numId="17">
    <w:abstractNumId w:val="23"/>
  </w:num>
  <w:num w:numId="18">
    <w:abstractNumId w:val="7"/>
  </w:num>
  <w:num w:numId="19">
    <w:abstractNumId w:val="6"/>
  </w:num>
  <w:num w:numId="20">
    <w:abstractNumId w:val="15"/>
  </w:num>
  <w:num w:numId="21">
    <w:abstractNumId w:val="11"/>
  </w:num>
  <w:num w:numId="22">
    <w:abstractNumId w:val="8"/>
  </w:num>
  <w:num w:numId="23">
    <w:abstractNumId w:val="12"/>
  </w:num>
  <w:num w:numId="24">
    <w:abstractNumId w:val="2"/>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798A"/>
    <w:rsid w:val="000337A4"/>
    <w:rsid w:val="000367AA"/>
    <w:rsid w:val="00045810"/>
    <w:rsid w:val="00064416"/>
    <w:rsid w:val="00081B97"/>
    <w:rsid w:val="0009225E"/>
    <w:rsid w:val="00093782"/>
    <w:rsid w:val="000A2F0A"/>
    <w:rsid w:val="000B01AE"/>
    <w:rsid w:val="000B233B"/>
    <w:rsid w:val="000B2A1B"/>
    <w:rsid w:val="000B616E"/>
    <w:rsid w:val="000C2143"/>
    <w:rsid w:val="000C3B83"/>
    <w:rsid w:val="000D1778"/>
    <w:rsid w:val="000F1C01"/>
    <w:rsid w:val="000F2165"/>
    <w:rsid w:val="000F737E"/>
    <w:rsid w:val="00100DFC"/>
    <w:rsid w:val="001014EB"/>
    <w:rsid w:val="00102434"/>
    <w:rsid w:val="00102885"/>
    <w:rsid w:val="0010555F"/>
    <w:rsid w:val="00111196"/>
    <w:rsid w:val="00121100"/>
    <w:rsid w:val="00124E0B"/>
    <w:rsid w:val="00130343"/>
    <w:rsid w:val="00132091"/>
    <w:rsid w:val="00135417"/>
    <w:rsid w:val="00137B05"/>
    <w:rsid w:val="00141BC3"/>
    <w:rsid w:val="001432AF"/>
    <w:rsid w:val="00150C0D"/>
    <w:rsid w:val="00151636"/>
    <w:rsid w:val="00155BD4"/>
    <w:rsid w:val="00160936"/>
    <w:rsid w:val="00167446"/>
    <w:rsid w:val="00170A97"/>
    <w:rsid w:val="0017279A"/>
    <w:rsid w:val="00181B52"/>
    <w:rsid w:val="0018507E"/>
    <w:rsid w:val="0019170A"/>
    <w:rsid w:val="00193615"/>
    <w:rsid w:val="001A6FE6"/>
    <w:rsid w:val="001A7FB7"/>
    <w:rsid w:val="001C5C56"/>
    <w:rsid w:val="001E4DE0"/>
    <w:rsid w:val="001E6F63"/>
    <w:rsid w:val="001F49E8"/>
    <w:rsid w:val="00200902"/>
    <w:rsid w:val="00201831"/>
    <w:rsid w:val="00203F3E"/>
    <w:rsid w:val="00204B01"/>
    <w:rsid w:val="00210EF2"/>
    <w:rsid w:val="00215A92"/>
    <w:rsid w:val="00221334"/>
    <w:rsid w:val="002427E0"/>
    <w:rsid w:val="00243D1C"/>
    <w:rsid w:val="00253CDA"/>
    <w:rsid w:val="00256296"/>
    <w:rsid w:val="002648D6"/>
    <w:rsid w:val="0026502E"/>
    <w:rsid w:val="00276A29"/>
    <w:rsid w:val="00281820"/>
    <w:rsid w:val="00291041"/>
    <w:rsid w:val="002A3C7C"/>
    <w:rsid w:val="002A5A70"/>
    <w:rsid w:val="002B3FCB"/>
    <w:rsid w:val="002B6E10"/>
    <w:rsid w:val="002B70AC"/>
    <w:rsid w:val="002D2CC5"/>
    <w:rsid w:val="002E6682"/>
    <w:rsid w:val="002F6993"/>
    <w:rsid w:val="00301CA5"/>
    <w:rsid w:val="003122B4"/>
    <w:rsid w:val="00337919"/>
    <w:rsid w:val="00345DC5"/>
    <w:rsid w:val="00352174"/>
    <w:rsid w:val="00352F9A"/>
    <w:rsid w:val="00355E8A"/>
    <w:rsid w:val="00360EAE"/>
    <w:rsid w:val="00363819"/>
    <w:rsid w:val="00374AE3"/>
    <w:rsid w:val="003A52BA"/>
    <w:rsid w:val="003B56AD"/>
    <w:rsid w:val="003D0206"/>
    <w:rsid w:val="003D418E"/>
    <w:rsid w:val="003D5CEF"/>
    <w:rsid w:val="003E0945"/>
    <w:rsid w:val="003E0EB0"/>
    <w:rsid w:val="003E6457"/>
    <w:rsid w:val="003E6884"/>
    <w:rsid w:val="003F6682"/>
    <w:rsid w:val="00405506"/>
    <w:rsid w:val="0041536A"/>
    <w:rsid w:val="00420023"/>
    <w:rsid w:val="00425089"/>
    <w:rsid w:val="00427D7F"/>
    <w:rsid w:val="004324B6"/>
    <w:rsid w:val="00433682"/>
    <w:rsid w:val="0043744D"/>
    <w:rsid w:val="00445086"/>
    <w:rsid w:val="004511F2"/>
    <w:rsid w:val="004521A7"/>
    <w:rsid w:val="00464A15"/>
    <w:rsid w:val="00471B48"/>
    <w:rsid w:val="00484C45"/>
    <w:rsid w:val="004933FA"/>
    <w:rsid w:val="00494B72"/>
    <w:rsid w:val="00496081"/>
    <w:rsid w:val="004A1348"/>
    <w:rsid w:val="004B243F"/>
    <w:rsid w:val="004C2B08"/>
    <w:rsid w:val="004C4D80"/>
    <w:rsid w:val="004D2C7C"/>
    <w:rsid w:val="004D309E"/>
    <w:rsid w:val="004D71C4"/>
    <w:rsid w:val="004E52A2"/>
    <w:rsid w:val="004F0AA6"/>
    <w:rsid w:val="004F272F"/>
    <w:rsid w:val="004F3141"/>
    <w:rsid w:val="004F7E8D"/>
    <w:rsid w:val="00510063"/>
    <w:rsid w:val="00525223"/>
    <w:rsid w:val="005261D0"/>
    <w:rsid w:val="0054242B"/>
    <w:rsid w:val="00542F07"/>
    <w:rsid w:val="00543427"/>
    <w:rsid w:val="00545A8A"/>
    <w:rsid w:val="00550525"/>
    <w:rsid w:val="00552645"/>
    <w:rsid w:val="00553847"/>
    <w:rsid w:val="00555BD7"/>
    <w:rsid w:val="00564B90"/>
    <w:rsid w:val="00570B62"/>
    <w:rsid w:val="00583515"/>
    <w:rsid w:val="00583AED"/>
    <w:rsid w:val="00595BBD"/>
    <w:rsid w:val="0059641E"/>
    <w:rsid w:val="005E1472"/>
    <w:rsid w:val="006116F4"/>
    <w:rsid w:val="00613310"/>
    <w:rsid w:val="006173AC"/>
    <w:rsid w:val="0062100F"/>
    <w:rsid w:val="00621A16"/>
    <w:rsid w:val="00630810"/>
    <w:rsid w:val="00634880"/>
    <w:rsid w:val="006425BA"/>
    <w:rsid w:val="006507DA"/>
    <w:rsid w:val="00650B9A"/>
    <w:rsid w:val="00653345"/>
    <w:rsid w:val="006545AD"/>
    <w:rsid w:val="00654680"/>
    <w:rsid w:val="00655D74"/>
    <w:rsid w:val="00655E99"/>
    <w:rsid w:val="00656F11"/>
    <w:rsid w:val="006730E9"/>
    <w:rsid w:val="00684D37"/>
    <w:rsid w:val="006938EB"/>
    <w:rsid w:val="00694030"/>
    <w:rsid w:val="006961D6"/>
    <w:rsid w:val="006A175B"/>
    <w:rsid w:val="006A257C"/>
    <w:rsid w:val="006C2BFA"/>
    <w:rsid w:val="006D04CC"/>
    <w:rsid w:val="006D1088"/>
    <w:rsid w:val="006D2A35"/>
    <w:rsid w:val="006D48D3"/>
    <w:rsid w:val="006E4F95"/>
    <w:rsid w:val="006F5785"/>
    <w:rsid w:val="006F5E81"/>
    <w:rsid w:val="007108CD"/>
    <w:rsid w:val="0071212A"/>
    <w:rsid w:val="00726103"/>
    <w:rsid w:val="00727B93"/>
    <w:rsid w:val="00727F4C"/>
    <w:rsid w:val="00734F6B"/>
    <w:rsid w:val="00736D31"/>
    <w:rsid w:val="00746CF8"/>
    <w:rsid w:val="00763BFA"/>
    <w:rsid w:val="00777029"/>
    <w:rsid w:val="00781867"/>
    <w:rsid w:val="007851A7"/>
    <w:rsid w:val="007A0F3E"/>
    <w:rsid w:val="007A1087"/>
    <w:rsid w:val="007C4513"/>
    <w:rsid w:val="007D09AF"/>
    <w:rsid w:val="007D1D3A"/>
    <w:rsid w:val="007D61BB"/>
    <w:rsid w:val="007E2604"/>
    <w:rsid w:val="007E2749"/>
    <w:rsid w:val="007E33D2"/>
    <w:rsid w:val="00820202"/>
    <w:rsid w:val="00834903"/>
    <w:rsid w:val="008352AC"/>
    <w:rsid w:val="00842080"/>
    <w:rsid w:val="00843711"/>
    <w:rsid w:val="00845C67"/>
    <w:rsid w:val="00851D19"/>
    <w:rsid w:val="00852651"/>
    <w:rsid w:val="008553F7"/>
    <w:rsid w:val="00862213"/>
    <w:rsid w:val="00864E28"/>
    <w:rsid w:val="008670B9"/>
    <w:rsid w:val="008766AD"/>
    <w:rsid w:val="00881219"/>
    <w:rsid w:val="0088793F"/>
    <w:rsid w:val="008936CF"/>
    <w:rsid w:val="008957B9"/>
    <w:rsid w:val="008A6F4F"/>
    <w:rsid w:val="008B1BED"/>
    <w:rsid w:val="008C1ACD"/>
    <w:rsid w:val="008E258C"/>
    <w:rsid w:val="008E4C9B"/>
    <w:rsid w:val="008E7B7C"/>
    <w:rsid w:val="008F0660"/>
    <w:rsid w:val="008F1594"/>
    <w:rsid w:val="008F2E7A"/>
    <w:rsid w:val="008F4B45"/>
    <w:rsid w:val="008F60F0"/>
    <w:rsid w:val="009000AA"/>
    <w:rsid w:val="0090265D"/>
    <w:rsid w:val="00907B4A"/>
    <w:rsid w:val="0091706C"/>
    <w:rsid w:val="00921291"/>
    <w:rsid w:val="0092277B"/>
    <w:rsid w:val="00925595"/>
    <w:rsid w:val="009258F4"/>
    <w:rsid w:val="00934ED4"/>
    <w:rsid w:val="00941379"/>
    <w:rsid w:val="00942A31"/>
    <w:rsid w:val="0094532F"/>
    <w:rsid w:val="009542F2"/>
    <w:rsid w:val="009562F4"/>
    <w:rsid w:val="009676E7"/>
    <w:rsid w:val="009729E3"/>
    <w:rsid w:val="00977405"/>
    <w:rsid w:val="00980E56"/>
    <w:rsid w:val="0098399A"/>
    <w:rsid w:val="009840B4"/>
    <w:rsid w:val="009858E2"/>
    <w:rsid w:val="009A6B12"/>
    <w:rsid w:val="009A77DD"/>
    <w:rsid w:val="009B32BA"/>
    <w:rsid w:val="009B51E7"/>
    <w:rsid w:val="009B5206"/>
    <w:rsid w:val="009B7859"/>
    <w:rsid w:val="009C1A29"/>
    <w:rsid w:val="009C742B"/>
    <w:rsid w:val="009D0B98"/>
    <w:rsid w:val="009D1906"/>
    <w:rsid w:val="009E4A9E"/>
    <w:rsid w:val="009E66EE"/>
    <w:rsid w:val="009E6DE2"/>
    <w:rsid w:val="009F52D4"/>
    <w:rsid w:val="00A0020E"/>
    <w:rsid w:val="00A006BA"/>
    <w:rsid w:val="00A17FEB"/>
    <w:rsid w:val="00A24056"/>
    <w:rsid w:val="00A26321"/>
    <w:rsid w:val="00A3287F"/>
    <w:rsid w:val="00A37CE3"/>
    <w:rsid w:val="00A51FC5"/>
    <w:rsid w:val="00A5339D"/>
    <w:rsid w:val="00A5641C"/>
    <w:rsid w:val="00A57AD4"/>
    <w:rsid w:val="00A60FB7"/>
    <w:rsid w:val="00A64177"/>
    <w:rsid w:val="00A7172E"/>
    <w:rsid w:val="00A87D37"/>
    <w:rsid w:val="00A91196"/>
    <w:rsid w:val="00A93CB3"/>
    <w:rsid w:val="00AA41CD"/>
    <w:rsid w:val="00AA5232"/>
    <w:rsid w:val="00AA69A9"/>
    <w:rsid w:val="00AB53A4"/>
    <w:rsid w:val="00AB57A3"/>
    <w:rsid w:val="00AC7828"/>
    <w:rsid w:val="00AD48B1"/>
    <w:rsid w:val="00AE2F7E"/>
    <w:rsid w:val="00AE423E"/>
    <w:rsid w:val="00AE525E"/>
    <w:rsid w:val="00AE53A3"/>
    <w:rsid w:val="00AE6945"/>
    <w:rsid w:val="00B04DA0"/>
    <w:rsid w:val="00B067DD"/>
    <w:rsid w:val="00B06E28"/>
    <w:rsid w:val="00B13AA5"/>
    <w:rsid w:val="00B15CE8"/>
    <w:rsid w:val="00B2044B"/>
    <w:rsid w:val="00B23A4C"/>
    <w:rsid w:val="00B23AF1"/>
    <w:rsid w:val="00B31FBA"/>
    <w:rsid w:val="00B378D4"/>
    <w:rsid w:val="00B3793F"/>
    <w:rsid w:val="00B37D92"/>
    <w:rsid w:val="00B37FAE"/>
    <w:rsid w:val="00B418FD"/>
    <w:rsid w:val="00B4302C"/>
    <w:rsid w:val="00B47E3F"/>
    <w:rsid w:val="00B542FB"/>
    <w:rsid w:val="00B650BE"/>
    <w:rsid w:val="00B677E2"/>
    <w:rsid w:val="00B70743"/>
    <w:rsid w:val="00B714E8"/>
    <w:rsid w:val="00B83E3D"/>
    <w:rsid w:val="00B87FA3"/>
    <w:rsid w:val="00B90DB5"/>
    <w:rsid w:val="00BA0109"/>
    <w:rsid w:val="00BA7CA8"/>
    <w:rsid w:val="00BB25DE"/>
    <w:rsid w:val="00BC50C1"/>
    <w:rsid w:val="00BD1C20"/>
    <w:rsid w:val="00BD2649"/>
    <w:rsid w:val="00BE2018"/>
    <w:rsid w:val="00BE505F"/>
    <w:rsid w:val="00BF00A9"/>
    <w:rsid w:val="00BF426F"/>
    <w:rsid w:val="00C0126E"/>
    <w:rsid w:val="00C11326"/>
    <w:rsid w:val="00C11C1C"/>
    <w:rsid w:val="00C131B4"/>
    <w:rsid w:val="00C131D7"/>
    <w:rsid w:val="00C13ABA"/>
    <w:rsid w:val="00C4491F"/>
    <w:rsid w:val="00C46F80"/>
    <w:rsid w:val="00C61A31"/>
    <w:rsid w:val="00C66700"/>
    <w:rsid w:val="00C8024F"/>
    <w:rsid w:val="00C81123"/>
    <w:rsid w:val="00CA5F76"/>
    <w:rsid w:val="00CC39C8"/>
    <w:rsid w:val="00CF0C6C"/>
    <w:rsid w:val="00CF442B"/>
    <w:rsid w:val="00CF45CC"/>
    <w:rsid w:val="00D061E9"/>
    <w:rsid w:val="00D11EDB"/>
    <w:rsid w:val="00D1394A"/>
    <w:rsid w:val="00D16EF3"/>
    <w:rsid w:val="00D3154B"/>
    <w:rsid w:val="00D3244E"/>
    <w:rsid w:val="00D36F35"/>
    <w:rsid w:val="00D37294"/>
    <w:rsid w:val="00D3741F"/>
    <w:rsid w:val="00D422E5"/>
    <w:rsid w:val="00D56070"/>
    <w:rsid w:val="00D568E1"/>
    <w:rsid w:val="00D62923"/>
    <w:rsid w:val="00D6302E"/>
    <w:rsid w:val="00D67E9A"/>
    <w:rsid w:val="00D76659"/>
    <w:rsid w:val="00D86EFC"/>
    <w:rsid w:val="00DA50D6"/>
    <w:rsid w:val="00DB54A4"/>
    <w:rsid w:val="00DC127A"/>
    <w:rsid w:val="00DC356C"/>
    <w:rsid w:val="00DD2B7C"/>
    <w:rsid w:val="00DE22E2"/>
    <w:rsid w:val="00DE4553"/>
    <w:rsid w:val="00DE6C1F"/>
    <w:rsid w:val="00DF7606"/>
    <w:rsid w:val="00DF7C32"/>
    <w:rsid w:val="00E00B27"/>
    <w:rsid w:val="00E135B8"/>
    <w:rsid w:val="00E16637"/>
    <w:rsid w:val="00E370F4"/>
    <w:rsid w:val="00E43F82"/>
    <w:rsid w:val="00E4614A"/>
    <w:rsid w:val="00E530F4"/>
    <w:rsid w:val="00E669BD"/>
    <w:rsid w:val="00E7403A"/>
    <w:rsid w:val="00E7460D"/>
    <w:rsid w:val="00E74E72"/>
    <w:rsid w:val="00E81287"/>
    <w:rsid w:val="00E906B0"/>
    <w:rsid w:val="00EA2C94"/>
    <w:rsid w:val="00EA2CDC"/>
    <w:rsid w:val="00EB37EB"/>
    <w:rsid w:val="00EB74D2"/>
    <w:rsid w:val="00EC1B51"/>
    <w:rsid w:val="00EC2DBE"/>
    <w:rsid w:val="00ED1055"/>
    <w:rsid w:val="00ED1564"/>
    <w:rsid w:val="00ED2B70"/>
    <w:rsid w:val="00ED60EE"/>
    <w:rsid w:val="00F0162F"/>
    <w:rsid w:val="00F074CE"/>
    <w:rsid w:val="00F0776F"/>
    <w:rsid w:val="00F07E89"/>
    <w:rsid w:val="00F2048D"/>
    <w:rsid w:val="00F22823"/>
    <w:rsid w:val="00F2381C"/>
    <w:rsid w:val="00F24F33"/>
    <w:rsid w:val="00F33D07"/>
    <w:rsid w:val="00F50491"/>
    <w:rsid w:val="00F50994"/>
    <w:rsid w:val="00F6359A"/>
    <w:rsid w:val="00F74AD4"/>
    <w:rsid w:val="00F74DFC"/>
    <w:rsid w:val="00F93F71"/>
    <w:rsid w:val="00F96A18"/>
    <w:rsid w:val="00FB4DEF"/>
    <w:rsid w:val="00FC690D"/>
    <w:rsid w:val="00FC7640"/>
    <w:rsid w:val="00FD1E77"/>
    <w:rsid w:val="00FD4830"/>
    <w:rsid w:val="00FE2F22"/>
    <w:rsid w:val="00FE50B6"/>
    <w:rsid w:val="00FF0A0A"/>
    <w:rsid w:val="00FF3729"/>
    <w:rsid w:val="00FF390D"/>
    <w:rsid w:val="00FF3A75"/>
    <w:rsid w:val="00FF3B72"/>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2021-06-21T08:06:00Z</dcterms:created>
  <dcterms:modified xsi:type="dcterms:W3CDTF">2021-07-08T01:56:00Z</dcterms:modified>
</cp:coreProperties>
</file>