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C57F4" w14:textId="6F711DA3" w:rsidR="00C72C2D" w:rsidRPr="00432212" w:rsidRDefault="00995710" w:rsidP="00E95C64">
      <w:pPr>
        <w:pStyle w:val="Heading1"/>
        <w:rPr>
          <w:noProof/>
        </w:rPr>
      </w:pPr>
      <w:r>
        <w:rPr>
          <w:noProof/>
        </w:rPr>
        <w:t xml:space="preserve">New MBS item for </w:t>
      </w:r>
      <w:r w:rsidR="00505FB0">
        <w:rPr>
          <w:noProof/>
        </w:rPr>
        <w:t xml:space="preserve">Transcatheter </w:t>
      </w:r>
      <w:r w:rsidR="009A78A9">
        <w:rPr>
          <w:noProof/>
        </w:rPr>
        <w:t>Aortic</w:t>
      </w:r>
      <w:r w:rsidR="00505FB0">
        <w:rPr>
          <w:noProof/>
        </w:rPr>
        <w:t xml:space="preserve"> V</w:t>
      </w:r>
      <w:r w:rsidR="00D8668D">
        <w:rPr>
          <w:noProof/>
        </w:rPr>
        <w:t xml:space="preserve">alve </w:t>
      </w:r>
      <w:r w:rsidR="00B33245">
        <w:rPr>
          <w:noProof/>
        </w:rPr>
        <w:t>Implantation</w:t>
      </w:r>
      <w:r w:rsidR="00701E4D">
        <w:rPr>
          <w:noProof/>
        </w:rPr>
        <w:t xml:space="preserve"> </w:t>
      </w:r>
      <w:r w:rsidR="00D8668D">
        <w:rPr>
          <w:noProof/>
        </w:rPr>
        <w:t>(</w:t>
      </w:r>
      <w:r w:rsidR="009A78A9">
        <w:rPr>
          <w:noProof/>
        </w:rPr>
        <w:t>TAVI</w:t>
      </w:r>
      <w:r w:rsidR="002A5BA0">
        <w:rPr>
          <w:noProof/>
        </w:rPr>
        <w:t>)</w:t>
      </w:r>
      <w:r w:rsidR="000204AF">
        <w:rPr>
          <w:noProof/>
        </w:rPr>
        <w:t xml:space="preserve"> – </w:t>
      </w:r>
      <w:r w:rsidR="002A5BA0">
        <w:rPr>
          <w:noProof/>
        </w:rPr>
        <w:t>l</w:t>
      </w:r>
      <w:r w:rsidR="000204AF">
        <w:rPr>
          <w:noProof/>
        </w:rPr>
        <w:t xml:space="preserve">ow </w:t>
      </w:r>
      <w:r w:rsidR="002A5BA0">
        <w:rPr>
          <w:noProof/>
        </w:rPr>
        <w:t>surgical r</w:t>
      </w:r>
      <w:r w:rsidR="000204AF">
        <w:rPr>
          <w:noProof/>
        </w:rPr>
        <w:t>isk</w:t>
      </w:r>
    </w:p>
    <w:p w14:paraId="05871062" w14:textId="55572E98" w:rsidR="009C575A" w:rsidRPr="00424954" w:rsidRDefault="0003040F" w:rsidP="007431EE">
      <w:pPr>
        <w:pStyle w:val="Heading2"/>
      </w:pPr>
      <w:r w:rsidRPr="00DE6AED">
        <w:t>Date of change</w:t>
      </w:r>
      <w:r w:rsidR="00774C9D" w:rsidRPr="00DE6AED">
        <w:t>:</w:t>
      </w:r>
      <w:r w:rsidRPr="00DE6AED">
        <w:tab/>
      </w:r>
      <w:r w:rsidR="004967DB" w:rsidRPr="00744BB7">
        <w:t>1</w:t>
      </w:r>
      <w:r w:rsidRPr="00744BB7">
        <w:t xml:space="preserve"> </w:t>
      </w:r>
      <w:r w:rsidR="00D80477">
        <w:t>July</w:t>
      </w:r>
      <w:r w:rsidR="00D80477" w:rsidRPr="00744BB7">
        <w:t xml:space="preserve"> </w:t>
      </w:r>
      <w:r w:rsidRPr="00744BB7">
        <w:t>20</w:t>
      </w:r>
      <w:r w:rsidR="004967DB" w:rsidRPr="00744BB7">
        <w:t>2</w:t>
      </w:r>
      <w:r w:rsidR="009A78A9" w:rsidRPr="00744BB7">
        <w:t>2</w:t>
      </w:r>
    </w:p>
    <w:p w14:paraId="298C2392" w14:textId="3B7FAA3B" w:rsidR="0033632B" w:rsidRDefault="0087194A" w:rsidP="007431EE">
      <w:pPr>
        <w:pStyle w:val="Heading2"/>
        <w:rPr>
          <w:rStyle w:val="NEWItemNumber"/>
        </w:rPr>
      </w:pPr>
      <w:bookmarkStart w:id="0" w:name="_Hlk10794542"/>
      <w:r>
        <w:t>New item:</w:t>
      </w:r>
      <w:r w:rsidR="00D80477">
        <w:t xml:space="preserve"> </w:t>
      </w:r>
      <w:r w:rsidR="00E56953" w:rsidRPr="00EF3E15">
        <w:rPr>
          <w:rStyle w:val="NEWItemNumber"/>
          <w:b/>
          <w:bCs/>
        </w:rPr>
        <w:t>38522</w:t>
      </w:r>
    </w:p>
    <w:p w14:paraId="2BB26F87" w14:textId="03F60D92" w:rsidR="00F662B1" w:rsidRPr="00EF3E15" w:rsidRDefault="00F662B1" w:rsidP="00EF3E15">
      <w:r w:rsidRPr="00967A39">
        <w:rPr>
          <w:rFonts w:asciiTheme="majorHAnsi" w:hAnsiTheme="majorHAnsi" w:cstheme="majorHAnsi"/>
          <w:b/>
          <w:noProof/>
          <w:color w:val="002060"/>
          <w:sz w:val="28"/>
        </w:rPr>
        <w:t>Amended item</w:t>
      </w:r>
      <w:r>
        <w:rPr>
          <w:rFonts w:asciiTheme="majorHAnsi" w:hAnsiTheme="majorHAnsi" w:cstheme="majorHAnsi"/>
          <w:b/>
          <w:noProof/>
          <w:color w:val="002060"/>
          <w:sz w:val="28"/>
        </w:rPr>
        <w:t>s</w:t>
      </w:r>
      <w:r w:rsidRPr="00967A39">
        <w:rPr>
          <w:rFonts w:asciiTheme="majorHAnsi" w:hAnsiTheme="majorHAnsi" w:cstheme="majorHAnsi"/>
          <w:b/>
          <w:noProof/>
          <w:color w:val="002060"/>
          <w:sz w:val="28"/>
        </w:rPr>
        <w:t>:</w:t>
      </w:r>
      <w:r w:rsidRPr="00967A39">
        <w:rPr>
          <w:sz w:val="28"/>
          <w:szCs w:val="28"/>
        </w:rPr>
        <w:t xml:space="preserve"> </w:t>
      </w:r>
      <w:bookmarkStart w:id="1" w:name="_Hlk102037657"/>
      <w:r w:rsidRPr="00967A39">
        <w:rPr>
          <w:rStyle w:val="AmendedItemNumber"/>
          <w:sz w:val="28"/>
          <w:szCs w:val="28"/>
        </w:rPr>
        <w:t xml:space="preserve"> </w:t>
      </w:r>
      <w:bookmarkEnd w:id="1"/>
      <w:r w:rsidRPr="00967A39">
        <w:rPr>
          <w:rStyle w:val="AmendedItemNumber"/>
          <w:sz w:val="28"/>
          <w:szCs w:val="28"/>
        </w:rPr>
        <w:t>38495</w:t>
      </w:r>
      <w:r w:rsidRPr="00820EBE">
        <w:rPr>
          <w:rStyle w:val="AmendedItemNumber"/>
        </w:rPr>
        <w:t> </w:t>
      </w:r>
      <w:r w:rsidRPr="00967A39">
        <w:rPr>
          <w:sz w:val="28"/>
          <w:szCs w:val="28"/>
        </w:rPr>
        <w:t xml:space="preserve"> </w:t>
      </w:r>
      <w:r w:rsidRPr="00967A39">
        <w:rPr>
          <w:rStyle w:val="AmendedItemNumber"/>
          <w:sz w:val="28"/>
          <w:szCs w:val="28"/>
        </w:rPr>
        <w:t xml:space="preserve"> 38</w:t>
      </w:r>
      <w:r>
        <w:rPr>
          <w:rStyle w:val="AmendedItemNumber"/>
          <w:sz w:val="28"/>
          <w:szCs w:val="28"/>
        </w:rPr>
        <w:t>514</w:t>
      </w:r>
      <w:r w:rsidRPr="00820EBE">
        <w:rPr>
          <w:rStyle w:val="AmendedItemNumber"/>
        </w:rPr>
        <w:t> </w:t>
      </w:r>
    </w:p>
    <w:bookmarkEnd w:id="0"/>
    <w:p w14:paraId="003D52B6" w14:textId="77777777" w:rsidR="00464E24" w:rsidRPr="00432212" w:rsidRDefault="004F3785" w:rsidP="008B049A">
      <w:pPr>
        <w:spacing w:after="0" w:line="240" w:lineRule="auto"/>
        <w:rPr>
          <w:noProof/>
        </w:rPr>
      </w:pPr>
      <w:r>
        <w:rPr>
          <w:rStyle w:val="BookTitle"/>
          <w:noProof/>
        </w:rPr>
        <w:pict w14:anchorId="339C77EB">
          <v:rect id="_x0000_i1025" style="width:0;height:1.5pt" o:hralign="center" o:hrstd="t" o:hr="t" fillcolor="#a0a0a0" stroked="f"/>
        </w:pict>
      </w:r>
    </w:p>
    <w:p w14:paraId="4B9ACC36" w14:textId="77777777" w:rsidR="00F333A7" w:rsidRPr="00520161" w:rsidRDefault="00995710" w:rsidP="007431EE">
      <w:pPr>
        <w:pStyle w:val="Heading2"/>
      </w:pPr>
      <w:r>
        <w:t>What are the changes?</w:t>
      </w:r>
    </w:p>
    <w:p w14:paraId="0C990106" w14:textId="13C20A92" w:rsidR="00D8668D" w:rsidRDefault="009A78A9">
      <w:pPr>
        <w:pStyle w:val="RecommendationsBullets"/>
      </w:pPr>
      <w:r>
        <w:t>One</w:t>
      </w:r>
      <w:r w:rsidR="00D8668D" w:rsidRPr="00772813">
        <w:t xml:space="preserve"> new </w:t>
      </w:r>
      <w:r w:rsidR="00DE6AED">
        <w:t>Medicare Benefits Schedule (</w:t>
      </w:r>
      <w:r w:rsidR="00D8668D" w:rsidRPr="00772813">
        <w:t>MBS</w:t>
      </w:r>
      <w:r w:rsidR="00DE6AED">
        <w:t>)</w:t>
      </w:r>
      <w:r w:rsidR="00D8668D" w:rsidRPr="00772813">
        <w:t xml:space="preserve"> item </w:t>
      </w:r>
      <w:r w:rsidR="00DE6AED">
        <w:t>(385</w:t>
      </w:r>
      <w:r w:rsidR="007733B5">
        <w:t>22</w:t>
      </w:r>
      <w:r w:rsidR="00DE6AED">
        <w:t xml:space="preserve">) </w:t>
      </w:r>
      <w:r w:rsidR="00D8668D" w:rsidRPr="00772813">
        <w:t xml:space="preserve">will be introduced </w:t>
      </w:r>
      <w:r w:rsidR="00DE6AED">
        <w:t xml:space="preserve">on </w:t>
      </w:r>
      <w:r w:rsidR="00D8668D" w:rsidRPr="00772813">
        <w:t xml:space="preserve">1 </w:t>
      </w:r>
      <w:r w:rsidR="00D80477">
        <w:t xml:space="preserve">July </w:t>
      </w:r>
      <w:r>
        <w:t>2022</w:t>
      </w:r>
      <w:r w:rsidR="00D8668D" w:rsidRPr="00772813">
        <w:t xml:space="preserve"> for </w:t>
      </w:r>
      <w:r w:rsidR="00DE6AED">
        <w:t>TAVI</w:t>
      </w:r>
      <w:r>
        <w:t xml:space="preserve"> for patients with symptomatic severe </w:t>
      </w:r>
      <w:r w:rsidR="00C954BA">
        <w:t xml:space="preserve">native calcific </w:t>
      </w:r>
      <w:r>
        <w:t xml:space="preserve">aortic stenosis at </w:t>
      </w:r>
      <w:r w:rsidR="00031767">
        <w:t>low</w:t>
      </w:r>
      <w:r>
        <w:t xml:space="preserve"> risk for open surgical aortic </w:t>
      </w:r>
      <w:r w:rsidR="00434A64">
        <w:t>replacement</w:t>
      </w:r>
      <w:r w:rsidR="001C24A1">
        <w:t xml:space="preserve"> (SAVR)</w:t>
      </w:r>
      <w:r>
        <w:t>, device agnostic</w:t>
      </w:r>
      <w:r w:rsidR="00D8668D" w:rsidRPr="00772813">
        <w:t xml:space="preserve">. </w:t>
      </w:r>
    </w:p>
    <w:p w14:paraId="161C310C" w14:textId="4FBC12FE" w:rsidR="000204AF" w:rsidRDefault="000204AF">
      <w:pPr>
        <w:pStyle w:val="RecommendationsBullets"/>
      </w:pPr>
      <w:r w:rsidRPr="00EF3E15">
        <w:rPr>
          <w:b/>
          <w:bCs/>
          <w:u w:val="single"/>
        </w:rPr>
        <w:t>Please note</w:t>
      </w:r>
      <w:r>
        <w:t xml:space="preserve">: this new low risk service is for symptomatic severe </w:t>
      </w:r>
      <w:r w:rsidRPr="00EF3E15">
        <w:rPr>
          <w:b/>
          <w:bCs/>
        </w:rPr>
        <w:t>native calcific</w:t>
      </w:r>
      <w:r>
        <w:t xml:space="preserve"> aortic stenosis</w:t>
      </w:r>
      <w:r w:rsidR="00D1266F">
        <w:t>.</w:t>
      </w:r>
    </w:p>
    <w:p w14:paraId="7D3168F2" w14:textId="1954CB56" w:rsidR="00F662B1" w:rsidRDefault="00F662B1">
      <w:pPr>
        <w:pStyle w:val="RecommendationsBullets"/>
      </w:pPr>
      <w:r>
        <w:t xml:space="preserve">Two MBS items (38495 and 38514) will be amended </w:t>
      </w:r>
      <w:r w:rsidRPr="00772813">
        <w:t xml:space="preserve">for </w:t>
      </w:r>
      <w:r>
        <w:t xml:space="preserve">TAVI for patients with symptomatic severe aortic stenosis at high or intermediate risk for open </w:t>
      </w:r>
      <w:r w:rsidR="00043100">
        <w:t>SAVR</w:t>
      </w:r>
      <w:r>
        <w:t>, device agnostic.</w:t>
      </w:r>
    </w:p>
    <w:p w14:paraId="64C8F707" w14:textId="1891A6C4" w:rsidR="004B2F0C" w:rsidRPr="00944B72" w:rsidRDefault="00D64536">
      <w:pPr>
        <w:pStyle w:val="RecommendationsBullets"/>
      </w:pPr>
      <w:r w:rsidRPr="00944B72">
        <w:t>Item 38495 (high risk)</w:t>
      </w:r>
      <w:r w:rsidR="00D80477" w:rsidRPr="00944B72">
        <w:t xml:space="preserve">, </w:t>
      </w:r>
      <w:r w:rsidR="00DE6AED" w:rsidRPr="00944B72">
        <w:t>i</w:t>
      </w:r>
      <w:r w:rsidRPr="00944B72">
        <w:t>tem 38514 (intermediate risk)</w:t>
      </w:r>
      <w:r w:rsidR="0087194A" w:rsidRPr="00944B72">
        <w:t xml:space="preserve"> </w:t>
      </w:r>
      <w:r w:rsidR="00D80477" w:rsidRPr="00944B72">
        <w:t xml:space="preserve">and new item 38522 (low risk) </w:t>
      </w:r>
      <w:r w:rsidR="004B2F0C" w:rsidRPr="00944B72">
        <w:t>will provide for t</w:t>
      </w:r>
      <w:r w:rsidR="0087194A" w:rsidRPr="00944B72">
        <w:t>he separate populations who qualify for these</w:t>
      </w:r>
      <w:r w:rsidR="004B2F0C" w:rsidRPr="00944B72">
        <w:t xml:space="preserve"> service</w:t>
      </w:r>
      <w:r w:rsidR="0087194A" w:rsidRPr="00944B72">
        <w:t>s</w:t>
      </w:r>
      <w:r w:rsidR="00DE6AED" w:rsidRPr="00944B72">
        <w:t>.</w:t>
      </w:r>
      <w:r w:rsidR="004B2F0C" w:rsidRPr="00944B72">
        <w:t xml:space="preserve"> </w:t>
      </w:r>
      <w:r w:rsidR="00DE6AED" w:rsidRPr="00944B72">
        <w:t>T</w:t>
      </w:r>
      <w:r w:rsidR="004B2F0C" w:rsidRPr="00944B72">
        <w:t xml:space="preserve">here will </w:t>
      </w:r>
      <w:r w:rsidRPr="00944B72">
        <w:t xml:space="preserve">continue to </w:t>
      </w:r>
      <w:r w:rsidR="004B2F0C" w:rsidRPr="00944B72">
        <w:t>be two at</w:t>
      </w:r>
      <w:r w:rsidR="0087194A" w:rsidRPr="00944B72">
        <w:t>t</w:t>
      </w:r>
      <w:r w:rsidR="004B2F0C" w:rsidRPr="00944B72">
        <w:t xml:space="preserve">endance items </w:t>
      </w:r>
      <w:r w:rsidR="00416183" w:rsidRPr="00944B72">
        <w:t>includ</w:t>
      </w:r>
      <w:r w:rsidR="0087194A" w:rsidRPr="00944B72">
        <w:t>ing item 608</w:t>
      </w:r>
      <w:r w:rsidRPr="00944B72">
        <w:t>0</w:t>
      </w:r>
      <w:r w:rsidR="0087194A" w:rsidRPr="00944B72">
        <w:t xml:space="preserve"> (for the coordination of a T</w:t>
      </w:r>
      <w:r w:rsidRPr="00944B72">
        <w:t>AVI</w:t>
      </w:r>
      <w:r w:rsidR="0087194A" w:rsidRPr="00944B72">
        <w:t xml:space="preserve"> suitability case conference) and item 608</w:t>
      </w:r>
      <w:r w:rsidRPr="00944B72">
        <w:t>1</w:t>
      </w:r>
      <w:r w:rsidR="0087194A" w:rsidRPr="00944B72">
        <w:t xml:space="preserve"> (for a participant in the suitab</w:t>
      </w:r>
      <w:r w:rsidR="001C24A1">
        <w:t>ility</w:t>
      </w:r>
      <w:r w:rsidR="0087194A" w:rsidRPr="00944B72">
        <w:t xml:space="preserve"> case conference)</w:t>
      </w:r>
      <w:r w:rsidRPr="00944B72">
        <w:t xml:space="preserve"> to detemine patient suitability</w:t>
      </w:r>
      <w:r w:rsidR="00C954BA">
        <w:t xml:space="preserve"> for each risk category</w:t>
      </w:r>
      <w:r w:rsidR="0087194A" w:rsidRPr="00944B72">
        <w:t>.</w:t>
      </w:r>
    </w:p>
    <w:p w14:paraId="0CB9BC0F" w14:textId="20EC67CF" w:rsidR="008D1A11" w:rsidRPr="00944B72" w:rsidRDefault="0087194A">
      <w:pPr>
        <w:pStyle w:val="RecommendationsBullets"/>
      </w:pPr>
      <w:r w:rsidRPr="00944B72">
        <w:t xml:space="preserve">This change is relevant to interventional cardiologists and cardiothoracic surgeons with relevant training in </w:t>
      </w:r>
      <w:r w:rsidR="00D64536" w:rsidRPr="00944B72">
        <w:t>TAVI implant insertion</w:t>
      </w:r>
      <w:r w:rsidR="00505FB0" w:rsidRPr="00944B72">
        <w:t xml:space="preserve">. </w:t>
      </w:r>
      <w:r w:rsidR="00DA69C6" w:rsidRPr="00944B72">
        <w:t>Providers of the proce</w:t>
      </w:r>
      <w:r w:rsidR="003A00C6" w:rsidRPr="00944B72">
        <w:t>dure</w:t>
      </w:r>
      <w:r w:rsidR="00D64536" w:rsidRPr="00944B72">
        <w:t>s</w:t>
      </w:r>
      <w:r w:rsidR="003A00C6" w:rsidRPr="00944B72">
        <w:t xml:space="preserve"> associated with items </w:t>
      </w:r>
      <w:r w:rsidR="00D64536" w:rsidRPr="00944B72">
        <w:t>38495</w:t>
      </w:r>
      <w:r w:rsidR="00D22D48" w:rsidRPr="00944B72">
        <w:t>,</w:t>
      </w:r>
      <w:r w:rsidR="003A00C6" w:rsidRPr="00944B72">
        <w:t xml:space="preserve"> 3</w:t>
      </w:r>
      <w:r w:rsidR="00D64536" w:rsidRPr="00944B72">
        <w:t>8514</w:t>
      </w:r>
      <w:r w:rsidR="00D22D48" w:rsidRPr="00944B72">
        <w:t xml:space="preserve"> and 38522</w:t>
      </w:r>
      <w:r w:rsidR="00DA69C6" w:rsidRPr="00944B72">
        <w:t xml:space="preserve"> must also </w:t>
      </w:r>
      <w:r w:rsidR="00505FB0" w:rsidRPr="00944B72">
        <w:t xml:space="preserve">be accredited with the </w:t>
      </w:r>
      <w:r w:rsidR="00791767" w:rsidRPr="00944B72">
        <w:t>T</w:t>
      </w:r>
      <w:r w:rsidR="00D64536" w:rsidRPr="00944B72">
        <w:t>AVI</w:t>
      </w:r>
      <w:r w:rsidR="00791767" w:rsidRPr="00944B72">
        <w:t xml:space="preserve"> Accreditation C</w:t>
      </w:r>
      <w:r w:rsidR="00DA69C6" w:rsidRPr="00944B72">
        <w:t>ommittee</w:t>
      </w:r>
      <w:r w:rsidR="00791767" w:rsidRPr="00944B72">
        <w:t>.</w:t>
      </w:r>
    </w:p>
    <w:p w14:paraId="01677743" w14:textId="7DA9CA65" w:rsidR="007C532F" w:rsidRPr="00944B72" w:rsidRDefault="00F95ADE">
      <w:pPr>
        <w:pStyle w:val="RecommendationsBullets"/>
      </w:pPr>
      <w:bookmarkStart w:id="2" w:name="_Hlk535386664"/>
      <w:r w:rsidRPr="00944B72">
        <w:t xml:space="preserve">The </w:t>
      </w:r>
      <w:r w:rsidR="00D64536" w:rsidRPr="00944B72">
        <w:t xml:space="preserve">final recommendation </w:t>
      </w:r>
      <w:r w:rsidR="008E02D8" w:rsidRPr="00944B72">
        <w:t>to list</w:t>
      </w:r>
      <w:r w:rsidR="00015ACB" w:rsidRPr="00944B72">
        <w:t xml:space="preserve"> </w:t>
      </w:r>
      <w:r w:rsidRPr="00944B72">
        <w:t xml:space="preserve">this service by the Medical Services Advisory Committee (MSAC) </w:t>
      </w:r>
      <w:r w:rsidR="008E02D8" w:rsidRPr="00944B72">
        <w:t>occurred</w:t>
      </w:r>
      <w:r w:rsidRPr="00944B72">
        <w:t xml:space="preserve"> </w:t>
      </w:r>
      <w:r w:rsidR="00DE6AED" w:rsidRPr="00944B72">
        <w:t xml:space="preserve">in </w:t>
      </w:r>
      <w:r w:rsidR="00D80477" w:rsidRPr="00944B72">
        <w:t>July </w:t>
      </w:r>
      <w:r w:rsidRPr="00944B72">
        <w:t>202</w:t>
      </w:r>
      <w:r w:rsidR="008E02D8" w:rsidRPr="00944B72">
        <w:t>1</w:t>
      </w:r>
      <w:r w:rsidR="00DC5C94" w:rsidRPr="00DC5C94">
        <w:t xml:space="preserve"> and </w:t>
      </w:r>
      <w:r w:rsidR="00DC5C94">
        <w:t xml:space="preserve">was </w:t>
      </w:r>
      <w:r w:rsidR="00DC5C94" w:rsidRPr="00DC5C94">
        <w:t>approved by Government for funding on the MBS in the 2022-23 Budget</w:t>
      </w:r>
      <w:r w:rsidRPr="00944B72">
        <w:t xml:space="preserve">. Further details about MSAC applications can be found under </w:t>
      </w:r>
      <w:hyperlink r:id="rId7" w:history="1">
        <w:r w:rsidRPr="00944B72">
          <w:rPr>
            <w:rStyle w:val="Hyperlink"/>
          </w:rPr>
          <w:t>MSAC Applications</w:t>
        </w:r>
      </w:hyperlink>
      <w:r w:rsidRPr="00944B72">
        <w:t xml:space="preserve"> on the MSAC website (</w:t>
      </w:r>
      <w:hyperlink r:id="rId8" w:history="1">
        <w:r w:rsidRPr="00944B72">
          <w:rPr>
            <w:rStyle w:val="Hyperlink"/>
          </w:rPr>
          <w:t>www.msac.gov.au</w:t>
        </w:r>
      </w:hyperlink>
      <w:r w:rsidRPr="00944B72">
        <w:t>).</w:t>
      </w:r>
      <w:bookmarkEnd w:id="2"/>
    </w:p>
    <w:p w14:paraId="4DC77AB3" w14:textId="77777777" w:rsidR="00F333A7" w:rsidRPr="00944B72" w:rsidRDefault="00763E5B" w:rsidP="007431EE">
      <w:pPr>
        <w:pStyle w:val="Heading2"/>
      </w:pPr>
      <w:r w:rsidRPr="00944B72">
        <w:t xml:space="preserve">Patient </w:t>
      </w:r>
      <w:r w:rsidR="00884022" w:rsidRPr="00944B72">
        <w:t>impacts</w:t>
      </w:r>
      <w:r w:rsidRPr="00944B72">
        <w:t xml:space="preserve"> </w:t>
      </w:r>
    </w:p>
    <w:p w14:paraId="78BAFD11" w14:textId="1FBE3680" w:rsidR="00F95ADE" w:rsidRPr="00944B72" w:rsidRDefault="00701E4D">
      <w:pPr>
        <w:pStyle w:val="RecommendationsBullets"/>
      </w:pPr>
      <w:r w:rsidRPr="00944B72">
        <w:t>These changes reflect modern clinical practice and will enable p</w:t>
      </w:r>
      <w:r w:rsidR="00F95ADE" w:rsidRPr="00944B72">
        <w:t xml:space="preserve">atients </w:t>
      </w:r>
      <w:r w:rsidRPr="00944B72">
        <w:t xml:space="preserve">to </w:t>
      </w:r>
      <w:r w:rsidR="00F95ADE" w:rsidRPr="00944B72">
        <w:t xml:space="preserve">receive </w:t>
      </w:r>
      <w:r w:rsidR="008E02D8" w:rsidRPr="00944B72">
        <w:t xml:space="preserve">a </w:t>
      </w:r>
      <w:r w:rsidR="00F95ADE" w:rsidRPr="00944B72">
        <w:t>Medicare rebate for</w:t>
      </w:r>
      <w:r w:rsidR="008E02D8" w:rsidRPr="00944B72">
        <w:t xml:space="preserve"> the new </w:t>
      </w:r>
      <w:r w:rsidR="00031767" w:rsidRPr="00944B72">
        <w:t>low risk service (</w:t>
      </w:r>
      <w:r w:rsidR="007733B5" w:rsidRPr="00944B72">
        <w:t>38522</w:t>
      </w:r>
      <w:r w:rsidR="00031767" w:rsidRPr="00944B72">
        <w:t>)</w:t>
      </w:r>
      <w:r w:rsidR="008E02D8" w:rsidRPr="00944B72">
        <w:t xml:space="preserve"> when</w:t>
      </w:r>
      <w:r w:rsidR="00F95ADE" w:rsidRPr="00944B72">
        <w:t xml:space="preserve"> clinically appropriate. </w:t>
      </w:r>
    </w:p>
    <w:p w14:paraId="388B5F6D" w14:textId="02ABD210" w:rsidR="00F95ADE" w:rsidRPr="00944B72" w:rsidRDefault="00701E4D" w:rsidP="00031767">
      <w:pPr>
        <w:pStyle w:val="RecommendationsBullets"/>
        <w:spacing w:before="240"/>
      </w:pPr>
      <w:r w:rsidRPr="00944B72">
        <w:t>This</w:t>
      </w:r>
      <w:r w:rsidR="008E02D8" w:rsidRPr="00944B72">
        <w:t xml:space="preserve"> </w:t>
      </w:r>
      <w:r w:rsidR="00F95ADE" w:rsidRPr="00944B72">
        <w:t xml:space="preserve">new procedural item will </w:t>
      </w:r>
      <w:r w:rsidRPr="00944B72">
        <w:t xml:space="preserve">assist patients who experience the debilitating effects of aortic stenosis by </w:t>
      </w:r>
      <w:r w:rsidR="00F95ADE" w:rsidRPr="00944B72">
        <w:t>provid</w:t>
      </w:r>
      <w:r w:rsidRPr="00944B72">
        <w:t>ing</w:t>
      </w:r>
      <w:r w:rsidR="00F95ADE" w:rsidRPr="00944B72">
        <w:t xml:space="preserve"> a </w:t>
      </w:r>
      <w:r w:rsidR="00015ACB" w:rsidRPr="00944B72">
        <w:t xml:space="preserve">less invasive, </w:t>
      </w:r>
      <w:r w:rsidR="00F95ADE" w:rsidRPr="00944B72">
        <w:t xml:space="preserve">surgical treatment option for </w:t>
      </w:r>
      <w:r w:rsidRPr="00944B72">
        <w:t xml:space="preserve">those </w:t>
      </w:r>
      <w:r w:rsidR="00F95ADE" w:rsidRPr="00944B72">
        <w:t xml:space="preserve">who are </w:t>
      </w:r>
      <w:r w:rsidR="00031767" w:rsidRPr="00944B72">
        <w:t>at low</w:t>
      </w:r>
      <w:r w:rsidR="00F95ADE" w:rsidRPr="00944B72">
        <w:t xml:space="preserve"> risk for open surgery</w:t>
      </w:r>
      <w:r w:rsidRPr="00944B72">
        <w:t>.</w:t>
      </w:r>
      <w:r w:rsidR="00DA69C6" w:rsidRPr="00944B72">
        <w:t xml:space="preserve"> </w:t>
      </w:r>
      <w:r w:rsidR="00F95ADE" w:rsidRPr="00944B72">
        <w:t xml:space="preserve">Currently, when open </w:t>
      </w:r>
      <w:r w:rsidR="00043100">
        <w:t>SAVR</w:t>
      </w:r>
      <w:r w:rsidR="00F95ADE" w:rsidRPr="00944B72">
        <w:t xml:space="preserve"> is considered too high risk or is contraindicated</w:t>
      </w:r>
      <w:r w:rsidR="00C0661D" w:rsidRPr="00944B72">
        <w:t xml:space="preserve"> for high risk patients</w:t>
      </w:r>
      <w:r w:rsidRPr="00944B72">
        <w:t>,</w:t>
      </w:r>
      <w:r w:rsidR="00C0661D" w:rsidRPr="00944B72">
        <w:t xml:space="preserve"> they have the option to undergo </w:t>
      </w:r>
      <w:r w:rsidRPr="00944B72">
        <w:t xml:space="preserve">a </w:t>
      </w:r>
      <w:r w:rsidR="00C0661D" w:rsidRPr="00944B72">
        <w:t>TAVI</w:t>
      </w:r>
      <w:r w:rsidRPr="00944B72">
        <w:t xml:space="preserve"> procedure</w:t>
      </w:r>
      <w:r w:rsidR="00C0661D" w:rsidRPr="00944B72">
        <w:t xml:space="preserve">. High risk patients </w:t>
      </w:r>
      <w:r w:rsidR="00015ACB" w:rsidRPr="00944B72">
        <w:t>(38495</w:t>
      </w:r>
      <w:r w:rsidR="00031767" w:rsidRPr="00944B72">
        <w:t>) and intermediate risk patients (38514)</w:t>
      </w:r>
      <w:r w:rsidR="00015ACB" w:rsidRPr="00944B72">
        <w:t xml:space="preserve"> </w:t>
      </w:r>
      <w:r w:rsidR="00C0661D" w:rsidRPr="00944B72">
        <w:t>will continue to have access to TAVI</w:t>
      </w:r>
      <w:r w:rsidRPr="00944B72">
        <w:t xml:space="preserve"> procedure</w:t>
      </w:r>
      <w:r w:rsidR="00D641BC" w:rsidRPr="00944B72">
        <w:t>s</w:t>
      </w:r>
      <w:r w:rsidR="00C0661D" w:rsidRPr="00944B72">
        <w:t xml:space="preserve">, </w:t>
      </w:r>
      <w:r w:rsidR="00C0661D" w:rsidRPr="00944B72">
        <w:lastRenderedPageBreak/>
        <w:t xml:space="preserve">however with this change </w:t>
      </w:r>
      <w:r w:rsidR="00031767" w:rsidRPr="00944B72">
        <w:t xml:space="preserve">low </w:t>
      </w:r>
      <w:r w:rsidR="00C0661D" w:rsidRPr="00944B72">
        <w:t xml:space="preserve">surgical risk patients will </w:t>
      </w:r>
      <w:r w:rsidR="00D641BC" w:rsidRPr="00944B72">
        <w:t xml:space="preserve">also </w:t>
      </w:r>
      <w:r w:rsidR="00C0661D" w:rsidRPr="00944B72">
        <w:t xml:space="preserve">gain access to this well established treatment option as an alternative to open </w:t>
      </w:r>
      <w:r w:rsidR="00043100">
        <w:t>SAVR</w:t>
      </w:r>
      <w:r w:rsidR="00C0661D" w:rsidRPr="00944B72">
        <w:t>.</w:t>
      </w:r>
    </w:p>
    <w:p w14:paraId="5C55424A" w14:textId="14A674AD" w:rsidR="00BF222B" w:rsidRPr="00944B72" w:rsidRDefault="00DA69C6">
      <w:pPr>
        <w:pStyle w:val="RecommendationsBullets"/>
      </w:pPr>
      <w:r w:rsidRPr="00944B72">
        <w:t xml:space="preserve">It is expected that patient access to the </w:t>
      </w:r>
      <w:r w:rsidR="00C0661D" w:rsidRPr="00944B72">
        <w:t>new TAVI</w:t>
      </w:r>
      <w:r w:rsidRPr="00944B72">
        <w:t xml:space="preserve"> </w:t>
      </w:r>
      <w:r w:rsidR="00D80477" w:rsidRPr="00944B72">
        <w:t xml:space="preserve">low </w:t>
      </w:r>
      <w:r w:rsidR="00C0661D" w:rsidRPr="00944B72">
        <w:t>risk population</w:t>
      </w:r>
      <w:r w:rsidR="00963FFE" w:rsidRPr="00944B72">
        <w:t xml:space="preserve"> service</w:t>
      </w:r>
      <w:r w:rsidR="00C0661D" w:rsidRPr="00944B72">
        <w:t xml:space="preserve"> will complement the already establis</w:t>
      </w:r>
      <w:r w:rsidR="00D80477" w:rsidRPr="00944B72">
        <w:t>h</w:t>
      </w:r>
      <w:r w:rsidR="00C0661D" w:rsidRPr="00944B72">
        <w:t xml:space="preserve">ed high </w:t>
      </w:r>
      <w:r w:rsidR="007A2675" w:rsidRPr="00944B72">
        <w:t>and intermediate</w:t>
      </w:r>
      <w:r w:rsidR="000872B3" w:rsidRPr="00944B72">
        <w:t xml:space="preserve"> risk</w:t>
      </w:r>
      <w:r w:rsidR="00C0661D" w:rsidRPr="00944B72">
        <w:t xml:space="preserve"> population MBS service</w:t>
      </w:r>
      <w:r w:rsidR="00D80477" w:rsidRPr="00944B72">
        <w:t>s</w:t>
      </w:r>
      <w:r w:rsidR="00B05D3D" w:rsidRPr="00944B72">
        <w:t>,</w:t>
      </w:r>
      <w:r w:rsidR="00C0661D" w:rsidRPr="00944B72">
        <w:t xml:space="preserve"> </w:t>
      </w:r>
      <w:r w:rsidRPr="00944B72">
        <w:t>help</w:t>
      </w:r>
      <w:r w:rsidR="00B05D3D" w:rsidRPr="00944B72">
        <w:t>ing</w:t>
      </w:r>
      <w:r w:rsidRPr="00944B72">
        <w:t xml:space="preserve"> improve physical and emotional functioning</w:t>
      </w:r>
      <w:r w:rsidR="00AA1579" w:rsidRPr="00944B72">
        <w:t>,</w:t>
      </w:r>
      <w:r w:rsidRPr="00944B72">
        <w:t xml:space="preserve"> and reduc</w:t>
      </w:r>
      <w:r w:rsidR="00B05D3D" w:rsidRPr="00944B72">
        <w:t>ing</w:t>
      </w:r>
      <w:r w:rsidRPr="00944B72">
        <w:t xml:space="preserve"> related morbidity</w:t>
      </w:r>
      <w:r w:rsidR="00AA1579" w:rsidRPr="00944B72">
        <w:t xml:space="preserve"> and hospitalisations</w:t>
      </w:r>
      <w:r w:rsidRPr="00944B72">
        <w:t>.</w:t>
      </w:r>
    </w:p>
    <w:p w14:paraId="72C9E0CF" w14:textId="77777777" w:rsidR="00911BCA" w:rsidRPr="00944B72" w:rsidRDefault="00911BCA" w:rsidP="007431EE">
      <w:pPr>
        <w:pStyle w:val="Heading2"/>
      </w:pPr>
      <w:bookmarkStart w:id="3" w:name="_Hlk271137"/>
      <w:r w:rsidRPr="00944B72">
        <w:t>Restrictions or requirements</w:t>
      </w:r>
    </w:p>
    <w:p w14:paraId="45C256DE" w14:textId="50D6C18D" w:rsidR="00911BCA" w:rsidRPr="00944B72" w:rsidRDefault="00AA1579">
      <w:pPr>
        <w:pStyle w:val="RecommendationsBullets"/>
      </w:pPr>
      <w:r w:rsidRPr="00944B72">
        <w:t xml:space="preserve">An MBS service for </w:t>
      </w:r>
      <w:r w:rsidRPr="00944B72">
        <w:rPr>
          <w:color w:val="002060"/>
        </w:rPr>
        <w:t xml:space="preserve">the implantation of a </w:t>
      </w:r>
      <w:r w:rsidR="00B05D3D" w:rsidRPr="00944B72">
        <w:rPr>
          <w:color w:val="002060"/>
        </w:rPr>
        <w:t>TAVI</w:t>
      </w:r>
      <w:r w:rsidR="00015ACB" w:rsidRPr="00944B72">
        <w:rPr>
          <w:color w:val="002060"/>
        </w:rPr>
        <w:t xml:space="preserve"> </w:t>
      </w:r>
      <w:r w:rsidRPr="00944B72">
        <w:t>device (items 3</w:t>
      </w:r>
      <w:r w:rsidR="00B05D3D" w:rsidRPr="00944B72">
        <w:t>8495</w:t>
      </w:r>
      <w:r w:rsidR="007A2675" w:rsidRPr="00944B72">
        <w:t>,</w:t>
      </w:r>
      <w:r w:rsidRPr="00944B72">
        <w:t xml:space="preserve"> 38</w:t>
      </w:r>
      <w:r w:rsidR="00B05D3D" w:rsidRPr="00944B72">
        <w:t>514</w:t>
      </w:r>
      <w:r w:rsidR="007A2675" w:rsidRPr="00944B72">
        <w:t xml:space="preserve"> and 38522</w:t>
      </w:r>
      <w:r w:rsidRPr="00944B72">
        <w:t xml:space="preserve">) is only claimable every </w:t>
      </w:r>
      <w:r w:rsidR="00D641BC" w:rsidRPr="00944B72">
        <w:t>five</w:t>
      </w:r>
      <w:r w:rsidRPr="00944B72">
        <w:t xml:space="preserve"> years, which includes a </w:t>
      </w:r>
      <w:r w:rsidR="00D641BC" w:rsidRPr="00944B72">
        <w:t>five</w:t>
      </w:r>
      <w:r w:rsidRPr="00944B72">
        <w:t xml:space="preserve"> year restriction on the accompanying attendance items (608</w:t>
      </w:r>
      <w:r w:rsidR="00B05D3D" w:rsidRPr="00944B72">
        <w:t>0</w:t>
      </w:r>
      <w:r w:rsidRPr="00944B72">
        <w:t xml:space="preserve"> and 608</w:t>
      </w:r>
      <w:r w:rsidR="00B05D3D" w:rsidRPr="00944B72">
        <w:t>2</w:t>
      </w:r>
      <w:r w:rsidRPr="00944B72">
        <w:t>).</w:t>
      </w:r>
      <w:r w:rsidR="00B05D3D" w:rsidRPr="00944B72">
        <w:t xml:space="preserve"> It is also important to note that item 38</w:t>
      </w:r>
      <w:r w:rsidR="007733B5" w:rsidRPr="00944B72">
        <w:t>522</w:t>
      </w:r>
      <w:r w:rsidR="00B05D3D" w:rsidRPr="00944B72">
        <w:t xml:space="preserve"> cannot be claimed within </w:t>
      </w:r>
      <w:r w:rsidR="00D641BC" w:rsidRPr="00944B72">
        <w:t>five</w:t>
      </w:r>
      <w:r w:rsidR="00B05D3D" w:rsidRPr="00944B72">
        <w:t xml:space="preserve"> years of item </w:t>
      </w:r>
      <w:r w:rsidR="001C24A1">
        <w:t xml:space="preserve">38495 and </w:t>
      </w:r>
      <w:r w:rsidR="00B05D3D" w:rsidRPr="00944B72">
        <w:t>38514 and vice versa.</w:t>
      </w:r>
    </w:p>
    <w:p w14:paraId="4B8B4B41" w14:textId="1DA5B0CB" w:rsidR="00C8299F" w:rsidRPr="00944B72" w:rsidRDefault="00C8299F">
      <w:pPr>
        <w:pStyle w:val="RecommendationsBullets"/>
      </w:pPr>
      <w:r w:rsidRPr="00944B72">
        <w:t>The services associated with items 38</w:t>
      </w:r>
      <w:r w:rsidR="00B05D3D" w:rsidRPr="00944B72">
        <w:t>495</w:t>
      </w:r>
      <w:r w:rsidR="007A2675" w:rsidRPr="00944B72">
        <w:t xml:space="preserve">, </w:t>
      </w:r>
      <w:r w:rsidRPr="00944B72">
        <w:t>3</w:t>
      </w:r>
      <w:r w:rsidR="00B05D3D" w:rsidRPr="00944B72">
        <w:t>8514</w:t>
      </w:r>
      <w:r w:rsidR="007A2675" w:rsidRPr="00944B72">
        <w:t xml:space="preserve"> and 38522</w:t>
      </w:r>
      <w:r w:rsidRPr="00944B72">
        <w:t xml:space="preserve"> can only be claimed in relation to </w:t>
      </w:r>
      <w:r w:rsidR="00B05D3D" w:rsidRPr="00944B72">
        <w:t xml:space="preserve">a </w:t>
      </w:r>
      <w:r w:rsidRPr="00944B72">
        <w:t xml:space="preserve">patient where the procedure has been provided by </w:t>
      </w:r>
      <w:r w:rsidR="001C24A1">
        <w:t xml:space="preserve">a </w:t>
      </w:r>
      <w:r w:rsidR="00B05D3D" w:rsidRPr="00944B72">
        <w:t>TAVI</w:t>
      </w:r>
      <w:r w:rsidRPr="00944B72">
        <w:t xml:space="preserve"> accredited practitioner in a T</w:t>
      </w:r>
      <w:r w:rsidR="00B05D3D" w:rsidRPr="00944B72">
        <w:t>AVI</w:t>
      </w:r>
      <w:r w:rsidR="00015ACB" w:rsidRPr="00944B72">
        <w:t xml:space="preserve"> </w:t>
      </w:r>
      <w:r w:rsidRPr="00944B72">
        <w:t>accredited hospital. This accredit</w:t>
      </w:r>
      <w:r w:rsidR="00416183" w:rsidRPr="00944B72">
        <w:t>at</w:t>
      </w:r>
      <w:r w:rsidRPr="00944B72">
        <w:t>ion can only be pro</w:t>
      </w:r>
      <w:r w:rsidR="00B05D3D" w:rsidRPr="00944B72">
        <w:t>vi</w:t>
      </w:r>
      <w:r w:rsidRPr="00944B72">
        <w:t>ded by the T</w:t>
      </w:r>
      <w:r w:rsidR="00B05D3D" w:rsidRPr="00944B72">
        <w:t>AVI</w:t>
      </w:r>
      <w:r w:rsidRPr="00944B72">
        <w:t xml:space="preserve"> Accreditation Committee.</w:t>
      </w:r>
    </w:p>
    <w:bookmarkEnd w:id="3"/>
    <w:p w14:paraId="39D2D6D4" w14:textId="77777777" w:rsidR="0003040F" w:rsidRPr="00944B72" w:rsidRDefault="004F3785" w:rsidP="004A36D7">
      <w:pPr>
        <w:rPr>
          <w:rStyle w:val="BookTitle"/>
          <w:noProof/>
        </w:rPr>
      </w:pPr>
      <w:r>
        <w:rPr>
          <w:b/>
          <w:bCs/>
          <w:i/>
          <w:iCs/>
          <w:color w:val="001A70" w:themeColor="text2"/>
        </w:rPr>
        <w:pict w14:anchorId="14B1532E">
          <v:rect id="_x0000_i1026" style="width:0;height:1.5pt" o:hralign="center" o:hrstd="t" o:hr="t" fillcolor="#a0a0a0" stroked="f"/>
        </w:pict>
      </w:r>
    </w:p>
    <w:p w14:paraId="6888512A" w14:textId="1609D2AC" w:rsidR="00C72C2D" w:rsidRPr="00944B72" w:rsidRDefault="00AF156C" w:rsidP="00E92F83">
      <w:pPr>
        <w:pStyle w:val="NEWItem"/>
        <w:rPr>
          <w:rStyle w:val="NEWItemNumber"/>
        </w:rPr>
      </w:pPr>
      <w:r w:rsidRPr="00944B72">
        <w:rPr>
          <w:rStyle w:val="NEWItemNumber"/>
          <w:b/>
          <w:bCs/>
        </w:rPr>
        <w:t>New</w:t>
      </w:r>
      <w:r w:rsidR="00681667" w:rsidRPr="00944B72">
        <w:rPr>
          <w:rStyle w:val="NEWItemNumber"/>
          <w:b/>
          <w:bCs/>
        </w:rPr>
        <w:t xml:space="preserve"> i</w:t>
      </w:r>
      <w:r w:rsidR="00C72C2D" w:rsidRPr="00944B72">
        <w:rPr>
          <w:rStyle w:val="NEWItemNumber"/>
          <w:b/>
          <w:bCs/>
        </w:rPr>
        <w:t xml:space="preserve">tem </w:t>
      </w:r>
      <w:r w:rsidRPr="00944B72">
        <w:rPr>
          <w:rStyle w:val="NEWItemNumber"/>
          <w:b/>
          <w:bCs/>
        </w:rPr>
        <w:t>38</w:t>
      </w:r>
      <w:r w:rsidR="007733B5" w:rsidRPr="00944B72">
        <w:rPr>
          <w:rStyle w:val="NEWItemNumber"/>
          <w:b/>
          <w:bCs/>
        </w:rPr>
        <w:t>522</w:t>
      </w:r>
      <w:r w:rsidR="00911BCA" w:rsidRPr="00944B72">
        <w:rPr>
          <w:rStyle w:val="NEWItemNumber"/>
        </w:rPr>
        <w:t xml:space="preserve"> – </w:t>
      </w:r>
      <w:r w:rsidR="003D3AEC" w:rsidRPr="00944B72">
        <w:rPr>
          <w:rStyle w:val="NEWItemNumber"/>
        </w:rPr>
        <w:t xml:space="preserve">Transcatheter </w:t>
      </w:r>
      <w:r w:rsidR="00B05D3D" w:rsidRPr="00944B72">
        <w:rPr>
          <w:rStyle w:val="NEWItemNumber"/>
        </w:rPr>
        <w:t>Aortic</w:t>
      </w:r>
      <w:r w:rsidR="00015ACB" w:rsidRPr="00944B72">
        <w:rPr>
          <w:rStyle w:val="NEWItemNumber"/>
        </w:rPr>
        <w:t xml:space="preserve"> </w:t>
      </w:r>
      <w:r w:rsidR="003D3AEC" w:rsidRPr="00944B72">
        <w:rPr>
          <w:rStyle w:val="NEWItemNumber"/>
        </w:rPr>
        <w:t xml:space="preserve">Valve </w:t>
      </w:r>
      <w:r w:rsidR="00B33245" w:rsidRPr="00944B72">
        <w:rPr>
          <w:rStyle w:val="NEWItemNumber"/>
        </w:rPr>
        <w:t>Implantation</w:t>
      </w:r>
      <w:r w:rsidR="003D3AEC" w:rsidRPr="00944B72">
        <w:rPr>
          <w:rStyle w:val="NEWItemNumber"/>
        </w:rPr>
        <w:t xml:space="preserve"> (T</w:t>
      </w:r>
      <w:r w:rsidR="00B05D3D" w:rsidRPr="00944B72">
        <w:rPr>
          <w:rStyle w:val="NEWItemNumber"/>
        </w:rPr>
        <w:t>AVI</w:t>
      </w:r>
      <w:r w:rsidR="003D3AEC" w:rsidRPr="00944B72">
        <w:rPr>
          <w:rStyle w:val="NEWItemNumber"/>
        </w:rPr>
        <w:t xml:space="preserve">) </w:t>
      </w:r>
      <w:r w:rsidR="00B05D3D" w:rsidRPr="00944B72">
        <w:rPr>
          <w:rStyle w:val="NEWItemNumber"/>
        </w:rPr>
        <w:t>for the treatment of symptomatic severe</w:t>
      </w:r>
      <w:r w:rsidR="000204AF">
        <w:rPr>
          <w:rStyle w:val="NEWItemNumber"/>
        </w:rPr>
        <w:t xml:space="preserve"> native calcific</w:t>
      </w:r>
      <w:r w:rsidR="00B05D3D" w:rsidRPr="00944B72">
        <w:rPr>
          <w:rStyle w:val="NEWItemNumber"/>
        </w:rPr>
        <w:t xml:space="preserve"> aortic stenosis in a TAVI patient that is at</w:t>
      </w:r>
      <w:r w:rsidR="00031767" w:rsidRPr="00944B72">
        <w:rPr>
          <w:rStyle w:val="NEWItemNumber"/>
        </w:rPr>
        <w:t xml:space="preserve"> low </w:t>
      </w:r>
      <w:r w:rsidR="00015ACB" w:rsidRPr="00944B72">
        <w:rPr>
          <w:rStyle w:val="NEWItemNumber"/>
        </w:rPr>
        <w:t>risk</w:t>
      </w:r>
      <w:r w:rsidR="00B05D3D" w:rsidRPr="00944B72">
        <w:rPr>
          <w:rStyle w:val="NEWItemNumber"/>
        </w:rPr>
        <w:t xml:space="preserve"> for open surgical aortic replacement </w:t>
      </w:r>
    </w:p>
    <w:p w14:paraId="509EA368" w14:textId="1A7C4EE5" w:rsidR="003D3AEC" w:rsidRDefault="00492DDB" w:rsidP="003D3AEC">
      <w:r w:rsidRPr="00944B72">
        <w:rPr>
          <w:rStyle w:val="Descriptorheader"/>
        </w:rPr>
        <w:t>Overview</w:t>
      </w:r>
      <w:r w:rsidR="00244C4C" w:rsidRPr="00944B72">
        <w:rPr>
          <w:rStyle w:val="Descriptorheader"/>
        </w:rPr>
        <w:t>:</w:t>
      </w:r>
      <w:r w:rsidR="00244C4C" w:rsidRPr="00944B72">
        <w:t xml:space="preserve"> </w:t>
      </w:r>
      <w:r w:rsidR="003D3AEC" w:rsidRPr="00944B72">
        <w:t xml:space="preserve">This item introduces a new service </w:t>
      </w:r>
      <w:bookmarkStart w:id="4" w:name="_Hlk89691210"/>
      <w:r w:rsidR="003D3AEC" w:rsidRPr="00944B72">
        <w:t>for the</w:t>
      </w:r>
      <w:r w:rsidR="00B05D3D" w:rsidRPr="00944B72">
        <w:t xml:space="preserve"> transcatheter implantation of a TAVI device (device agnostic with ARTG listing)</w:t>
      </w:r>
      <w:r w:rsidR="003D3AEC" w:rsidRPr="00944B72">
        <w:t xml:space="preserve">, </w:t>
      </w:r>
      <w:r w:rsidR="00D641BC" w:rsidRPr="00944B72">
        <w:t xml:space="preserve">for patients </w:t>
      </w:r>
      <w:r w:rsidR="003D3AEC" w:rsidRPr="00944B72">
        <w:t xml:space="preserve">who are at </w:t>
      </w:r>
      <w:r w:rsidR="00031767" w:rsidRPr="00944B72">
        <w:t xml:space="preserve">a low </w:t>
      </w:r>
      <w:r w:rsidR="003D3AEC" w:rsidRPr="00944B72">
        <w:t xml:space="preserve">risk for </w:t>
      </w:r>
      <w:r w:rsidR="00237A96" w:rsidRPr="00944B72">
        <w:t>open surgical aortic</w:t>
      </w:r>
      <w:r w:rsidR="003D3AEC" w:rsidRPr="00944B72">
        <w:t xml:space="preserve"> valve replacement. </w:t>
      </w:r>
      <w:bookmarkEnd w:id="4"/>
    </w:p>
    <w:p w14:paraId="70EF9CE0" w14:textId="5120AEE9" w:rsidR="00C33A20" w:rsidRPr="00944B72" w:rsidRDefault="00C33A20" w:rsidP="00967A39">
      <w:pPr>
        <w:spacing w:after="0"/>
      </w:pPr>
      <w:r w:rsidRPr="00944B72">
        <w:rPr>
          <w:rStyle w:val="Descriptorheader"/>
        </w:rPr>
        <w:t>Service</w:t>
      </w:r>
      <w:r w:rsidR="00F37C06" w:rsidRPr="00944B72">
        <w:rPr>
          <w:rStyle w:val="Descriptorheader"/>
        </w:rPr>
        <w:t>/Descriptor</w:t>
      </w:r>
      <w:r w:rsidRPr="00944B72">
        <w:rPr>
          <w:rStyle w:val="Descriptorheader"/>
        </w:rPr>
        <w:t>:</w:t>
      </w:r>
    </w:p>
    <w:p w14:paraId="2A2390FA" w14:textId="77777777" w:rsidR="004178C8" w:rsidRPr="004178C8" w:rsidRDefault="004178C8" w:rsidP="004178C8">
      <w:r w:rsidRPr="004178C8">
        <w:t>TAVI, for the treatment of symptomatic severe native calcific aortic stenosis, performed via transfemoral delivery, unless transfemoral delivery is contraindicated or not feasible, if:</w:t>
      </w:r>
    </w:p>
    <w:p w14:paraId="317D90C7" w14:textId="77777777" w:rsidR="004178C8" w:rsidRPr="004178C8" w:rsidRDefault="004178C8" w:rsidP="004178C8">
      <w:pPr>
        <w:shd w:val="clear" w:color="auto" w:fill="FFFFFF"/>
        <w:spacing w:after="80" w:line="240" w:lineRule="auto"/>
        <w:ind w:left="486" w:hanging="360"/>
        <w:rPr>
          <w:rFonts w:asciiTheme="minorHAnsi" w:eastAsia="Times New Roman" w:hAnsiTheme="minorHAnsi" w:cstheme="minorHAnsi"/>
          <w:color w:val="000000"/>
          <w:sz w:val="22"/>
          <w:szCs w:val="22"/>
          <w:lang w:eastAsia="en-AU"/>
        </w:rPr>
      </w:pPr>
      <w:r w:rsidRPr="004178C8">
        <w:rPr>
          <w:rFonts w:asciiTheme="minorHAnsi" w:eastAsia="Times New Roman" w:hAnsiTheme="minorHAnsi" w:cstheme="minorHAnsi"/>
          <w:color w:val="000000"/>
          <w:szCs w:val="20"/>
          <w:lang w:eastAsia="en-AU"/>
        </w:rPr>
        <w:t>(a)</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the TAVI Patient is at low risk for surgery; and</w:t>
      </w:r>
    </w:p>
    <w:p w14:paraId="3927E07C" w14:textId="77777777" w:rsidR="004178C8" w:rsidRPr="004178C8" w:rsidRDefault="004178C8" w:rsidP="004178C8">
      <w:pPr>
        <w:shd w:val="clear" w:color="auto" w:fill="FFFFFF"/>
        <w:spacing w:after="80" w:line="240" w:lineRule="auto"/>
        <w:ind w:left="486" w:hanging="357"/>
        <w:rPr>
          <w:rFonts w:asciiTheme="minorHAnsi" w:eastAsia="Times New Roman" w:hAnsiTheme="minorHAnsi" w:cstheme="minorHAnsi"/>
          <w:color w:val="000000"/>
          <w:sz w:val="22"/>
          <w:szCs w:val="22"/>
          <w:lang w:eastAsia="en-AU"/>
        </w:rPr>
      </w:pPr>
      <w:r w:rsidRPr="004178C8">
        <w:rPr>
          <w:rFonts w:asciiTheme="minorHAnsi" w:eastAsia="Times New Roman" w:hAnsiTheme="minorHAnsi" w:cstheme="minorHAnsi"/>
          <w:color w:val="000000"/>
          <w:szCs w:val="20"/>
          <w:lang w:eastAsia="en-AU"/>
        </w:rPr>
        <w:t>(b)</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the service:</w:t>
      </w:r>
    </w:p>
    <w:p w14:paraId="49DBC5BF" w14:textId="77777777" w:rsidR="004178C8" w:rsidRPr="004178C8" w:rsidRDefault="004178C8" w:rsidP="004178C8">
      <w:pPr>
        <w:shd w:val="clear" w:color="auto" w:fill="FFFFFF"/>
        <w:spacing w:after="80" w:line="240" w:lineRule="auto"/>
        <w:ind w:left="912" w:hanging="425"/>
        <w:rPr>
          <w:rFonts w:asciiTheme="minorHAnsi" w:eastAsia="Times New Roman" w:hAnsiTheme="minorHAnsi" w:cstheme="minorHAnsi"/>
          <w:color w:val="000000"/>
          <w:sz w:val="22"/>
          <w:szCs w:val="22"/>
          <w:lang w:eastAsia="en-AU"/>
        </w:rPr>
      </w:pPr>
      <w:r w:rsidRPr="004178C8">
        <w:rPr>
          <w:rFonts w:asciiTheme="minorHAnsi" w:eastAsia="Times New Roman" w:hAnsiTheme="minorHAnsi" w:cstheme="minorHAnsi"/>
          <w:color w:val="000000"/>
          <w:szCs w:val="20"/>
          <w:lang w:eastAsia="en-AU"/>
        </w:rPr>
        <w:t>(i)</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is performed by a TAVI Practitioner in a TAVI Hospital; and</w:t>
      </w:r>
    </w:p>
    <w:p w14:paraId="0F3DFBEB" w14:textId="77777777" w:rsidR="004178C8" w:rsidRPr="004178C8" w:rsidRDefault="004178C8" w:rsidP="004178C8">
      <w:pPr>
        <w:shd w:val="clear" w:color="auto" w:fill="FFFFFF"/>
        <w:spacing w:after="80" w:line="240" w:lineRule="auto"/>
        <w:ind w:left="912" w:hanging="425"/>
        <w:rPr>
          <w:rFonts w:asciiTheme="minorHAnsi" w:eastAsia="Times New Roman" w:hAnsiTheme="minorHAnsi" w:cstheme="minorHAnsi"/>
          <w:color w:val="000000"/>
          <w:sz w:val="22"/>
          <w:szCs w:val="22"/>
          <w:lang w:eastAsia="en-AU"/>
        </w:rPr>
      </w:pPr>
      <w:r w:rsidRPr="004178C8">
        <w:rPr>
          <w:rFonts w:asciiTheme="minorHAnsi" w:eastAsia="Times New Roman" w:hAnsiTheme="minorHAnsi" w:cstheme="minorHAnsi"/>
          <w:color w:val="000000"/>
          <w:szCs w:val="20"/>
          <w:lang w:eastAsia="en-AU"/>
        </w:rPr>
        <w:t>(ii)</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includes all intraoperative diagnostic imaging that the TAVI Practitioner performs upon the TAVI Patient;</w:t>
      </w:r>
    </w:p>
    <w:p w14:paraId="2C59B8A0" w14:textId="3D57D957" w:rsidR="004178C8" w:rsidRPr="004178C8" w:rsidRDefault="004178C8" w:rsidP="004178C8">
      <w:pPr>
        <w:rPr>
          <w:noProof/>
        </w:rPr>
      </w:pPr>
      <w:r w:rsidRPr="004178C8">
        <w:rPr>
          <w:noProof/>
        </w:rPr>
        <w:t>not being a service which has been rendered within 5 years of a service to which this item or item 38495 or 38514 applies (H) (Anaes.) (Assist.)</w:t>
      </w:r>
    </w:p>
    <w:p w14:paraId="6E23EEFE" w14:textId="15D1CAB1" w:rsidR="00E6115B" w:rsidRPr="00944B72" w:rsidRDefault="00C831ED" w:rsidP="00944B72">
      <w:pPr>
        <w:spacing w:after="0"/>
        <w:rPr>
          <w:noProof/>
          <w:szCs w:val="20"/>
        </w:rPr>
      </w:pPr>
      <w:r w:rsidRPr="00944B72">
        <w:rPr>
          <w:rStyle w:val="Descriptorheader"/>
        </w:rPr>
        <w:t>Other requirements</w:t>
      </w:r>
      <w:r w:rsidR="00C72C2D" w:rsidRPr="00944B72">
        <w:rPr>
          <w:rStyle w:val="Descriptorheader"/>
        </w:rPr>
        <w:t>:</w:t>
      </w:r>
      <w:r w:rsidR="00C72C2D" w:rsidRPr="00944B72">
        <w:rPr>
          <w:noProof/>
          <w:szCs w:val="20"/>
        </w:rPr>
        <w:t xml:space="preserve"> </w:t>
      </w:r>
    </w:p>
    <w:p w14:paraId="73948B6B" w14:textId="507DBD6C" w:rsidR="00E6115B" w:rsidRPr="00944B72" w:rsidRDefault="00E6115B" w:rsidP="00575F34">
      <w:pPr>
        <w:rPr>
          <w:noProof/>
        </w:rPr>
      </w:pPr>
      <w:r w:rsidRPr="00944B72">
        <w:rPr>
          <w:noProof/>
        </w:rPr>
        <w:t>A</w:t>
      </w:r>
      <w:r w:rsidR="00015ACB" w:rsidRPr="00944B72">
        <w:rPr>
          <w:noProof/>
        </w:rPr>
        <w:t xml:space="preserve"> TAVI</w:t>
      </w:r>
      <w:r w:rsidRPr="00944B72">
        <w:rPr>
          <w:noProof/>
        </w:rPr>
        <w:t xml:space="preserve"> suitabililty case conference has determined and documented that the patient is suitable for the service.</w:t>
      </w:r>
    </w:p>
    <w:p w14:paraId="24B57F89" w14:textId="02D8BA78" w:rsidR="00C72C2D" w:rsidRPr="00944B72" w:rsidRDefault="00E6115B" w:rsidP="00575F34">
      <w:pPr>
        <w:rPr>
          <w:noProof/>
        </w:rPr>
      </w:pPr>
      <w:r w:rsidRPr="00944B72">
        <w:rPr>
          <w:noProof/>
        </w:rPr>
        <w:t>The service is performed by an interventional cardiologist or cardiothoracic surgeon who has been accredited by the T</w:t>
      </w:r>
      <w:r w:rsidR="00015ACB" w:rsidRPr="00944B72">
        <w:rPr>
          <w:noProof/>
        </w:rPr>
        <w:t>AVI</w:t>
      </w:r>
      <w:r w:rsidRPr="00944B72">
        <w:rPr>
          <w:noProof/>
        </w:rPr>
        <w:t xml:space="preserve"> A</w:t>
      </w:r>
      <w:r w:rsidR="00416183" w:rsidRPr="00944B72">
        <w:rPr>
          <w:noProof/>
        </w:rPr>
        <w:t>c</w:t>
      </w:r>
      <w:r w:rsidRPr="00944B72">
        <w:rPr>
          <w:noProof/>
        </w:rPr>
        <w:t>creditation Committee.</w:t>
      </w:r>
    </w:p>
    <w:p w14:paraId="26CA99B5" w14:textId="58AF1077" w:rsidR="00361DC9" w:rsidRPr="00944B72" w:rsidRDefault="0045721A" w:rsidP="00575F34">
      <w:pPr>
        <w:rPr>
          <w:noProof/>
        </w:rPr>
      </w:pPr>
      <w:r w:rsidRPr="00944B72">
        <w:rPr>
          <w:noProof/>
        </w:rPr>
        <w:t>The service is performed at a hospital that is accredited by the T</w:t>
      </w:r>
      <w:r w:rsidR="00015ACB" w:rsidRPr="00944B72">
        <w:rPr>
          <w:noProof/>
        </w:rPr>
        <w:t>AVI</w:t>
      </w:r>
      <w:r w:rsidRPr="00944B72">
        <w:rPr>
          <w:noProof/>
        </w:rPr>
        <w:t xml:space="preserve"> A</w:t>
      </w:r>
      <w:r w:rsidR="00416183" w:rsidRPr="00944B72">
        <w:rPr>
          <w:noProof/>
        </w:rPr>
        <w:t>c</w:t>
      </w:r>
      <w:r w:rsidRPr="00944B72">
        <w:rPr>
          <w:noProof/>
        </w:rPr>
        <w:t>creditation Committee as a suitable hospital for the service</w:t>
      </w:r>
      <w:r w:rsidR="00A7452E" w:rsidRPr="00944B72">
        <w:rPr>
          <w:noProof/>
        </w:rPr>
        <w:t>.</w:t>
      </w:r>
    </w:p>
    <w:p w14:paraId="77A72320" w14:textId="77777777" w:rsidR="00A76A6B" w:rsidRPr="00944B72" w:rsidRDefault="00C72C2D" w:rsidP="00967A39">
      <w:pPr>
        <w:spacing w:after="0"/>
        <w:rPr>
          <w:noProof/>
          <w:color w:val="000000" w:themeColor="text1"/>
        </w:rPr>
      </w:pPr>
      <w:r w:rsidRPr="00944B72">
        <w:rPr>
          <w:rStyle w:val="Descriptorheader"/>
          <w:color w:val="000000" w:themeColor="text1"/>
        </w:rPr>
        <w:lastRenderedPageBreak/>
        <w:t>Billing re</w:t>
      </w:r>
      <w:r w:rsidR="00244C4C" w:rsidRPr="00944B72">
        <w:rPr>
          <w:rStyle w:val="Descriptorheader"/>
          <w:color w:val="000000" w:themeColor="text1"/>
        </w:rPr>
        <w:t>quirement</w:t>
      </w:r>
      <w:r w:rsidRPr="00944B72">
        <w:rPr>
          <w:rStyle w:val="Descriptorheader"/>
          <w:color w:val="000000" w:themeColor="text1"/>
        </w:rPr>
        <w:t>:</w:t>
      </w:r>
      <w:r w:rsidRPr="00944B72">
        <w:rPr>
          <w:noProof/>
          <w:color w:val="000000" w:themeColor="text1"/>
        </w:rPr>
        <w:t xml:space="preserve"> </w:t>
      </w:r>
      <w:r w:rsidR="00A76A6B" w:rsidRPr="00944B72">
        <w:rPr>
          <w:noProof/>
          <w:color w:val="000000" w:themeColor="text1"/>
        </w:rPr>
        <w:t xml:space="preserve"> </w:t>
      </w:r>
    </w:p>
    <w:p w14:paraId="61FB6EBF" w14:textId="0A1DE4D2" w:rsidR="00AC679F" w:rsidRPr="00944B72" w:rsidRDefault="00A76A6B" w:rsidP="00575F34">
      <w:pPr>
        <w:rPr>
          <w:noProof/>
        </w:rPr>
      </w:pPr>
      <w:r w:rsidRPr="00944B72">
        <w:rPr>
          <w:noProof/>
        </w:rPr>
        <w:t>Item 38</w:t>
      </w:r>
      <w:r w:rsidR="00015ACB" w:rsidRPr="00944B72">
        <w:rPr>
          <w:noProof/>
        </w:rPr>
        <w:t>5</w:t>
      </w:r>
      <w:r w:rsidR="007733B5" w:rsidRPr="00944B72">
        <w:rPr>
          <w:noProof/>
        </w:rPr>
        <w:t>22</w:t>
      </w:r>
      <w:r w:rsidRPr="00944B72">
        <w:rPr>
          <w:noProof/>
        </w:rPr>
        <w:t xml:space="preserve"> is not claimable within 5 years of items 38</w:t>
      </w:r>
      <w:r w:rsidR="00015ACB" w:rsidRPr="00944B72">
        <w:rPr>
          <w:noProof/>
        </w:rPr>
        <w:t>495</w:t>
      </w:r>
      <w:r w:rsidRPr="00944B72">
        <w:rPr>
          <w:noProof/>
        </w:rPr>
        <w:t xml:space="preserve"> or 38</w:t>
      </w:r>
      <w:r w:rsidR="00015ACB" w:rsidRPr="00944B72">
        <w:rPr>
          <w:noProof/>
        </w:rPr>
        <w:t>514</w:t>
      </w:r>
      <w:r w:rsidRPr="00944B72">
        <w:rPr>
          <w:noProof/>
        </w:rPr>
        <w:t>; and</w:t>
      </w:r>
    </w:p>
    <w:p w14:paraId="05D4736D" w14:textId="1A16BD45" w:rsidR="00A76A6B" w:rsidRPr="00944B72" w:rsidRDefault="00A76A6B" w:rsidP="00575F34">
      <w:pPr>
        <w:rPr>
          <w:noProof/>
        </w:rPr>
      </w:pPr>
      <w:r w:rsidRPr="00944B72">
        <w:rPr>
          <w:noProof/>
        </w:rPr>
        <w:t xml:space="preserve">The service associated with item </w:t>
      </w:r>
      <w:r w:rsidR="00015ACB" w:rsidRPr="00944B72">
        <w:rPr>
          <w:noProof/>
        </w:rPr>
        <w:t>385</w:t>
      </w:r>
      <w:r w:rsidR="007733B5" w:rsidRPr="00944B72">
        <w:rPr>
          <w:noProof/>
        </w:rPr>
        <w:t>22</w:t>
      </w:r>
      <w:r w:rsidRPr="00944B72">
        <w:rPr>
          <w:noProof/>
        </w:rPr>
        <w:t xml:space="preserve"> includes all intraoperative imaging.</w:t>
      </w:r>
    </w:p>
    <w:p w14:paraId="425CCE80" w14:textId="705BC6BD" w:rsidR="00763E5B" w:rsidRPr="00944B72" w:rsidRDefault="00C33A20" w:rsidP="00C33A20">
      <w:pPr>
        <w:rPr>
          <w:noProof/>
        </w:rPr>
      </w:pPr>
      <w:r w:rsidRPr="00944B72">
        <w:rPr>
          <w:rStyle w:val="Descriptorheader"/>
        </w:rPr>
        <w:t>MBS fee</w:t>
      </w:r>
      <w:r w:rsidR="007C343E" w:rsidRPr="00944B72">
        <w:rPr>
          <w:rStyle w:val="Descriptorheader"/>
        </w:rPr>
        <w:t>:</w:t>
      </w:r>
      <w:r w:rsidR="007C343E" w:rsidRPr="00944B72">
        <w:rPr>
          <w:noProof/>
        </w:rPr>
        <w:t xml:space="preserve"> </w:t>
      </w:r>
      <w:r w:rsidR="00E56953" w:rsidRPr="00944B72">
        <w:rPr>
          <w:szCs w:val="20"/>
        </w:rPr>
        <w:t>$</w:t>
      </w:r>
      <w:r w:rsidR="0029143B" w:rsidRPr="0029143B">
        <w:rPr>
          <w:szCs w:val="20"/>
        </w:rPr>
        <w:t>1,514.10</w:t>
      </w:r>
    </w:p>
    <w:p w14:paraId="529CC805" w14:textId="191C4477" w:rsidR="004178C8" w:rsidRPr="004178C8" w:rsidRDefault="00C33A20" w:rsidP="00114403">
      <w:pPr>
        <w:rPr>
          <w:szCs w:val="20"/>
        </w:rPr>
      </w:pPr>
      <w:r w:rsidRPr="00CC6B10">
        <w:rPr>
          <w:rStyle w:val="Descriptorheader"/>
        </w:rPr>
        <w:t>Benefit:</w:t>
      </w:r>
      <w:r w:rsidRPr="00CC6B10">
        <w:rPr>
          <w:noProof/>
        </w:rPr>
        <w:t xml:space="preserve"> </w:t>
      </w:r>
      <w:r w:rsidR="00E56953" w:rsidRPr="00CC6B10">
        <w:rPr>
          <w:szCs w:val="20"/>
        </w:rPr>
        <w:t xml:space="preserve">75% </w:t>
      </w:r>
      <w:r w:rsidR="00944B72" w:rsidRPr="00CC6B10">
        <w:rPr>
          <w:szCs w:val="20"/>
        </w:rPr>
        <w:t xml:space="preserve">= </w:t>
      </w:r>
      <w:r w:rsidR="00BC7A71" w:rsidRPr="00CC6B10">
        <w:rPr>
          <w:szCs w:val="20"/>
        </w:rPr>
        <w:t>$</w:t>
      </w:r>
      <w:r w:rsidR="00D214F8" w:rsidRPr="00CC6B10">
        <w:rPr>
          <w:szCs w:val="20"/>
        </w:rPr>
        <w:t>1135.57</w:t>
      </w:r>
    </w:p>
    <w:p w14:paraId="001F05EC" w14:textId="4F13FA94" w:rsidR="00114403" w:rsidRPr="00772813" w:rsidRDefault="00114403" w:rsidP="00114403">
      <w:pPr>
        <w:rPr>
          <w:rFonts w:asciiTheme="minorHAnsi" w:hAnsiTheme="minorHAnsi"/>
          <w:b/>
          <w:bCs/>
          <w:iCs/>
          <w:noProof/>
          <w:color w:val="002060"/>
          <w:spacing w:val="5"/>
          <w:sz w:val="22"/>
        </w:rPr>
      </w:pPr>
      <w:r w:rsidRPr="00772813">
        <w:rPr>
          <w:rFonts w:asciiTheme="minorHAnsi" w:hAnsiTheme="minorHAnsi"/>
          <w:b/>
          <w:bCs/>
          <w:iCs/>
          <w:noProof/>
          <w:color w:val="002060"/>
          <w:spacing w:val="5"/>
          <w:sz w:val="22"/>
        </w:rPr>
        <w:t>Private Health Insurance Classification</w:t>
      </w:r>
      <w:r w:rsidR="004178C8">
        <w:rPr>
          <w:rFonts w:asciiTheme="minorHAnsi" w:hAnsiTheme="minorHAnsi"/>
          <w:b/>
          <w:bCs/>
          <w:iCs/>
          <w:noProof/>
          <w:color w:val="002060"/>
          <w:spacing w:val="5"/>
          <w:sz w:val="22"/>
        </w:rPr>
        <w:t>s</w:t>
      </w:r>
      <w:r w:rsidRPr="00772813">
        <w:rPr>
          <w:rFonts w:asciiTheme="minorHAnsi" w:hAnsiTheme="minorHAnsi"/>
          <w:b/>
          <w:bCs/>
          <w:iCs/>
          <w:noProof/>
          <w:color w:val="002060"/>
          <w:spacing w:val="5"/>
          <w:sz w:val="22"/>
        </w:rPr>
        <w:t>:</w:t>
      </w:r>
    </w:p>
    <w:p w14:paraId="4132DB64" w14:textId="77777777" w:rsidR="00114403" w:rsidRPr="00B4004F" w:rsidRDefault="00114403" w:rsidP="00114403">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14:paraId="15A34073" w14:textId="57176F0F" w:rsidR="001B1E67" w:rsidRDefault="00114403" w:rsidP="00EF3E15">
      <w:pPr>
        <w:ind w:left="720"/>
        <w:rPr>
          <w:szCs w:val="20"/>
        </w:rPr>
      </w:pPr>
      <w:r w:rsidRPr="00B4004F">
        <w:rPr>
          <w:b/>
          <w:noProof/>
          <w:color w:val="000000" w:themeColor="text1"/>
        </w:rPr>
        <w:t>Proposed Procedure Type:</w:t>
      </w:r>
      <w:r w:rsidRPr="00B4004F">
        <w:rPr>
          <w:noProof/>
          <w:color w:val="000000" w:themeColor="text1"/>
        </w:rPr>
        <w:tab/>
        <w:t>Type A – Advanced Surgical</w:t>
      </w:r>
    </w:p>
    <w:p w14:paraId="0199FEB1" w14:textId="77777777" w:rsidR="001B1E67" w:rsidRPr="00772813" w:rsidRDefault="001B1E67" w:rsidP="001B1E67">
      <w:pPr>
        <w:pStyle w:val="AmendedItem"/>
      </w:pPr>
      <w:r w:rsidRPr="00967A39">
        <w:t>Amended item 38495</w:t>
      </w:r>
      <w:r w:rsidRPr="00967A39">
        <w:rPr>
          <w:b w:val="0"/>
          <w:bCs/>
        </w:rPr>
        <w:t xml:space="preserve"> – </w:t>
      </w:r>
      <w:r w:rsidRPr="00A22013">
        <w:rPr>
          <w:b w:val="0"/>
        </w:rPr>
        <w:t xml:space="preserve">Transcatheter Aortic Valve </w:t>
      </w:r>
      <w:r>
        <w:rPr>
          <w:b w:val="0"/>
        </w:rPr>
        <w:t>Implantation</w:t>
      </w:r>
      <w:r w:rsidRPr="00A22013">
        <w:rPr>
          <w:b w:val="0"/>
        </w:rPr>
        <w:t xml:space="preserve"> (TAVI) for the treatment of symptomatic severe aortic stenosis in a TAVI patient that is at high risk for open surgical aortic replacement</w:t>
      </w:r>
      <w:r w:rsidRPr="00967A39">
        <w:rPr>
          <w:bCs/>
        </w:rPr>
        <w:t xml:space="preserve"> </w:t>
      </w:r>
    </w:p>
    <w:p w14:paraId="0BCC834D" w14:textId="469C8290" w:rsidR="001B1E67" w:rsidRDefault="001B1E67" w:rsidP="001B1E67">
      <w:r w:rsidRPr="005976B9">
        <w:rPr>
          <w:rStyle w:val="Descriptorheader"/>
        </w:rPr>
        <w:t>Overview:</w:t>
      </w:r>
      <w:r w:rsidRPr="005976B9">
        <w:t xml:space="preserve"> </w:t>
      </w:r>
      <w:r>
        <w:t xml:space="preserve">This amended item continues as the service </w:t>
      </w:r>
      <w:r w:rsidRPr="005976B9">
        <w:t>for the</w:t>
      </w:r>
      <w:r>
        <w:t xml:space="preserve"> transcatheter implantation of a TAVI device (device agnostic with ARTG listing)</w:t>
      </w:r>
      <w:r w:rsidRPr="005976B9">
        <w:t xml:space="preserve">, </w:t>
      </w:r>
      <w:r>
        <w:t xml:space="preserve">for patients </w:t>
      </w:r>
      <w:r w:rsidRPr="005976B9">
        <w:t xml:space="preserve">who are at </w:t>
      </w:r>
      <w:r>
        <w:t>high</w:t>
      </w:r>
      <w:r w:rsidRPr="005976B9">
        <w:t xml:space="preserve"> risk for </w:t>
      </w:r>
      <w:r>
        <w:t>open surgical aortic</w:t>
      </w:r>
      <w:r w:rsidRPr="005976B9">
        <w:t xml:space="preserve"> valve replacement. </w:t>
      </w:r>
    </w:p>
    <w:p w14:paraId="40067E2E" w14:textId="77777777" w:rsidR="00201C5B" w:rsidRDefault="001B1E67" w:rsidP="00201C5B">
      <w:pPr>
        <w:spacing w:after="0"/>
      </w:pPr>
      <w:r w:rsidRPr="005976B9">
        <w:rPr>
          <w:rStyle w:val="Descriptorheader"/>
        </w:rPr>
        <w:t>Service/Descriptor:</w:t>
      </w:r>
    </w:p>
    <w:p w14:paraId="0AF8D0E6" w14:textId="77777777" w:rsidR="004178C8" w:rsidRPr="004178C8" w:rsidRDefault="004178C8" w:rsidP="004178C8">
      <w:pPr>
        <w:rPr>
          <w:noProof/>
        </w:rPr>
      </w:pPr>
      <w:r w:rsidRPr="004178C8">
        <w:rPr>
          <w:noProof/>
        </w:rPr>
        <w:t>TAVI, for the treatment of symptomatic severe aortic stenosis, performed via transfemoral delivery, unless transfemoral delivery is contraindicated or not feasible, if:</w:t>
      </w:r>
    </w:p>
    <w:p w14:paraId="0672CFF0" w14:textId="77777777" w:rsidR="004178C8" w:rsidRPr="004178C8" w:rsidRDefault="004178C8" w:rsidP="004178C8">
      <w:pPr>
        <w:shd w:val="clear" w:color="auto" w:fill="FFFFFF"/>
        <w:spacing w:after="80" w:line="240" w:lineRule="auto"/>
        <w:ind w:left="486" w:hanging="357"/>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(a)</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the TAVI Patient is at high risk for surgery;</w:t>
      </w:r>
      <w:r w:rsidRPr="004178C8">
        <w:rPr>
          <w:rFonts w:asciiTheme="minorHAnsi" w:eastAsia="Times New Roman" w:hAnsiTheme="minorHAnsi" w:cstheme="minorHAnsi"/>
          <w:b/>
          <w:bCs/>
          <w:color w:val="000000"/>
          <w:szCs w:val="20"/>
          <w:lang w:eastAsia="en-AU"/>
        </w:rPr>
        <w:t> </w:t>
      </w:r>
      <w:r w:rsidRPr="004178C8">
        <w:rPr>
          <w:rFonts w:asciiTheme="minorHAnsi" w:eastAsia="Times New Roman" w:hAnsiTheme="minorHAnsi" w:cstheme="minorHAnsi"/>
          <w:color w:val="000000"/>
          <w:szCs w:val="20"/>
          <w:lang w:eastAsia="en-AU"/>
        </w:rPr>
        <w:t>and</w:t>
      </w:r>
    </w:p>
    <w:p w14:paraId="7D9FEF7E" w14:textId="77777777" w:rsidR="004178C8" w:rsidRPr="004178C8" w:rsidRDefault="004178C8" w:rsidP="004178C8">
      <w:pPr>
        <w:shd w:val="clear" w:color="auto" w:fill="FFFFFF"/>
        <w:spacing w:after="80" w:line="240" w:lineRule="auto"/>
        <w:ind w:left="486" w:hanging="357"/>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(b)</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the service:</w:t>
      </w:r>
    </w:p>
    <w:p w14:paraId="7BB3B5A6" w14:textId="77777777" w:rsidR="004178C8" w:rsidRPr="004178C8" w:rsidRDefault="004178C8" w:rsidP="004178C8">
      <w:pPr>
        <w:shd w:val="clear" w:color="auto" w:fill="FFFFFF"/>
        <w:spacing w:after="80" w:line="240" w:lineRule="auto"/>
        <w:ind w:left="912" w:hanging="425"/>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(i)</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is performed by a TAVI Practitioner in a TAVI Hospital; and</w:t>
      </w:r>
    </w:p>
    <w:p w14:paraId="384C8B54" w14:textId="77777777" w:rsidR="004178C8" w:rsidRPr="004178C8" w:rsidRDefault="004178C8" w:rsidP="004178C8">
      <w:pPr>
        <w:shd w:val="clear" w:color="auto" w:fill="FFFFFF"/>
        <w:spacing w:after="80" w:line="240" w:lineRule="auto"/>
        <w:ind w:left="912" w:hanging="425"/>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(ii)</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includes all intraoperative diagnostic imaging that the TAVI Practitioner performs upon the TAVI Patient;</w:t>
      </w:r>
    </w:p>
    <w:p w14:paraId="20A4C2F1" w14:textId="6E39BD76" w:rsidR="004178C8" w:rsidRPr="004178C8" w:rsidRDefault="004178C8" w:rsidP="004178C8">
      <w:pPr>
        <w:rPr>
          <w:noProof/>
        </w:rPr>
      </w:pPr>
      <w:r w:rsidRPr="004178C8">
        <w:rPr>
          <w:noProof/>
        </w:rPr>
        <w:t>not being a service which has been rendered within 5 years of a service to which this item or item 38514 or 38522 applies (H) (Anaes.) (Assist.)</w:t>
      </w:r>
    </w:p>
    <w:p w14:paraId="185A3ACF" w14:textId="7159E4A0" w:rsidR="001B1E67" w:rsidRPr="00B4004F" w:rsidRDefault="001B1E67" w:rsidP="001B1E67">
      <w:pPr>
        <w:spacing w:after="0"/>
        <w:rPr>
          <w:rFonts w:asciiTheme="minorHAnsi" w:hAnsiTheme="minorHAnsi"/>
          <w:noProof/>
          <w:color w:val="000000" w:themeColor="text1"/>
          <w:szCs w:val="20"/>
        </w:rPr>
      </w:pPr>
      <w:r w:rsidRPr="00B4004F">
        <w:rPr>
          <w:rStyle w:val="Descriptorheader"/>
          <w:color w:val="000000" w:themeColor="text1"/>
        </w:rPr>
        <w:t>Other requirements:</w:t>
      </w:r>
      <w:r w:rsidRPr="00B4004F">
        <w:rPr>
          <w:rFonts w:asciiTheme="minorHAnsi" w:hAnsiTheme="minorHAnsi"/>
          <w:noProof/>
          <w:color w:val="000000" w:themeColor="text1"/>
          <w:szCs w:val="20"/>
        </w:rPr>
        <w:t xml:space="preserve"> </w:t>
      </w:r>
    </w:p>
    <w:p w14:paraId="588EE340" w14:textId="77777777" w:rsidR="001B1E67" w:rsidRPr="00575F34" w:rsidRDefault="001B1E67" w:rsidP="001B1E67">
      <w:pPr>
        <w:rPr>
          <w:noProof/>
        </w:rPr>
      </w:pPr>
      <w:r w:rsidRPr="00575F34">
        <w:rPr>
          <w:noProof/>
        </w:rPr>
        <w:t>A T</w:t>
      </w:r>
      <w:r>
        <w:rPr>
          <w:noProof/>
        </w:rPr>
        <w:t>AVI</w:t>
      </w:r>
      <w:r w:rsidRPr="00575F34">
        <w:rPr>
          <w:noProof/>
        </w:rPr>
        <w:t xml:space="preserve"> suitabililty case conference has determined and documented that the patient is suitable for the service.</w:t>
      </w:r>
    </w:p>
    <w:p w14:paraId="7CB0F619" w14:textId="77777777" w:rsidR="001B1E67" w:rsidRPr="00575F34" w:rsidRDefault="001B1E67" w:rsidP="001B1E67">
      <w:pPr>
        <w:rPr>
          <w:noProof/>
        </w:rPr>
      </w:pPr>
      <w:r w:rsidRPr="00575F34">
        <w:rPr>
          <w:noProof/>
        </w:rPr>
        <w:t>The service is performed by an interventional cardiologist or cardiothoracic surgeon who has been accredited by the T</w:t>
      </w:r>
      <w:r>
        <w:rPr>
          <w:noProof/>
        </w:rPr>
        <w:t>AVI</w:t>
      </w:r>
      <w:r w:rsidRPr="00575F34">
        <w:rPr>
          <w:noProof/>
        </w:rPr>
        <w:t xml:space="preserve"> Ac</w:t>
      </w:r>
      <w:r>
        <w:rPr>
          <w:noProof/>
        </w:rPr>
        <w:t>c</w:t>
      </w:r>
      <w:r w:rsidRPr="00575F34">
        <w:rPr>
          <w:noProof/>
        </w:rPr>
        <w:t>reditation Committee.</w:t>
      </w:r>
    </w:p>
    <w:p w14:paraId="01AC1B91" w14:textId="6BE14496" w:rsidR="001B1E67" w:rsidRPr="00575F34" w:rsidRDefault="001B1E67" w:rsidP="001B1E67">
      <w:pPr>
        <w:rPr>
          <w:noProof/>
        </w:rPr>
      </w:pPr>
      <w:r w:rsidRPr="00575F34">
        <w:rPr>
          <w:noProof/>
        </w:rPr>
        <w:t>The service is performed at a hospital that is accredited by the T</w:t>
      </w:r>
      <w:r>
        <w:rPr>
          <w:noProof/>
        </w:rPr>
        <w:t>AVI</w:t>
      </w:r>
      <w:r w:rsidRPr="00575F34">
        <w:rPr>
          <w:noProof/>
        </w:rPr>
        <w:t xml:space="preserve"> Accreditation Committee as a suitable hospital for the service.</w:t>
      </w:r>
    </w:p>
    <w:p w14:paraId="42AA31D6" w14:textId="77777777" w:rsidR="001B1E67" w:rsidRPr="00B4004F" w:rsidRDefault="001B1E67" w:rsidP="001B1E67">
      <w:pPr>
        <w:spacing w:after="0"/>
        <w:rPr>
          <w:rFonts w:asciiTheme="minorHAnsi" w:hAnsiTheme="minorHAnsi"/>
          <w:noProof/>
          <w:color w:val="000000" w:themeColor="text1"/>
        </w:rPr>
      </w:pPr>
      <w:r w:rsidRPr="00B4004F">
        <w:rPr>
          <w:rStyle w:val="Descriptorheader"/>
          <w:color w:val="000000" w:themeColor="text1"/>
        </w:rPr>
        <w:t>Billing requirement:</w:t>
      </w:r>
      <w:r w:rsidRPr="00B4004F">
        <w:rPr>
          <w:rFonts w:asciiTheme="minorHAnsi" w:hAnsiTheme="minorHAnsi"/>
          <w:noProof/>
          <w:color w:val="000000" w:themeColor="text1"/>
        </w:rPr>
        <w:t xml:space="preserve">  </w:t>
      </w:r>
    </w:p>
    <w:p w14:paraId="1646C660" w14:textId="7742568D" w:rsidR="001B1E67" w:rsidRPr="00575F34" w:rsidRDefault="001B1E67" w:rsidP="001B1E67">
      <w:pPr>
        <w:rPr>
          <w:noProof/>
        </w:rPr>
      </w:pPr>
      <w:r w:rsidRPr="00575F34">
        <w:rPr>
          <w:noProof/>
        </w:rPr>
        <w:t>Item 38</w:t>
      </w:r>
      <w:r>
        <w:rPr>
          <w:noProof/>
        </w:rPr>
        <w:t>495</w:t>
      </w:r>
      <w:r w:rsidRPr="00575F34">
        <w:rPr>
          <w:noProof/>
        </w:rPr>
        <w:t xml:space="preserve"> is not claimable within 5 years of items 3</w:t>
      </w:r>
      <w:r>
        <w:rPr>
          <w:noProof/>
        </w:rPr>
        <w:t>8514</w:t>
      </w:r>
      <w:r w:rsidRPr="00575F34">
        <w:rPr>
          <w:noProof/>
        </w:rPr>
        <w:t xml:space="preserve"> or </w:t>
      </w:r>
      <w:r w:rsidR="0010315B" w:rsidRPr="00DC0941">
        <w:rPr>
          <w:rFonts w:asciiTheme="minorHAnsi" w:eastAsia="Times New Roman" w:hAnsiTheme="minorHAnsi" w:cstheme="minorHAnsi"/>
          <w:szCs w:val="20"/>
        </w:rPr>
        <w:t>38522</w:t>
      </w:r>
      <w:r w:rsidRPr="00575F34">
        <w:rPr>
          <w:noProof/>
        </w:rPr>
        <w:t>; and</w:t>
      </w:r>
    </w:p>
    <w:p w14:paraId="3434FD02" w14:textId="77777777" w:rsidR="001B1E67" w:rsidRPr="00575F34" w:rsidRDefault="001B1E67" w:rsidP="001B1E67">
      <w:pPr>
        <w:rPr>
          <w:noProof/>
        </w:rPr>
      </w:pPr>
      <w:r w:rsidRPr="00575F34">
        <w:rPr>
          <w:noProof/>
        </w:rPr>
        <w:t>The service associated with item 38</w:t>
      </w:r>
      <w:r>
        <w:rPr>
          <w:noProof/>
        </w:rPr>
        <w:t>495</w:t>
      </w:r>
      <w:r w:rsidRPr="00575F34">
        <w:rPr>
          <w:noProof/>
        </w:rPr>
        <w:t xml:space="preserve"> </w:t>
      </w:r>
      <w:r>
        <w:rPr>
          <w:noProof/>
        </w:rPr>
        <w:t xml:space="preserve">continues to </w:t>
      </w:r>
      <w:r w:rsidRPr="00575F34">
        <w:rPr>
          <w:noProof/>
        </w:rPr>
        <w:t>include all intraoperative imaging.</w:t>
      </w:r>
    </w:p>
    <w:p w14:paraId="6FDB0F0A" w14:textId="478E41E5" w:rsidR="001B1E67" w:rsidRPr="00EF3E15" w:rsidRDefault="001B1E67" w:rsidP="001B1E67">
      <w:pPr>
        <w:rPr>
          <w:rFonts w:asciiTheme="minorHAnsi" w:hAnsiTheme="minorHAnsi"/>
          <w:noProof/>
        </w:rPr>
      </w:pPr>
      <w:r w:rsidRPr="00B4004F">
        <w:rPr>
          <w:rStyle w:val="Descriptorheader"/>
          <w:color w:val="000000" w:themeColor="text1"/>
        </w:rPr>
        <w:t>MBS fee:</w:t>
      </w:r>
      <w:r w:rsidRPr="00B4004F">
        <w:rPr>
          <w:rFonts w:asciiTheme="minorHAnsi" w:hAnsiTheme="minorHAnsi"/>
          <w:noProof/>
          <w:color w:val="000000" w:themeColor="text1"/>
        </w:rPr>
        <w:t xml:space="preserve"> </w:t>
      </w:r>
      <w:r w:rsidR="0029143B">
        <w:rPr>
          <w:szCs w:val="20"/>
        </w:rPr>
        <w:t>$</w:t>
      </w:r>
      <w:r w:rsidR="0029143B" w:rsidRPr="0029143B">
        <w:rPr>
          <w:szCs w:val="20"/>
        </w:rPr>
        <w:t>1,514.10</w:t>
      </w:r>
    </w:p>
    <w:p w14:paraId="196DAB24" w14:textId="5B27EDCE" w:rsidR="00460FDA" w:rsidRDefault="001B1E67" w:rsidP="001B1E67">
      <w:pPr>
        <w:rPr>
          <w:rFonts w:asciiTheme="minorHAnsi" w:hAnsiTheme="minorHAnsi"/>
          <w:b/>
          <w:bCs/>
          <w:iCs/>
          <w:noProof/>
          <w:color w:val="002060"/>
          <w:spacing w:val="5"/>
          <w:sz w:val="22"/>
        </w:rPr>
      </w:pPr>
      <w:r w:rsidRPr="00CC6B10">
        <w:rPr>
          <w:rStyle w:val="Descriptorheader"/>
          <w:color w:val="000000" w:themeColor="text1"/>
        </w:rPr>
        <w:lastRenderedPageBreak/>
        <w:t>Benefit:</w:t>
      </w:r>
      <w:r w:rsidRPr="00CC6B10">
        <w:rPr>
          <w:rFonts w:asciiTheme="minorHAnsi" w:hAnsiTheme="minorHAnsi"/>
          <w:noProof/>
          <w:color w:val="000000" w:themeColor="text1"/>
        </w:rPr>
        <w:t xml:space="preserve"> </w:t>
      </w:r>
      <w:r w:rsidR="00361DC9" w:rsidRPr="00CC6B10">
        <w:rPr>
          <w:szCs w:val="20"/>
        </w:rPr>
        <w:t>75% = $</w:t>
      </w:r>
      <w:bookmarkStart w:id="5" w:name="_Hlk99032432"/>
      <w:r w:rsidR="00D214F8" w:rsidRPr="00CC6B10">
        <w:rPr>
          <w:szCs w:val="20"/>
        </w:rPr>
        <w:t>1135.57</w:t>
      </w:r>
      <w:bookmarkEnd w:id="5"/>
    </w:p>
    <w:p w14:paraId="5193ED90" w14:textId="226D3B9C" w:rsidR="001B1E67" w:rsidRPr="00772813" w:rsidRDefault="001B1E67" w:rsidP="001B1E67">
      <w:pPr>
        <w:rPr>
          <w:rFonts w:asciiTheme="minorHAnsi" w:hAnsiTheme="minorHAnsi"/>
          <w:b/>
          <w:bCs/>
          <w:iCs/>
          <w:noProof/>
          <w:color w:val="002060"/>
          <w:spacing w:val="5"/>
          <w:sz w:val="22"/>
        </w:rPr>
      </w:pPr>
      <w:bookmarkStart w:id="6" w:name="_Hlk95748093"/>
      <w:r w:rsidRPr="00772813">
        <w:rPr>
          <w:rFonts w:asciiTheme="minorHAnsi" w:hAnsiTheme="minorHAnsi"/>
          <w:b/>
          <w:bCs/>
          <w:iCs/>
          <w:noProof/>
          <w:color w:val="002060"/>
          <w:spacing w:val="5"/>
          <w:sz w:val="22"/>
        </w:rPr>
        <w:t>Private Health Insurance Classifications:</w:t>
      </w:r>
    </w:p>
    <w:p w14:paraId="330D7FE2" w14:textId="77777777" w:rsidR="001B1E67" w:rsidRPr="00B4004F" w:rsidRDefault="001B1E67" w:rsidP="001B1E67">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14:paraId="2E1391AA" w14:textId="23E448FE" w:rsidR="0010315B" w:rsidRPr="00EF3E15" w:rsidRDefault="001B1E67" w:rsidP="00361DC9">
      <w:pPr>
        <w:ind w:firstLine="720"/>
        <w:rPr>
          <w:rFonts w:ascii="Times New Roman" w:eastAsia="Times New Roman" w:hAnsi="Times New Roman" w:cs="Times New Roman"/>
          <w:b/>
          <w:noProof/>
          <w:color w:val="FFFFFF" w:themeColor="background1"/>
          <w:spacing w:val="20"/>
          <w:szCs w:val="20"/>
        </w:rPr>
      </w:pPr>
      <w:r w:rsidRPr="00B4004F">
        <w:rPr>
          <w:b/>
          <w:noProof/>
          <w:color w:val="000000" w:themeColor="text1"/>
        </w:rPr>
        <w:t>Proposed Procedure Type:</w:t>
      </w:r>
      <w:r w:rsidRPr="00B4004F">
        <w:rPr>
          <w:noProof/>
          <w:color w:val="000000" w:themeColor="text1"/>
        </w:rPr>
        <w:tab/>
        <w:t xml:space="preserve">Type A – Advanced Surgical </w:t>
      </w:r>
      <w:bookmarkEnd w:id="6"/>
    </w:p>
    <w:p w14:paraId="22A653B0" w14:textId="4D9CB533" w:rsidR="0010315B" w:rsidRPr="00772813" w:rsidRDefault="0010315B" w:rsidP="0010315B">
      <w:pPr>
        <w:pStyle w:val="AmendedItem"/>
      </w:pPr>
      <w:r w:rsidRPr="00967A39">
        <w:t xml:space="preserve">Amended item </w:t>
      </w:r>
      <w:r w:rsidRPr="00EF3E15">
        <w:t>38514</w:t>
      </w:r>
      <w:r w:rsidRPr="00967A39">
        <w:rPr>
          <w:b w:val="0"/>
          <w:bCs/>
        </w:rPr>
        <w:t xml:space="preserve"> – </w:t>
      </w:r>
      <w:r w:rsidRPr="00A22013">
        <w:rPr>
          <w:b w:val="0"/>
        </w:rPr>
        <w:t xml:space="preserve">Transcatheter Aortic Valve </w:t>
      </w:r>
      <w:r>
        <w:rPr>
          <w:b w:val="0"/>
        </w:rPr>
        <w:t>Implantation</w:t>
      </w:r>
      <w:r w:rsidRPr="00A22013">
        <w:rPr>
          <w:b w:val="0"/>
        </w:rPr>
        <w:t xml:space="preserve"> (TAVI) for the treatment of symptomatic severe aortic stenosis in a TAVI patient that is at </w:t>
      </w:r>
      <w:r>
        <w:rPr>
          <w:b w:val="0"/>
        </w:rPr>
        <w:t>intermediate</w:t>
      </w:r>
      <w:r w:rsidRPr="00A22013">
        <w:rPr>
          <w:b w:val="0"/>
        </w:rPr>
        <w:t xml:space="preserve"> risk for open surgical aortic replacement</w:t>
      </w:r>
      <w:r w:rsidRPr="00967A39">
        <w:rPr>
          <w:bCs/>
        </w:rPr>
        <w:t xml:space="preserve"> </w:t>
      </w:r>
    </w:p>
    <w:p w14:paraId="61E55995" w14:textId="1D6FDC0B" w:rsidR="0010315B" w:rsidRPr="005976B9" w:rsidRDefault="0010315B" w:rsidP="0010315B">
      <w:r w:rsidRPr="005976B9">
        <w:rPr>
          <w:rStyle w:val="Descriptorheader"/>
        </w:rPr>
        <w:t>Overview:</w:t>
      </w:r>
      <w:r w:rsidRPr="005976B9">
        <w:t xml:space="preserve"> </w:t>
      </w:r>
      <w:r>
        <w:t xml:space="preserve">This amended item continues as the service </w:t>
      </w:r>
      <w:r w:rsidRPr="005976B9">
        <w:t>for the</w:t>
      </w:r>
      <w:r>
        <w:t xml:space="preserve"> transcatheter implantation of a TAVI device (device agnostic with ARTG listing)</w:t>
      </w:r>
      <w:r w:rsidRPr="005976B9">
        <w:t xml:space="preserve">, </w:t>
      </w:r>
      <w:r>
        <w:t xml:space="preserve">for patients </w:t>
      </w:r>
      <w:r w:rsidRPr="005976B9">
        <w:t xml:space="preserve">who are at </w:t>
      </w:r>
      <w:r>
        <w:t>intermediate</w:t>
      </w:r>
      <w:r w:rsidRPr="005976B9">
        <w:t xml:space="preserve"> risk for </w:t>
      </w:r>
      <w:r>
        <w:t>open surgical aortic</w:t>
      </w:r>
      <w:r w:rsidRPr="005976B9">
        <w:t xml:space="preserve"> valve replacement. </w:t>
      </w:r>
    </w:p>
    <w:p w14:paraId="36AA9062" w14:textId="541EC4A7" w:rsidR="0010315B" w:rsidRDefault="0010315B" w:rsidP="0010315B">
      <w:pPr>
        <w:spacing w:after="0"/>
        <w:rPr>
          <w:rStyle w:val="Descriptorheader"/>
        </w:rPr>
      </w:pPr>
      <w:r w:rsidRPr="005976B9">
        <w:rPr>
          <w:rStyle w:val="Descriptorheader"/>
        </w:rPr>
        <w:t>Service/Descriptor:</w:t>
      </w:r>
    </w:p>
    <w:p w14:paraId="2D500660" w14:textId="77777777" w:rsidR="004178C8" w:rsidRPr="004178C8" w:rsidRDefault="004178C8" w:rsidP="004178C8">
      <w:pPr>
        <w:rPr>
          <w:noProof/>
        </w:rPr>
      </w:pPr>
      <w:r w:rsidRPr="004178C8">
        <w:rPr>
          <w:noProof/>
        </w:rPr>
        <w:t>TAVI, for the treatment of symptomatic severe aortic stenosis, performed via transfemoral delivery, unless transfemoral delivery is contraindicated or not feasible, if:</w:t>
      </w:r>
    </w:p>
    <w:p w14:paraId="72116757" w14:textId="77777777" w:rsidR="004178C8" w:rsidRPr="004178C8" w:rsidRDefault="004178C8" w:rsidP="004178C8">
      <w:pPr>
        <w:shd w:val="clear" w:color="auto" w:fill="FFFFFF"/>
        <w:spacing w:after="80" w:line="240" w:lineRule="auto"/>
        <w:ind w:left="486" w:hanging="360"/>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(a)</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the TAVI Patient is at intermediate risk for surgery; and</w:t>
      </w:r>
    </w:p>
    <w:p w14:paraId="20B665F9" w14:textId="77777777" w:rsidR="004178C8" w:rsidRPr="004178C8" w:rsidRDefault="004178C8" w:rsidP="004178C8">
      <w:pPr>
        <w:shd w:val="clear" w:color="auto" w:fill="FFFFFF"/>
        <w:spacing w:after="80" w:line="240" w:lineRule="auto"/>
        <w:ind w:left="486" w:hanging="357"/>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(b)</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the service:</w:t>
      </w:r>
    </w:p>
    <w:p w14:paraId="1072D48E" w14:textId="77777777" w:rsidR="004178C8" w:rsidRPr="004178C8" w:rsidRDefault="004178C8" w:rsidP="004178C8">
      <w:pPr>
        <w:shd w:val="clear" w:color="auto" w:fill="FFFFFF"/>
        <w:spacing w:after="80" w:line="240" w:lineRule="auto"/>
        <w:ind w:left="912" w:hanging="425"/>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(i)</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is performed by a TAVI Practitioner in a TAVI Hospital; and</w:t>
      </w:r>
    </w:p>
    <w:p w14:paraId="20510FEC" w14:textId="77777777" w:rsidR="004178C8" w:rsidRPr="004178C8" w:rsidRDefault="004178C8" w:rsidP="004178C8">
      <w:pPr>
        <w:shd w:val="clear" w:color="auto" w:fill="FFFFFF"/>
        <w:spacing w:after="80" w:line="240" w:lineRule="auto"/>
        <w:ind w:left="912" w:hanging="425"/>
        <w:rPr>
          <w:rFonts w:asciiTheme="minorHAnsi" w:eastAsia="Times New Roman" w:hAnsiTheme="minorHAnsi" w:cstheme="minorHAnsi"/>
          <w:color w:val="000000"/>
          <w:sz w:val="24"/>
          <w:szCs w:val="24"/>
          <w:lang w:eastAsia="en-AU"/>
        </w:rPr>
      </w:pPr>
      <w:r w:rsidRPr="004178C8">
        <w:rPr>
          <w:rFonts w:asciiTheme="minorHAnsi" w:eastAsia="Times New Roman" w:hAnsiTheme="minorHAnsi" w:cstheme="minorHAnsi"/>
          <w:color w:val="000000"/>
          <w:szCs w:val="20"/>
          <w:lang w:eastAsia="en-AU"/>
        </w:rPr>
        <w:t>(ii)</w:t>
      </w:r>
      <w:r w:rsidRPr="004178C8">
        <w:rPr>
          <w:rFonts w:asciiTheme="minorHAnsi" w:eastAsia="Times New Roman" w:hAnsiTheme="minorHAnsi" w:cstheme="minorHAnsi"/>
          <w:color w:val="000000"/>
          <w:sz w:val="14"/>
          <w:szCs w:val="14"/>
          <w:lang w:eastAsia="en-AU"/>
        </w:rPr>
        <w:t>        </w:t>
      </w:r>
      <w:r w:rsidRPr="004178C8">
        <w:rPr>
          <w:rFonts w:asciiTheme="minorHAnsi" w:eastAsia="Times New Roman" w:hAnsiTheme="minorHAnsi" w:cstheme="minorHAnsi"/>
          <w:color w:val="000000"/>
          <w:szCs w:val="20"/>
          <w:lang w:eastAsia="en-AU"/>
        </w:rPr>
        <w:t>includes all intraoperative diagnostic imaging that the TAVI Practitioner performs upon the TAVI Patient;</w:t>
      </w:r>
    </w:p>
    <w:p w14:paraId="3B6B1A80" w14:textId="25C7458D" w:rsidR="00B77E09" w:rsidRPr="004178C8" w:rsidRDefault="004178C8" w:rsidP="004178C8">
      <w:pPr>
        <w:rPr>
          <w:rStyle w:val="Descriptorheader"/>
          <w:rFonts w:ascii="Arial" w:hAnsi="Arial"/>
          <w:b w:val="0"/>
          <w:bCs w:val="0"/>
          <w:iCs w:val="0"/>
          <w:spacing w:val="0"/>
          <w:sz w:val="20"/>
        </w:rPr>
      </w:pPr>
      <w:r w:rsidRPr="004178C8">
        <w:rPr>
          <w:noProof/>
        </w:rPr>
        <w:t>not being a service which has been rendered within 5 years of a service to which this item or item 38495 or 38522 applies (H) (Anaes.) (Assist.)</w:t>
      </w:r>
    </w:p>
    <w:p w14:paraId="4D8DB09C" w14:textId="77777777" w:rsidR="0010315B" w:rsidRPr="00B4004F" w:rsidRDefault="0010315B" w:rsidP="0010315B">
      <w:pPr>
        <w:spacing w:after="0"/>
        <w:rPr>
          <w:rFonts w:asciiTheme="minorHAnsi" w:hAnsiTheme="minorHAnsi"/>
          <w:noProof/>
          <w:color w:val="000000" w:themeColor="text1"/>
          <w:szCs w:val="20"/>
        </w:rPr>
      </w:pPr>
      <w:r w:rsidRPr="00B4004F">
        <w:rPr>
          <w:rStyle w:val="Descriptorheader"/>
          <w:color w:val="000000" w:themeColor="text1"/>
        </w:rPr>
        <w:t>Other requirements:</w:t>
      </w:r>
      <w:r w:rsidRPr="00B4004F">
        <w:rPr>
          <w:rFonts w:asciiTheme="minorHAnsi" w:hAnsiTheme="minorHAnsi"/>
          <w:noProof/>
          <w:color w:val="000000" w:themeColor="text1"/>
          <w:szCs w:val="20"/>
        </w:rPr>
        <w:t xml:space="preserve"> </w:t>
      </w:r>
    </w:p>
    <w:p w14:paraId="4FBD2F9B" w14:textId="77777777" w:rsidR="0010315B" w:rsidRPr="00575F34" w:rsidRDefault="0010315B" w:rsidP="0010315B">
      <w:pPr>
        <w:rPr>
          <w:noProof/>
        </w:rPr>
      </w:pPr>
      <w:r w:rsidRPr="00575F34">
        <w:rPr>
          <w:noProof/>
        </w:rPr>
        <w:t>A T</w:t>
      </w:r>
      <w:r>
        <w:rPr>
          <w:noProof/>
        </w:rPr>
        <w:t>AVI</w:t>
      </w:r>
      <w:r w:rsidRPr="00575F34">
        <w:rPr>
          <w:noProof/>
        </w:rPr>
        <w:t xml:space="preserve"> suitabililty case conference has determined and documented that the patient is suitable for the service.</w:t>
      </w:r>
    </w:p>
    <w:p w14:paraId="27D837EF" w14:textId="77777777" w:rsidR="0010315B" w:rsidRPr="00575F34" w:rsidRDefault="0010315B" w:rsidP="0010315B">
      <w:pPr>
        <w:rPr>
          <w:noProof/>
        </w:rPr>
      </w:pPr>
      <w:r w:rsidRPr="00575F34">
        <w:rPr>
          <w:noProof/>
        </w:rPr>
        <w:t>The service is performed by an interventional cardiologist or cardiothoracic surgeon who has been accredited by the T</w:t>
      </w:r>
      <w:r>
        <w:rPr>
          <w:noProof/>
        </w:rPr>
        <w:t>AVI</w:t>
      </w:r>
      <w:r w:rsidRPr="00575F34">
        <w:rPr>
          <w:noProof/>
        </w:rPr>
        <w:t xml:space="preserve"> Ac</w:t>
      </w:r>
      <w:r>
        <w:rPr>
          <w:noProof/>
        </w:rPr>
        <w:t>c</w:t>
      </w:r>
      <w:r w:rsidRPr="00575F34">
        <w:rPr>
          <w:noProof/>
        </w:rPr>
        <w:t>reditation Committee.</w:t>
      </w:r>
    </w:p>
    <w:p w14:paraId="2468FF38" w14:textId="07D11051" w:rsidR="0010315B" w:rsidRPr="00575F34" w:rsidRDefault="0010315B" w:rsidP="0010315B">
      <w:pPr>
        <w:rPr>
          <w:noProof/>
        </w:rPr>
      </w:pPr>
      <w:r w:rsidRPr="00575F34">
        <w:rPr>
          <w:noProof/>
        </w:rPr>
        <w:t>The service is performed at a hospital that is accredited by the T</w:t>
      </w:r>
      <w:r>
        <w:rPr>
          <w:noProof/>
        </w:rPr>
        <w:t>AVI</w:t>
      </w:r>
      <w:r w:rsidRPr="00575F34">
        <w:rPr>
          <w:noProof/>
        </w:rPr>
        <w:t xml:space="preserve"> Accreditation Committee as a suitable hospital for the service.</w:t>
      </w:r>
    </w:p>
    <w:p w14:paraId="6B13DCC2" w14:textId="77777777" w:rsidR="0010315B" w:rsidRPr="00B4004F" w:rsidRDefault="0010315B" w:rsidP="0010315B">
      <w:pPr>
        <w:spacing w:after="0"/>
        <w:rPr>
          <w:rFonts w:asciiTheme="minorHAnsi" w:hAnsiTheme="minorHAnsi"/>
          <w:noProof/>
          <w:color w:val="000000" w:themeColor="text1"/>
        </w:rPr>
      </w:pPr>
      <w:r w:rsidRPr="00B4004F">
        <w:rPr>
          <w:rStyle w:val="Descriptorheader"/>
          <w:color w:val="000000" w:themeColor="text1"/>
        </w:rPr>
        <w:t>Billing requirement:</w:t>
      </w:r>
      <w:r w:rsidRPr="00B4004F">
        <w:rPr>
          <w:rFonts w:asciiTheme="minorHAnsi" w:hAnsiTheme="minorHAnsi"/>
          <w:noProof/>
          <w:color w:val="000000" w:themeColor="text1"/>
        </w:rPr>
        <w:t xml:space="preserve">  </w:t>
      </w:r>
    </w:p>
    <w:p w14:paraId="74090160" w14:textId="749D29FC" w:rsidR="0010315B" w:rsidRPr="00575F34" w:rsidRDefault="0010315B" w:rsidP="0010315B">
      <w:pPr>
        <w:rPr>
          <w:noProof/>
        </w:rPr>
      </w:pPr>
      <w:r w:rsidRPr="00575F34">
        <w:rPr>
          <w:noProof/>
        </w:rPr>
        <w:t xml:space="preserve">Item </w:t>
      </w:r>
      <w:r w:rsidR="009E2BC0" w:rsidRPr="00575F34">
        <w:rPr>
          <w:noProof/>
        </w:rPr>
        <w:t>3</w:t>
      </w:r>
      <w:r w:rsidR="009E2BC0">
        <w:rPr>
          <w:noProof/>
        </w:rPr>
        <w:t>8514</w:t>
      </w:r>
      <w:r w:rsidRPr="00575F34">
        <w:rPr>
          <w:noProof/>
        </w:rPr>
        <w:t xml:space="preserve"> is not claimable within 5 years of items 38</w:t>
      </w:r>
      <w:r>
        <w:rPr>
          <w:noProof/>
        </w:rPr>
        <w:t>495</w:t>
      </w:r>
      <w:r w:rsidR="009E2BC0">
        <w:rPr>
          <w:noProof/>
        </w:rPr>
        <w:t xml:space="preserve"> or 38522</w:t>
      </w:r>
      <w:r w:rsidRPr="00575F34">
        <w:rPr>
          <w:noProof/>
        </w:rPr>
        <w:t>; and</w:t>
      </w:r>
    </w:p>
    <w:p w14:paraId="1886A64E" w14:textId="0E9B182A" w:rsidR="0010315B" w:rsidRPr="00575F34" w:rsidRDefault="0010315B" w:rsidP="0010315B">
      <w:pPr>
        <w:rPr>
          <w:noProof/>
        </w:rPr>
      </w:pPr>
      <w:r w:rsidRPr="00575F34">
        <w:rPr>
          <w:noProof/>
        </w:rPr>
        <w:t xml:space="preserve">The service associated with item </w:t>
      </w:r>
      <w:r w:rsidR="009E2BC0" w:rsidRPr="00575F34">
        <w:rPr>
          <w:noProof/>
        </w:rPr>
        <w:t>3</w:t>
      </w:r>
      <w:r w:rsidR="009E2BC0">
        <w:rPr>
          <w:noProof/>
        </w:rPr>
        <w:t>8514</w:t>
      </w:r>
      <w:r w:rsidR="009E2BC0" w:rsidRPr="00575F34">
        <w:rPr>
          <w:noProof/>
        </w:rPr>
        <w:t xml:space="preserve"> </w:t>
      </w:r>
      <w:r>
        <w:rPr>
          <w:noProof/>
        </w:rPr>
        <w:t xml:space="preserve">continues to </w:t>
      </w:r>
      <w:r w:rsidRPr="00575F34">
        <w:rPr>
          <w:noProof/>
        </w:rPr>
        <w:t>include all intraoperative imaging.</w:t>
      </w:r>
    </w:p>
    <w:p w14:paraId="5F9B9D0B" w14:textId="689BBDEE" w:rsidR="00361DC9" w:rsidRPr="00503D9E" w:rsidRDefault="00361DC9" w:rsidP="00361DC9">
      <w:pPr>
        <w:rPr>
          <w:rFonts w:asciiTheme="minorHAnsi" w:hAnsiTheme="minorHAnsi"/>
          <w:noProof/>
        </w:rPr>
      </w:pPr>
      <w:r w:rsidRPr="00B4004F">
        <w:rPr>
          <w:rStyle w:val="Descriptorheader"/>
          <w:color w:val="000000" w:themeColor="text1"/>
        </w:rPr>
        <w:t>MBS fee:</w:t>
      </w:r>
      <w:r w:rsidRPr="00B4004F">
        <w:rPr>
          <w:rFonts w:asciiTheme="minorHAnsi" w:hAnsiTheme="minorHAnsi"/>
          <w:noProof/>
          <w:color w:val="000000" w:themeColor="text1"/>
        </w:rPr>
        <w:t xml:space="preserve"> </w:t>
      </w:r>
      <w:r w:rsidRPr="00503D9E">
        <w:rPr>
          <w:szCs w:val="20"/>
        </w:rPr>
        <w:t>$</w:t>
      </w:r>
      <w:r w:rsidR="0029143B" w:rsidRPr="0029143B">
        <w:rPr>
          <w:szCs w:val="20"/>
        </w:rPr>
        <w:t>1,514.10</w:t>
      </w:r>
    </w:p>
    <w:p w14:paraId="67DE93A3" w14:textId="68132485" w:rsidR="000406ED" w:rsidRPr="0029143B" w:rsidRDefault="00361DC9" w:rsidP="00361DC9">
      <w:pPr>
        <w:rPr>
          <w:szCs w:val="20"/>
        </w:rPr>
      </w:pPr>
      <w:r w:rsidRPr="00B4004F">
        <w:rPr>
          <w:rStyle w:val="Descriptorheader"/>
          <w:color w:val="000000" w:themeColor="text1"/>
        </w:rPr>
        <w:t>Bene</w:t>
      </w:r>
      <w:r w:rsidRPr="00CC6B10">
        <w:rPr>
          <w:rStyle w:val="Descriptorheader"/>
          <w:color w:val="000000" w:themeColor="text1"/>
        </w:rPr>
        <w:t>fit:</w:t>
      </w:r>
      <w:r w:rsidRPr="00CC6B10">
        <w:rPr>
          <w:rFonts w:asciiTheme="minorHAnsi" w:hAnsiTheme="minorHAnsi"/>
          <w:noProof/>
          <w:color w:val="000000" w:themeColor="text1"/>
        </w:rPr>
        <w:t xml:space="preserve"> </w:t>
      </w:r>
      <w:r w:rsidRPr="00CC6B10">
        <w:rPr>
          <w:szCs w:val="20"/>
        </w:rPr>
        <w:t>75% = $</w:t>
      </w:r>
      <w:r w:rsidR="00D214F8" w:rsidRPr="00CC6B10">
        <w:rPr>
          <w:szCs w:val="20"/>
        </w:rPr>
        <w:t>1135.57</w:t>
      </w:r>
    </w:p>
    <w:p w14:paraId="57154021" w14:textId="53948F36" w:rsidR="0010315B" w:rsidRPr="00772813" w:rsidRDefault="0010315B" w:rsidP="004178C8">
      <w:pPr>
        <w:rPr>
          <w:rFonts w:asciiTheme="minorHAnsi" w:hAnsiTheme="minorHAnsi"/>
          <w:b/>
          <w:bCs/>
          <w:iCs/>
          <w:noProof/>
          <w:color w:val="002060"/>
          <w:spacing w:val="5"/>
          <w:sz w:val="22"/>
        </w:rPr>
      </w:pPr>
      <w:r w:rsidRPr="00772813">
        <w:rPr>
          <w:rFonts w:asciiTheme="minorHAnsi" w:hAnsiTheme="minorHAnsi"/>
          <w:b/>
          <w:bCs/>
          <w:iCs/>
          <w:noProof/>
          <w:color w:val="002060"/>
          <w:spacing w:val="5"/>
          <w:sz w:val="22"/>
        </w:rPr>
        <w:t>Private Health Insurance Classifications:</w:t>
      </w:r>
    </w:p>
    <w:p w14:paraId="654A1FCB" w14:textId="77777777" w:rsidR="0010315B" w:rsidRPr="00B4004F" w:rsidRDefault="0010315B" w:rsidP="0010315B">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14:paraId="0FD624F5" w14:textId="7F1FB1CC" w:rsidR="000406ED" w:rsidRDefault="0010315B" w:rsidP="001C1102">
      <w:pPr>
        <w:ind w:firstLine="720"/>
        <w:rPr>
          <w:noProof/>
          <w:color w:val="000000" w:themeColor="text1"/>
        </w:rPr>
      </w:pPr>
      <w:r w:rsidRPr="00B4004F">
        <w:rPr>
          <w:b/>
          <w:noProof/>
          <w:color w:val="000000" w:themeColor="text1"/>
        </w:rPr>
        <w:lastRenderedPageBreak/>
        <w:t>Proposed Procedure Type:</w:t>
      </w:r>
      <w:r w:rsidRPr="00B4004F">
        <w:rPr>
          <w:noProof/>
          <w:color w:val="000000" w:themeColor="text1"/>
        </w:rPr>
        <w:tab/>
        <w:t xml:space="preserve">Type A – Advanced Surgical </w:t>
      </w:r>
    </w:p>
    <w:p w14:paraId="7A42DECA" w14:textId="77777777" w:rsidR="00361DC9" w:rsidRPr="00944B72" w:rsidRDefault="00361DC9">
      <w:pPr>
        <w:ind w:firstLine="720"/>
        <w:rPr>
          <w:noProof/>
        </w:rPr>
      </w:pPr>
    </w:p>
    <w:p w14:paraId="2F3D90EB" w14:textId="727A2E44" w:rsidR="00494279" w:rsidRPr="00944B72" w:rsidRDefault="00494279" w:rsidP="007431EE">
      <w:pPr>
        <w:pStyle w:val="Heading2"/>
      </w:pPr>
      <w:r w:rsidRPr="00944B72">
        <w:t>What does the new procedure involve</w:t>
      </w:r>
      <w:r w:rsidR="0037629D" w:rsidRPr="00944B72">
        <w:t>?</w:t>
      </w:r>
    </w:p>
    <w:p w14:paraId="67ED59A4" w14:textId="48CA0B39" w:rsidR="00494279" w:rsidRPr="0000535C" w:rsidRDefault="007B47FF" w:rsidP="00416183">
      <w:r w:rsidRPr="0000535C">
        <w:t>MBS item 38</w:t>
      </w:r>
      <w:r w:rsidR="00333BB9" w:rsidRPr="0000535C">
        <w:t>5</w:t>
      </w:r>
      <w:r w:rsidR="007733B5" w:rsidRPr="0000535C">
        <w:t>22</w:t>
      </w:r>
      <w:r w:rsidRPr="0000535C">
        <w:t xml:space="preserve"> is for a T</w:t>
      </w:r>
      <w:r w:rsidR="00333BB9" w:rsidRPr="0000535C">
        <w:t>AVI</w:t>
      </w:r>
      <w:r w:rsidRPr="0000535C">
        <w:t xml:space="preserve"> service for the treatment of </w:t>
      </w:r>
      <w:r w:rsidR="00333BB9" w:rsidRPr="0000535C">
        <w:t xml:space="preserve">symptomatic severe </w:t>
      </w:r>
      <w:r w:rsidR="001C24A1" w:rsidRPr="0000535C">
        <w:t xml:space="preserve">native calcific </w:t>
      </w:r>
      <w:r w:rsidR="00333BB9" w:rsidRPr="0000535C">
        <w:t>aortic</w:t>
      </w:r>
      <w:r w:rsidR="00A24609" w:rsidRPr="0000535C">
        <w:t xml:space="preserve"> stenosis</w:t>
      </w:r>
      <w:r w:rsidR="00333BB9" w:rsidRPr="0000535C">
        <w:t xml:space="preserve"> </w:t>
      </w:r>
      <w:r w:rsidRPr="0000535C">
        <w:t xml:space="preserve">in a suitable patient </w:t>
      </w:r>
      <w:r w:rsidR="00A24609" w:rsidRPr="0000535C">
        <w:t xml:space="preserve">who has been </w:t>
      </w:r>
      <w:r w:rsidRPr="0000535C">
        <w:t>formally assessed to have a</w:t>
      </w:r>
      <w:r w:rsidR="00424954" w:rsidRPr="0000535C">
        <w:t xml:space="preserve"> low </w:t>
      </w:r>
      <w:r w:rsidR="00333BB9" w:rsidRPr="0000535C">
        <w:t>risk</w:t>
      </w:r>
      <w:r w:rsidRPr="0000535C">
        <w:t xml:space="preserve"> for </w:t>
      </w:r>
      <w:r w:rsidR="00333BB9" w:rsidRPr="0000535C">
        <w:t xml:space="preserve">open </w:t>
      </w:r>
      <w:r w:rsidR="00043100" w:rsidRPr="0000535C">
        <w:t>SAVR.</w:t>
      </w:r>
      <w:r w:rsidRPr="0000535C">
        <w:t xml:space="preserve"> </w:t>
      </w:r>
      <w:r w:rsidR="0037629D" w:rsidRPr="0000535C">
        <w:t>MBS item 384</w:t>
      </w:r>
      <w:r w:rsidR="00333BB9" w:rsidRPr="0000535C">
        <w:t>95 continues to provide for a TAVI</w:t>
      </w:r>
      <w:r w:rsidR="009B6B94" w:rsidRPr="0000535C">
        <w:t xml:space="preserve"> </w:t>
      </w:r>
      <w:r w:rsidRPr="0000535C">
        <w:t>service for</w:t>
      </w:r>
      <w:r w:rsidR="00333BB9" w:rsidRPr="0000535C">
        <w:t xml:space="preserve"> symptomatic severe aortic</w:t>
      </w:r>
      <w:r w:rsidR="00A24609" w:rsidRPr="0000535C">
        <w:t xml:space="preserve"> stenosis</w:t>
      </w:r>
      <w:r w:rsidR="00333BB9" w:rsidRPr="0000535C">
        <w:t xml:space="preserve"> in a suitable patient formally assessed to have </w:t>
      </w:r>
      <w:r w:rsidR="00963FFE" w:rsidRPr="0000535C">
        <w:t xml:space="preserve">a </w:t>
      </w:r>
      <w:r w:rsidR="00333BB9" w:rsidRPr="0000535C">
        <w:t xml:space="preserve">high risk for open </w:t>
      </w:r>
      <w:r w:rsidR="00043100" w:rsidRPr="0000535C">
        <w:t>SAVR</w:t>
      </w:r>
      <w:r w:rsidR="00A24609" w:rsidRPr="0000535C">
        <w:t>.</w:t>
      </w:r>
      <w:r w:rsidR="00424954" w:rsidRPr="0000535C">
        <w:t xml:space="preserve"> MBS item 38514 continues to provide for a TAVI service for symptomatic severe aortic stenosis in a suitable patient formally assessed to have an intermediate risk for open </w:t>
      </w:r>
      <w:r w:rsidR="00043100" w:rsidRPr="0000535C">
        <w:t>SAVR</w:t>
      </w:r>
      <w:r w:rsidR="00424954" w:rsidRPr="0000535C">
        <w:t>.</w:t>
      </w:r>
    </w:p>
    <w:p w14:paraId="437CF751" w14:textId="6C0796A9" w:rsidR="007A2613" w:rsidRPr="0000535C" w:rsidRDefault="00494279" w:rsidP="00967A39">
      <w:pPr>
        <w:rPr>
          <w:bCs/>
          <w:iCs/>
          <w:lang w:eastAsia="en-AU"/>
        </w:rPr>
      </w:pPr>
      <w:r w:rsidRPr="0000535C">
        <w:t xml:space="preserve">In order to attract a Medicare </w:t>
      </w:r>
      <w:r w:rsidR="00A24609" w:rsidRPr="0000535C">
        <w:t>be</w:t>
      </w:r>
      <w:r w:rsidRPr="0000535C">
        <w:t xml:space="preserve">nefit, the patient’s eligibility for the </w:t>
      </w:r>
      <w:r w:rsidR="00E47521" w:rsidRPr="0000535C">
        <w:t xml:space="preserve">TAVI </w:t>
      </w:r>
      <w:r w:rsidRPr="0000535C">
        <w:t xml:space="preserve">services is to be approved through a </w:t>
      </w:r>
      <w:r w:rsidR="00E47521" w:rsidRPr="0000535C">
        <w:t xml:space="preserve">TAVI </w:t>
      </w:r>
      <w:r w:rsidRPr="0000535C">
        <w:t xml:space="preserve">case conference, and the service </w:t>
      </w:r>
      <w:r w:rsidR="00220B06" w:rsidRPr="0000535C">
        <w:t>must</w:t>
      </w:r>
      <w:r w:rsidRPr="0000535C">
        <w:t xml:space="preserve"> be performed by an interventional cardiologist or a cardiothoracic surgeon who has been accredited by the </w:t>
      </w:r>
      <w:r w:rsidR="00E47521" w:rsidRPr="0000535C">
        <w:t xml:space="preserve">TAVI </w:t>
      </w:r>
      <w:r w:rsidRPr="0000535C">
        <w:t xml:space="preserve">Accreditation Committee and performed at a hospital </w:t>
      </w:r>
      <w:r w:rsidR="007B47FF" w:rsidRPr="0000535C">
        <w:t xml:space="preserve">accredited by the </w:t>
      </w:r>
      <w:r w:rsidR="00E47521" w:rsidRPr="0000535C">
        <w:t xml:space="preserve">TAVI </w:t>
      </w:r>
      <w:r w:rsidR="007B47FF" w:rsidRPr="0000535C">
        <w:t>Accreditation Committee as a</w:t>
      </w:r>
      <w:r w:rsidRPr="0000535C">
        <w:rPr>
          <w:bCs/>
          <w:iCs/>
          <w:lang w:eastAsia="en-AU"/>
        </w:rPr>
        <w:t xml:space="preserve"> suitable</w:t>
      </w:r>
      <w:r w:rsidR="007B47FF" w:rsidRPr="0000535C">
        <w:rPr>
          <w:bCs/>
          <w:iCs/>
          <w:lang w:eastAsia="en-AU"/>
        </w:rPr>
        <w:t xml:space="preserve"> hospital for the service</w:t>
      </w:r>
      <w:r w:rsidRPr="0000535C">
        <w:rPr>
          <w:bCs/>
          <w:iCs/>
          <w:lang w:eastAsia="en-AU"/>
        </w:rPr>
        <w:t>.</w:t>
      </w:r>
    </w:p>
    <w:p w14:paraId="2C28AD2D" w14:textId="77777777" w:rsidR="00C72C2D" w:rsidRPr="00944B72" w:rsidRDefault="002845AF" w:rsidP="007431EE">
      <w:pPr>
        <w:pStyle w:val="Heading2"/>
      </w:pPr>
      <w:r w:rsidRPr="00944B72">
        <w:t>What are the eligiblity requirements</w:t>
      </w:r>
      <w:r w:rsidR="0037629D" w:rsidRPr="00944B72">
        <w:t>?</w:t>
      </w:r>
    </w:p>
    <w:p w14:paraId="2ADB96EC" w14:textId="2004CC52" w:rsidR="007A2613" w:rsidRPr="0000535C" w:rsidRDefault="00BF222B" w:rsidP="00967A39">
      <w:r w:rsidRPr="0000535C">
        <w:t>P</w:t>
      </w:r>
      <w:r w:rsidR="002845AF" w:rsidRPr="0000535C">
        <w:t>atients who have been formally assessed as having a high</w:t>
      </w:r>
      <w:r w:rsidR="000B05E6" w:rsidRPr="0000535C">
        <w:t>,</w:t>
      </w:r>
      <w:r w:rsidR="009C53E8" w:rsidRPr="0000535C">
        <w:t xml:space="preserve"> </w:t>
      </w:r>
      <w:r w:rsidR="00361DC9" w:rsidRPr="0000535C">
        <w:t>intermediate,</w:t>
      </w:r>
      <w:r w:rsidR="000B05E6" w:rsidRPr="0000535C">
        <w:t xml:space="preserve"> or low</w:t>
      </w:r>
      <w:r w:rsidR="009C53E8" w:rsidRPr="0000535C">
        <w:t xml:space="preserve"> risk </w:t>
      </w:r>
      <w:r w:rsidR="002845AF" w:rsidRPr="0000535C">
        <w:t xml:space="preserve">for </w:t>
      </w:r>
      <w:r w:rsidR="009C53E8" w:rsidRPr="0000535C">
        <w:t xml:space="preserve">open </w:t>
      </w:r>
      <w:r w:rsidR="00043100" w:rsidRPr="0000535C">
        <w:t>SAVR</w:t>
      </w:r>
      <w:r w:rsidR="002845AF" w:rsidRPr="0000535C">
        <w:t xml:space="preserve"> will be eligible </w:t>
      </w:r>
      <w:r w:rsidR="009C53E8" w:rsidRPr="0000535C">
        <w:rPr>
          <w:rFonts w:asciiTheme="minorHAnsi" w:hAnsiTheme="minorHAnsi" w:cstheme="minorHAnsi"/>
          <w:spacing w:val="5"/>
          <w:szCs w:val="20"/>
          <w:shd w:val="clear" w:color="auto" w:fill="FFFFFF"/>
        </w:rPr>
        <w:t>for a TAVI</w:t>
      </w:r>
      <w:r w:rsidR="009B6B94" w:rsidRPr="0000535C">
        <w:rPr>
          <w:rFonts w:asciiTheme="minorHAnsi" w:hAnsiTheme="minorHAnsi" w:cstheme="minorHAnsi"/>
          <w:spacing w:val="5"/>
          <w:szCs w:val="20"/>
          <w:shd w:val="clear" w:color="auto" w:fill="FFFFFF"/>
        </w:rPr>
        <w:t xml:space="preserve"> </w:t>
      </w:r>
      <w:r w:rsidR="002845AF" w:rsidRPr="0000535C">
        <w:rPr>
          <w:rFonts w:asciiTheme="minorHAnsi" w:hAnsiTheme="minorHAnsi" w:cstheme="minorHAnsi"/>
          <w:spacing w:val="5"/>
          <w:szCs w:val="20"/>
          <w:shd w:val="clear" w:color="auto" w:fill="FFFFFF"/>
        </w:rPr>
        <w:t>implant</w:t>
      </w:r>
      <w:r w:rsidR="002845AF" w:rsidRPr="0000535C">
        <w:t xml:space="preserve">. Practitioners are required to assess the patient suitability through a </w:t>
      </w:r>
      <w:r w:rsidR="009C53E8" w:rsidRPr="0000535C">
        <w:t>TAVI suitability case conference</w:t>
      </w:r>
      <w:r w:rsidR="002845AF" w:rsidRPr="0000535C">
        <w:t xml:space="preserve">.  </w:t>
      </w:r>
    </w:p>
    <w:p w14:paraId="4539979A" w14:textId="49F27A44" w:rsidR="00791767" w:rsidRPr="00944B72" w:rsidRDefault="0037629D" w:rsidP="007431EE">
      <w:pPr>
        <w:pStyle w:val="Heading2"/>
      </w:pPr>
      <w:r w:rsidRPr="00944B72">
        <w:t>What is a T</w:t>
      </w:r>
      <w:r w:rsidR="009C53E8" w:rsidRPr="00944B72">
        <w:t>AVI</w:t>
      </w:r>
      <w:r w:rsidRPr="00944B72">
        <w:t xml:space="preserve"> suitability case conference?</w:t>
      </w:r>
      <w:r w:rsidR="00601A0A" w:rsidRPr="00944B72">
        <w:t xml:space="preserve"> </w:t>
      </w:r>
    </w:p>
    <w:p w14:paraId="4D79CDCE" w14:textId="6BFFD7A0" w:rsidR="008E6889" w:rsidRPr="0000535C" w:rsidRDefault="008E6889" w:rsidP="00416183">
      <w:r w:rsidRPr="0000535C">
        <w:t xml:space="preserve">A </w:t>
      </w:r>
      <w:r w:rsidR="009C53E8" w:rsidRPr="0000535C">
        <w:t>TAVI</w:t>
      </w:r>
      <w:r w:rsidRPr="0000535C">
        <w:t xml:space="preserve"> suitability case conference is a process undertaken by a number of specialist (or consultant </w:t>
      </w:r>
      <w:r w:rsidR="00601A0A" w:rsidRPr="0000535C">
        <w:t>physician</w:t>
      </w:r>
      <w:r w:rsidRPr="0000535C">
        <w:t>) medical practitioners to assess and make recommendations regarding a patient’s suitability to receive T</w:t>
      </w:r>
      <w:r w:rsidR="009C53E8" w:rsidRPr="0000535C">
        <w:t>AVI</w:t>
      </w:r>
      <w:r w:rsidRPr="0000535C">
        <w:t xml:space="preserve"> using </w:t>
      </w:r>
      <w:r w:rsidR="009C53E8" w:rsidRPr="0000535C">
        <w:rPr>
          <w:rFonts w:asciiTheme="minorHAnsi" w:hAnsiTheme="minorHAnsi" w:cstheme="minorHAnsi"/>
          <w:spacing w:val="5"/>
          <w:szCs w:val="20"/>
          <w:shd w:val="clear" w:color="auto" w:fill="FFFFFF"/>
        </w:rPr>
        <w:t>the available ARTG listed TAVI implants</w:t>
      </w:r>
      <w:r w:rsidRPr="0000535C">
        <w:t xml:space="preserve">.  </w:t>
      </w:r>
    </w:p>
    <w:p w14:paraId="54D93007" w14:textId="0FFCFCDD" w:rsidR="008E6889" w:rsidRPr="0000535C" w:rsidRDefault="008E6889" w:rsidP="00416183">
      <w:r w:rsidRPr="0000535C">
        <w:t>The T</w:t>
      </w:r>
      <w:r w:rsidR="009C53E8" w:rsidRPr="0000535C">
        <w:t>AVI</w:t>
      </w:r>
      <w:r w:rsidR="009B6B94" w:rsidRPr="0000535C">
        <w:t xml:space="preserve"> </w:t>
      </w:r>
      <w:r w:rsidR="00601A0A" w:rsidRPr="0000535C">
        <w:t>suitability</w:t>
      </w:r>
      <w:r w:rsidRPr="0000535C">
        <w:t xml:space="preserve"> case conference is to include an assessment of:</w:t>
      </w:r>
    </w:p>
    <w:p w14:paraId="2B144E5E" w14:textId="731F2746" w:rsidR="008E6889" w:rsidRPr="0000535C" w:rsidRDefault="008E6889" w:rsidP="00B1489B">
      <w:pPr>
        <w:pStyle w:val="ListParagraph"/>
        <w:numPr>
          <w:ilvl w:val="0"/>
          <w:numId w:val="25"/>
        </w:numPr>
        <w:rPr>
          <w:color w:val="auto"/>
        </w:rPr>
      </w:pPr>
      <w:r w:rsidRPr="0000535C">
        <w:rPr>
          <w:color w:val="auto"/>
        </w:rPr>
        <w:t xml:space="preserve">the patient’s risk and technical suitability for a </w:t>
      </w:r>
      <w:r w:rsidR="00043100" w:rsidRPr="0000535C">
        <w:rPr>
          <w:color w:val="auto"/>
        </w:rPr>
        <w:t>SAVR</w:t>
      </w:r>
      <w:r w:rsidRPr="0000535C">
        <w:rPr>
          <w:color w:val="auto"/>
        </w:rPr>
        <w:t>; and</w:t>
      </w:r>
    </w:p>
    <w:p w14:paraId="342F3AF6" w14:textId="34B7F312" w:rsidR="00963FFE" w:rsidRPr="0000535C" w:rsidRDefault="008E6889" w:rsidP="00B1489B">
      <w:pPr>
        <w:pStyle w:val="ListParagraph"/>
        <w:numPr>
          <w:ilvl w:val="0"/>
          <w:numId w:val="25"/>
        </w:numPr>
        <w:rPr>
          <w:color w:val="auto"/>
        </w:rPr>
      </w:pPr>
      <w:r w:rsidRPr="0000535C">
        <w:rPr>
          <w:color w:val="auto"/>
        </w:rPr>
        <w:t xml:space="preserve">the patient’s cognitive function and frailty. </w:t>
      </w:r>
    </w:p>
    <w:p w14:paraId="72427784" w14:textId="0B56083B" w:rsidR="008E6889" w:rsidRPr="0000535C" w:rsidRDefault="008E6889" w:rsidP="00416183">
      <w:r w:rsidRPr="0000535C">
        <w:t>A T</w:t>
      </w:r>
      <w:r w:rsidR="009C53E8" w:rsidRPr="0000535C">
        <w:t>AVI</w:t>
      </w:r>
      <w:r w:rsidRPr="0000535C">
        <w:t xml:space="preserve"> </w:t>
      </w:r>
      <w:r w:rsidR="00601A0A" w:rsidRPr="0000535C">
        <w:t>suitability</w:t>
      </w:r>
      <w:r w:rsidRPr="0000535C">
        <w:t xml:space="preserve"> case conference must comprise a team of three or more participants including:</w:t>
      </w:r>
    </w:p>
    <w:p w14:paraId="7AEFF5D1" w14:textId="77777777" w:rsidR="008E6889" w:rsidRPr="0000535C" w:rsidRDefault="008E6889" w:rsidP="00B1489B">
      <w:pPr>
        <w:pStyle w:val="ListParagraph"/>
        <w:numPr>
          <w:ilvl w:val="0"/>
          <w:numId w:val="26"/>
        </w:numPr>
        <w:rPr>
          <w:color w:val="auto"/>
        </w:rPr>
      </w:pPr>
      <w:r w:rsidRPr="0000535C">
        <w:rPr>
          <w:color w:val="auto"/>
        </w:rPr>
        <w:t xml:space="preserve">one cardiothoracic surgeon; </w:t>
      </w:r>
    </w:p>
    <w:p w14:paraId="62B63E4C" w14:textId="77777777" w:rsidR="008E6889" w:rsidRPr="0000535C" w:rsidRDefault="008E6889" w:rsidP="00B1489B">
      <w:pPr>
        <w:pStyle w:val="ListParagraph"/>
        <w:numPr>
          <w:ilvl w:val="0"/>
          <w:numId w:val="26"/>
        </w:numPr>
        <w:rPr>
          <w:color w:val="auto"/>
        </w:rPr>
      </w:pPr>
      <w:r w:rsidRPr="0000535C">
        <w:rPr>
          <w:color w:val="auto"/>
        </w:rPr>
        <w:t xml:space="preserve">one interventional cardiologist; and </w:t>
      </w:r>
    </w:p>
    <w:p w14:paraId="0480CEB1" w14:textId="6385E54B" w:rsidR="008E6889" w:rsidRPr="0000535C" w:rsidRDefault="008E6889" w:rsidP="00B1489B">
      <w:pPr>
        <w:pStyle w:val="ListParagraph"/>
        <w:numPr>
          <w:ilvl w:val="0"/>
          <w:numId w:val="26"/>
        </w:numPr>
        <w:rPr>
          <w:color w:val="auto"/>
        </w:rPr>
      </w:pPr>
      <w:r w:rsidRPr="0000535C">
        <w:rPr>
          <w:color w:val="auto"/>
        </w:rPr>
        <w:t xml:space="preserve">one specialist or consultant physician who does not perform the </w:t>
      </w:r>
      <w:r w:rsidR="004C2B68" w:rsidRPr="0000535C">
        <w:rPr>
          <w:color w:val="auto"/>
        </w:rPr>
        <w:t xml:space="preserve">TAVI </w:t>
      </w:r>
      <w:r w:rsidRPr="0000535C">
        <w:rPr>
          <w:color w:val="auto"/>
        </w:rPr>
        <w:t xml:space="preserve">procedure for the patient being assessed. </w:t>
      </w:r>
    </w:p>
    <w:p w14:paraId="5C86110D" w14:textId="1B719842" w:rsidR="008E6889" w:rsidRPr="0000535C" w:rsidRDefault="008E6889" w:rsidP="00416183">
      <w:r w:rsidRPr="0000535C">
        <w:t xml:space="preserve">Either the cardiothoracic </w:t>
      </w:r>
      <w:r w:rsidR="00601A0A" w:rsidRPr="0000535C">
        <w:t>surgeon</w:t>
      </w:r>
      <w:r w:rsidRPr="0000535C">
        <w:t xml:space="preserve"> or the interventional cardiologist who performs the proc</w:t>
      </w:r>
      <w:r w:rsidR="007B53C1" w:rsidRPr="0000535C">
        <w:t>edure associated with items 38</w:t>
      </w:r>
      <w:r w:rsidR="009C53E8" w:rsidRPr="0000535C">
        <w:t>514</w:t>
      </w:r>
      <w:r w:rsidR="000872B3" w:rsidRPr="0000535C">
        <w:t xml:space="preserve">, </w:t>
      </w:r>
      <w:r w:rsidR="007B53C1" w:rsidRPr="0000535C">
        <w:t>384</w:t>
      </w:r>
      <w:r w:rsidR="009C53E8" w:rsidRPr="0000535C">
        <w:t>95</w:t>
      </w:r>
      <w:r w:rsidR="000872B3" w:rsidRPr="0000535C">
        <w:t xml:space="preserve"> or 38522</w:t>
      </w:r>
      <w:r w:rsidR="00C87CBF" w:rsidRPr="0000535C">
        <w:t xml:space="preserve"> and</w:t>
      </w:r>
      <w:r w:rsidR="000872B3" w:rsidRPr="0000535C">
        <w:t xml:space="preserve"> </w:t>
      </w:r>
      <w:r w:rsidRPr="0000535C">
        <w:t>must also be an accredited T</w:t>
      </w:r>
      <w:r w:rsidR="009C53E8" w:rsidRPr="0000535C">
        <w:t>AVI</w:t>
      </w:r>
      <w:r w:rsidRPr="0000535C">
        <w:t xml:space="preserve"> Practitioner. </w:t>
      </w:r>
    </w:p>
    <w:p w14:paraId="1E48F4C5" w14:textId="5F74E546" w:rsidR="008E6889" w:rsidRPr="0000535C" w:rsidRDefault="008E6889" w:rsidP="00416183">
      <w:r w:rsidRPr="0000535C">
        <w:t>More than three participants can be involved in a</w:t>
      </w:r>
      <w:r w:rsidR="007B53C1" w:rsidRPr="0000535C">
        <w:t xml:space="preserve"> </w:t>
      </w:r>
      <w:r w:rsidR="004C2B68" w:rsidRPr="0000535C">
        <w:t xml:space="preserve">TAVI </w:t>
      </w:r>
      <w:r w:rsidR="00601A0A" w:rsidRPr="0000535C">
        <w:t>suitability</w:t>
      </w:r>
      <w:r w:rsidR="007B53C1" w:rsidRPr="0000535C">
        <w:t xml:space="preserve"> case c</w:t>
      </w:r>
      <w:r w:rsidRPr="0000535C">
        <w:t>onfer</w:t>
      </w:r>
      <w:r w:rsidR="00791767" w:rsidRPr="0000535C">
        <w:t xml:space="preserve">ence. </w:t>
      </w:r>
      <w:r w:rsidR="007B53C1" w:rsidRPr="0000535C">
        <w:t>The composition of a T</w:t>
      </w:r>
      <w:r w:rsidR="009C53E8" w:rsidRPr="0000535C">
        <w:t>AVI</w:t>
      </w:r>
      <w:r w:rsidR="007B53C1" w:rsidRPr="0000535C">
        <w:t xml:space="preserve"> </w:t>
      </w:r>
      <w:r w:rsidR="00601A0A" w:rsidRPr="0000535C">
        <w:t>suitability</w:t>
      </w:r>
      <w:r w:rsidR="007B53C1" w:rsidRPr="0000535C">
        <w:t xml:space="preserve"> case c</w:t>
      </w:r>
      <w:r w:rsidRPr="0000535C">
        <w:t xml:space="preserve">onference beyond the above minimum requirements is a matter for the coordinating practitioner </w:t>
      </w:r>
      <w:r w:rsidRPr="0000535C">
        <w:lastRenderedPageBreak/>
        <w:t>based on the individua</w:t>
      </w:r>
      <w:r w:rsidR="00791767" w:rsidRPr="0000535C">
        <w:t>l circumstances of the patient.</w:t>
      </w:r>
      <w:r w:rsidRPr="0000535C">
        <w:t xml:space="preserve"> However, the patient is only eligible to receive a Medicare rebate for one coordinating participant, and two attending participants. </w:t>
      </w:r>
    </w:p>
    <w:p w14:paraId="6FE2E342" w14:textId="1F41FA03" w:rsidR="008E6889" w:rsidRPr="0000535C" w:rsidRDefault="008E6889" w:rsidP="00416183">
      <w:r w:rsidRPr="0000535C">
        <w:t>Medicare rebates w</w:t>
      </w:r>
      <w:r w:rsidR="007B53C1" w:rsidRPr="0000535C">
        <w:t xml:space="preserve">ill only be payable for one </w:t>
      </w:r>
      <w:r w:rsidR="009C53E8" w:rsidRPr="0000535C">
        <w:t>TAVI</w:t>
      </w:r>
      <w:r w:rsidR="007B53C1" w:rsidRPr="0000535C">
        <w:t xml:space="preserve"> case c</w:t>
      </w:r>
      <w:r w:rsidRPr="0000535C">
        <w:t xml:space="preserve">onference, per patient, in a </w:t>
      </w:r>
      <w:r w:rsidR="00A24609" w:rsidRPr="0000535C">
        <w:t>five-year</w:t>
      </w:r>
      <w:r w:rsidRPr="0000535C">
        <w:t xml:space="preserve"> period</w:t>
      </w:r>
      <w:r w:rsidR="007B53C1" w:rsidRPr="0000535C">
        <w:t xml:space="preserve">, whether </w:t>
      </w:r>
      <w:r w:rsidR="00601A0A" w:rsidRPr="0000535C">
        <w:t>associated</w:t>
      </w:r>
      <w:r w:rsidR="007B53C1" w:rsidRPr="0000535C">
        <w:t xml:space="preserve"> with item 38</w:t>
      </w:r>
      <w:r w:rsidR="009C53E8" w:rsidRPr="0000535C">
        <w:t>514</w:t>
      </w:r>
      <w:r w:rsidR="007733B5" w:rsidRPr="0000535C">
        <w:t>,</w:t>
      </w:r>
      <w:r w:rsidR="00C87CBF" w:rsidRPr="0000535C">
        <w:t xml:space="preserve"> </w:t>
      </w:r>
      <w:r w:rsidR="007B53C1" w:rsidRPr="0000535C">
        <w:t>384</w:t>
      </w:r>
      <w:r w:rsidR="009C53E8" w:rsidRPr="0000535C">
        <w:t>95</w:t>
      </w:r>
      <w:r w:rsidR="007733B5" w:rsidRPr="0000535C">
        <w:t xml:space="preserve"> or 38522</w:t>
      </w:r>
      <w:r w:rsidR="00C87CBF" w:rsidRPr="0000535C">
        <w:t>.</w:t>
      </w:r>
    </w:p>
    <w:p w14:paraId="0F2E8E84" w14:textId="3ED1E373" w:rsidR="007A2613" w:rsidRPr="0000535C" w:rsidRDefault="007B53C1" w:rsidP="00416183">
      <w:r w:rsidRPr="0000535C">
        <w:t>While a T</w:t>
      </w:r>
      <w:r w:rsidR="009C53E8" w:rsidRPr="0000535C">
        <w:t>AVI</w:t>
      </w:r>
      <w:r w:rsidRPr="0000535C">
        <w:t xml:space="preserve"> </w:t>
      </w:r>
      <w:r w:rsidR="00601A0A" w:rsidRPr="0000535C">
        <w:t>suitability</w:t>
      </w:r>
      <w:r w:rsidR="008E6889" w:rsidRPr="0000535C">
        <w:t xml:space="preserve"> Case Conference must occur to assess a patient’s suitability, it is not mandatory for a patient to be billed this service in order for a b</w:t>
      </w:r>
      <w:r w:rsidRPr="0000535C">
        <w:t xml:space="preserve">enefit to be paid under the </w:t>
      </w:r>
      <w:r w:rsidR="004C2B68" w:rsidRPr="0000535C">
        <w:t>TAVI</w:t>
      </w:r>
      <w:r w:rsidRPr="0000535C">
        <w:t xml:space="preserve"> procedure items 38</w:t>
      </w:r>
      <w:r w:rsidR="009C53E8" w:rsidRPr="0000535C">
        <w:t>514</w:t>
      </w:r>
      <w:r w:rsidR="007733B5" w:rsidRPr="0000535C">
        <w:t xml:space="preserve">, </w:t>
      </w:r>
      <w:r w:rsidRPr="0000535C">
        <w:t>384</w:t>
      </w:r>
      <w:r w:rsidR="009C53E8" w:rsidRPr="0000535C">
        <w:t>95</w:t>
      </w:r>
      <w:r w:rsidR="007733B5" w:rsidRPr="0000535C">
        <w:t xml:space="preserve"> or 38522</w:t>
      </w:r>
      <w:r w:rsidR="008E6889" w:rsidRPr="0000535C">
        <w:t>.</w:t>
      </w:r>
    </w:p>
    <w:p w14:paraId="081E0598" w14:textId="1EC11562" w:rsidR="008E6889" w:rsidRPr="00944B72" w:rsidRDefault="008E6889" w:rsidP="007431EE">
      <w:pPr>
        <w:pStyle w:val="Heading2"/>
        <w:rPr>
          <w:rFonts w:eastAsiaTheme="majorEastAsia"/>
        </w:rPr>
      </w:pPr>
      <w:r w:rsidRPr="00944B72">
        <w:rPr>
          <w:rFonts w:eastAsiaTheme="majorEastAsia"/>
        </w:rPr>
        <w:t xml:space="preserve">What </w:t>
      </w:r>
      <w:r w:rsidR="007B53C1" w:rsidRPr="00944B72">
        <w:rPr>
          <w:rFonts w:eastAsiaTheme="majorEastAsia"/>
        </w:rPr>
        <w:t>items can be billed for the T</w:t>
      </w:r>
      <w:r w:rsidR="009C53E8" w:rsidRPr="00944B72">
        <w:rPr>
          <w:rFonts w:eastAsiaTheme="majorEastAsia"/>
        </w:rPr>
        <w:t>AVI</w:t>
      </w:r>
      <w:r w:rsidRPr="00944B72">
        <w:rPr>
          <w:rFonts w:eastAsiaTheme="majorEastAsia"/>
        </w:rPr>
        <w:t xml:space="preserve"> Case Conference?</w:t>
      </w:r>
    </w:p>
    <w:p w14:paraId="02C94F12" w14:textId="637E7189" w:rsidR="008E6889" w:rsidRPr="0000535C" w:rsidRDefault="008E6889" w:rsidP="00416183">
      <w:pPr>
        <w:ind w:right="-483"/>
      </w:pPr>
      <w:r w:rsidRPr="0000535C">
        <w:rPr>
          <w:b/>
          <w:u w:val="single"/>
        </w:rPr>
        <w:t>Item 608</w:t>
      </w:r>
      <w:r w:rsidR="009C53E8" w:rsidRPr="0000535C">
        <w:rPr>
          <w:b/>
          <w:u w:val="single"/>
        </w:rPr>
        <w:t>0</w:t>
      </w:r>
      <w:r w:rsidRPr="0000535C">
        <w:t xml:space="preserve"> provides for the </w:t>
      </w:r>
      <w:r w:rsidRPr="0000535C">
        <w:rPr>
          <w:b/>
        </w:rPr>
        <w:t>coordination o</w:t>
      </w:r>
      <w:r w:rsidR="007B53C1" w:rsidRPr="0000535C">
        <w:rPr>
          <w:b/>
        </w:rPr>
        <w:t>f the T</w:t>
      </w:r>
      <w:r w:rsidR="009C53E8" w:rsidRPr="0000535C">
        <w:rPr>
          <w:b/>
        </w:rPr>
        <w:t>AVI</w:t>
      </w:r>
      <w:r w:rsidR="007B53C1" w:rsidRPr="0000535C">
        <w:t xml:space="preserve"> </w:t>
      </w:r>
      <w:r w:rsidR="00601A0A" w:rsidRPr="0000535C">
        <w:t>suitability</w:t>
      </w:r>
      <w:r w:rsidR="007B53C1" w:rsidRPr="0000535C">
        <w:t xml:space="preserve"> case c</w:t>
      </w:r>
      <w:r w:rsidRPr="0000535C">
        <w:t xml:space="preserve">onference and is only payable once per patient in a </w:t>
      </w:r>
      <w:r w:rsidR="00601A0A" w:rsidRPr="0000535C">
        <w:t>five-year</w:t>
      </w:r>
      <w:r w:rsidRPr="0000535C">
        <w:t xml:space="preserve"> period. </w:t>
      </w:r>
    </w:p>
    <w:p w14:paraId="7FEB1783" w14:textId="04D6902E" w:rsidR="008E6889" w:rsidRPr="0000535C" w:rsidRDefault="008E6889" w:rsidP="00416183">
      <w:pPr>
        <w:ind w:right="-483"/>
      </w:pPr>
      <w:r w:rsidRPr="0000535C">
        <w:t xml:space="preserve">The </w:t>
      </w:r>
      <w:r w:rsidR="007B53C1" w:rsidRPr="0000535C">
        <w:t>T</w:t>
      </w:r>
      <w:r w:rsidR="009C53E8" w:rsidRPr="0000535C">
        <w:t>AVI</w:t>
      </w:r>
      <w:r w:rsidR="007B53C1" w:rsidRPr="0000535C">
        <w:t xml:space="preserve"> </w:t>
      </w:r>
      <w:r w:rsidR="00601A0A" w:rsidRPr="0000535C">
        <w:t>suitability</w:t>
      </w:r>
      <w:r w:rsidRPr="0000535C">
        <w:t xml:space="preserve"> Coordinator is responsible for:</w:t>
      </w:r>
    </w:p>
    <w:p w14:paraId="78F202B6" w14:textId="7F77E05F" w:rsidR="008E6889" w:rsidRPr="0000535C" w:rsidRDefault="008E6889" w:rsidP="00B1489B">
      <w:pPr>
        <w:pStyle w:val="ListParagraph"/>
        <w:rPr>
          <w:color w:val="auto"/>
        </w:rPr>
      </w:pPr>
      <w:r w:rsidRPr="0000535C">
        <w:rPr>
          <w:color w:val="auto"/>
        </w:rPr>
        <w:t xml:space="preserve">ensuring that the patient is aware of the purpose </w:t>
      </w:r>
      <w:r w:rsidR="007B53C1" w:rsidRPr="0000535C">
        <w:rPr>
          <w:color w:val="auto"/>
        </w:rPr>
        <w:t>and nature of the patient’s T</w:t>
      </w:r>
      <w:r w:rsidR="009C53E8" w:rsidRPr="0000535C">
        <w:rPr>
          <w:color w:val="auto"/>
        </w:rPr>
        <w:t>AVI</w:t>
      </w:r>
      <w:r w:rsidR="007B53C1" w:rsidRPr="0000535C">
        <w:rPr>
          <w:color w:val="auto"/>
        </w:rPr>
        <w:t xml:space="preserve"> case c</w:t>
      </w:r>
      <w:r w:rsidRPr="0000535C">
        <w:rPr>
          <w:color w:val="auto"/>
        </w:rPr>
        <w:t>onference</w:t>
      </w:r>
      <w:r w:rsidR="007B53C1" w:rsidRPr="0000535C">
        <w:rPr>
          <w:color w:val="auto"/>
        </w:rPr>
        <w:t xml:space="preserve"> and has consented to their T</w:t>
      </w:r>
      <w:r w:rsidR="009C53E8" w:rsidRPr="0000535C">
        <w:rPr>
          <w:color w:val="auto"/>
        </w:rPr>
        <w:t>AVI</w:t>
      </w:r>
      <w:r w:rsidR="007B53C1" w:rsidRPr="0000535C">
        <w:rPr>
          <w:color w:val="auto"/>
        </w:rPr>
        <w:t xml:space="preserve"> case c</w:t>
      </w:r>
      <w:r w:rsidRPr="0000535C">
        <w:rPr>
          <w:color w:val="auto"/>
        </w:rPr>
        <w:t>onference;</w:t>
      </w:r>
    </w:p>
    <w:p w14:paraId="775EF647" w14:textId="77777777" w:rsidR="008E6889" w:rsidRPr="0000535C" w:rsidRDefault="008E6889" w:rsidP="00B1489B">
      <w:pPr>
        <w:pStyle w:val="ListParagraph"/>
        <w:rPr>
          <w:color w:val="auto"/>
        </w:rPr>
      </w:pPr>
      <w:r w:rsidRPr="0000535C">
        <w:rPr>
          <w:color w:val="auto"/>
        </w:rPr>
        <w:t>recording the day the conference was held, and the times the conference started and ended;</w:t>
      </w:r>
    </w:p>
    <w:p w14:paraId="111AECDE" w14:textId="77777777" w:rsidR="008E6889" w:rsidRPr="0000535C" w:rsidRDefault="008E6889" w:rsidP="00B1489B">
      <w:pPr>
        <w:pStyle w:val="ListParagraph"/>
        <w:rPr>
          <w:color w:val="auto"/>
        </w:rPr>
      </w:pPr>
      <w:r w:rsidRPr="0000535C">
        <w:rPr>
          <w:color w:val="auto"/>
        </w:rPr>
        <w:t>recording the names of the participants of the conference;</w:t>
      </w:r>
    </w:p>
    <w:p w14:paraId="50FDC9DA" w14:textId="77777777" w:rsidR="008E6889" w:rsidRPr="0000535C" w:rsidRDefault="008E6889" w:rsidP="00B1489B">
      <w:pPr>
        <w:pStyle w:val="ListParagraph"/>
        <w:rPr>
          <w:color w:val="auto"/>
        </w:rPr>
      </w:pPr>
      <w:r w:rsidRPr="0000535C">
        <w:rPr>
          <w:color w:val="auto"/>
        </w:rPr>
        <w:t>provision of expertise to inform the recommendation resulting from the case conference;</w:t>
      </w:r>
    </w:p>
    <w:p w14:paraId="33359BCB" w14:textId="34E79F7D" w:rsidR="008E6889" w:rsidRPr="0000535C" w:rsidRDefault="007B53C1" w:rsidP="00B1489B">
      <w:pPr>
        <w:pStyle w:val="ListParagraph"/>
        <w:rPr>
          <w:color w:val="auto"/>
        </w:rPr>
      </w:pPr>
      <w:r w:rsidRPr="0000535C">
        <w:rPr>
          <w:color w:val="auto"/>
        </w:rPr>
        <w:t>recording the details, including</w:t>
      </w:r>
      <w:r w:rsidR="008E6889" w:rsidRPr="0000535C">
        <w:rPr>
          <w:color w:val="auto"/>
        </w:rPr>
        <w:t xml:space="preserve"> the </w:t>
      </w:r>
      <w:r w:rsidRPr="0000535C">
        <w:rPr>
          <w:color w:val="auto"/>
        </w:rPr>
        <w:t>particulars of the assessments of the patient during the T</w:t>
      </w:r>
      <w:r w:rsidR="009C53E8" w:rsidRPr="0000535C">
        <w:rPr>
          <w:color w:val="auto"/>
        </w:rPr>
        <w:t>AVI</w:t>
      </w:r>
      <w:r w:rsidRPr="0000535C">
        <w:rPr>
          <w:color w:val="auto"/>
        </w:rPr>
        <w:t xml:space="preserve"> case conference and</w:t>
      </w:r>
      <w:r w:rsidR="008E6889" w:rsidRPr="0000535C">
        <w:rPr>
          <w:color w:val="auto"/>
        </w:rPr>
        <w:t xml:space="preserve"> the recommendation</w:t>
      </w:r>
      <w:r w:rsidRPr="0000535C">
        <w:rPr>
          <w:color w:val="auto"/>
        </w:rPr>
        <w:t>s</w:t>
      </w:r>
      <w:r w:rsidR="008E6889" w:rsidRPr="0000535C">
        <w:rPr>
          <w:color w:val="auto"/>
        </w:rPr>
        <w:t xml:space="preserve"> resulting from the conference;</w:t>
      </w:r>
    </w:p>
    <w:p w14:paraId="7A21B5DB" w14:textId="4038DD6C" w:rsidR="008A0391" w:rsidRPr="0000535C" w:rsidRDefault="008E6889" w:rsidP="00B1489B">
      <w:pPr>
        <w:pStyle w:val="ListParagraph"/>
        <w:rPr>
          <w:color w:val="auto"/>
        </w:rPr>
      </w:pPr>
      <w:r w:rsidRPr="0000535C">
        <w:rPr>
          <w:color w:val="auto"/>
        </w:rPr>
        <w:t>ensuring that the patient is aware of the recommendation.</w:t>
      </w:r>
    </w:p>
    <w:p w14:paraId="52AD9B07" w14:textId="34DE455E" w:rsidR="008E6889" w:rsidRPr="0000535C" w:rsidRDefault="007B53C1" w:rsidP="00416183">
      <w:pPr>
        <w:ind w:right="-483"/>
      </w:pPr>
      <w:r w:rsidRPr="0000535C">
        <w:t>Where the T</w:t>
      </w:r>
      <w:r w:rsidR="009C53E8" w:rsidRPr="0000535C">
        <w:t>AVI</w:t>
      </w:r>
      <w:r w:rsidR="00161CDF" w:rsidRPr="0000535C">
        <w:t xml:space="preserve"> c</w:t>
      </w:r>
      <w:r w:rsidR="008E6889" w:rsidRPr="0000535C">
        <w:t xml:space="preserve">oordinator is not the patients treating practitioner, they should liaise with the treating practitioner to ensure the patient has been properly informed. </w:t>
      </w:r>
    </w:p>
    <w:p w14:paraId="692135D4" w14:textId="3E82729D" w:rsidR="008E6889" w:rsidRPr="0000535C" w:rsidRDefault="008E6889" w:rsidP="00416183">
      <w:r w:rsidRPr="0000535C">
        <w:rPr>
          <w:b/>
          <w:u w:val="single"/>
        </w:rPr>
        <w:t>Item 608</w:t>
      </w:r>
      <w:r w:rsidR="009C53E8" w:rsidRPr="0000535C">
        <w:rPr>
          <w:b/>
          <w:u w:val="single"/>
        </w:rPr>
        <w:t>1</w:t>
      </w:r>
      <w:r w:rsidRPr="0000535C">
        <w:t xml:space="preserve"> provides for </w:t>
      </w:r>
      <w:r w:rsidRPr="0000535C">
        <w:rPr>
          <w:b/>
        </w:rPr>
        <w:t>attendance</w:t>
      </w:r>
      <w:r w:rsidR="00161CDF" w:rsidRPr="0000535C">
        <w:t xml:space="preserve"> at a T</w:t>
      </w:r>
      <w:r w:rsidR="009C53E8" w:rsidRPr="0000535C">
        <w:t>AVI</w:t>
      </w:r>
      <w:r w:rsidR="00161CDF" w:rsidRPr="0000535C">
        <w:t xml:space="preserve"> </w:t>
      </w:r>
      <w:r w:rsidR="00601A0A" w:rsidRPr="0000535C">
        <w:t>suitability</w:t>
      </w:r>
      <w:r w:rsidRPr="0000535C">
        <w:t xml:space="preserve"> case conference by a specialist or consultant physician who attended but did not coordinate the conference. This item is only payable twice per patient in a </w:t>
      </w:r>
      <w:r w:rsidR="00601A0A" w:rsidRPr="0000535C">
        <w:t>five-year</w:t>
      </w:r>
      <w:r w:rsidRPr="0000535C">
        <w:t xml:space="preserve"> period.</w:t>
      </w:r>
    </w:p>
    <w:p w14:paraId="6ED6B88E" w14:textId="2D73D00C" w:rsidR="00DB428C" w:rsidRPr="0000535C" w:rsidRDefault="008E6889" w:rsidP="00416183">
      <w:r w:rsidRPr="0000535C">
        <w:t>An attending participant is responsible for:</w:t>
      </w:r>
    </w:p>
    <w:p w14:paraId="3292034D" w14:textId="4EDCDEE5" w:rsidR="008A0391" w:rsidRPr="0000535C" w:rsidRDefault="008E6889" w:rsidP="00B1489B">
      <w:pPr>
        <w:pStyle w:val="ListParagraph"/>
        <w:numPr>
          <w:ilvl w:val="0"/>
          <w:numId w:val="41"/>
        </w:numPr>
        <w:rPr>
          <w:color w:val="auto"/>
        </w:rPr>
      </w:pPr>
      <w:r w:rsidRPr="0000535C">
        <w:rPr>
          <w:color w:val="auto"/>
        </w:rPr>
        <w:t>provision of expertise to inform the</w:t>
      </w:r>
      <w:r w:rsidR="00161CDF" w:rsidRPr="0000535C">
        <w:rPr>
          <w:color w:val="auto"/>
        </w:rPr>
        <w:t xml:space="preserve"> assessment of the patient and the</w:t>
      </w:r>
      <w:r w:rsidRPr="0000535C">
        <w:rPr>
          <w:color w:val="auto"/>
        </w:rPr>
        <w:t xml:space="preserve"> recommendation</w:t>
      </w:r>
      <w:r w:rsidR="00161CDF" w:rsidRPr="0000535C">
        <w:rPr>
          <w:color w:val="auto"/>
        </w:rPr>
        <w:t>s</w:t>
      </w:r>
      <w:r w:rsidRPr="0000535C">
        <w:rPr>
          <w:color w:val="auto"/>
        </w:rPr>
        <w:t xml:space="preserve"> resulting from the case conference</w:t>
      </w:r>
    </w:p>
    <w:p w14:paraId="05F05DEC" w14:textId="0828C4A4" w:rsidR="008E6889" w:rsidRPr="00944B72" w:rsidRDefault="00161CDF" w:rsidP="007431EE">
      <w:pPr>
        <w:pStyle w:val="Heading2"/>
      </w:pPr>
      <w:r w:rsidRPr="00944B72">
        <w:t>Who can perform a T</w:t>
      </w:r>
      <w:r w:rsidR="004C2B68" w:rsidRPr="00944B72">
        <w:t>AVI</w:t>
      </w:r>
      <w:r w:rsidR="008E6889" w:rsidRPr="00944B72">
        <w:t xml:space="preserve"> procedure?  </w:t>
      </w:r>
    </w:p>
    <w:p w14:paraId="70613435" w14:textId="0FF4C046" w:rsidR="001C24A1" w:rsidRPr="0000535C" w:rsidRDefault="00161CDF" w:rsidP="00416183">
      <w:r w:rsidRPr="0000535C">
        <w:t>A T</w:t>
      </w:r>
      <w:r w:rsidR="009C53E8" w:rsidRPr="0000535C">
        <w:t>AVI</w:t>
      </w:r>
      <w:r w:rsidR="008E6889" w:rsidRPr="0000535C">
        <w:t xml:space="preserve"> Practitioner can be either a cardiothoracic surgeon or interventional cardiologi</w:t>
      </w:r>
      <w:r w:rsidRPr="0000535C">
        <w:t>st who is accredited by the T</w:t>
      </w:r>
      <w:r w:rsidR="009C53E8" w:rsidRPr="0000535C">
        <w:t>AVI</w:t>
      </w:r>
      <w:r w:rsidRPr="0000535C">
        <w:t xml:space="preserve"> Accreditation Committee</w:t>
      </w:r>
      <w:r w:rsidR="008E6889" w:rsidRPr="0000535C">
        <w:t xml:space="preserve">. </w:t>
      </w:r>
    </w:p>
    <w:p w14:paraId="3B8102E4" w14:textId="5F58A6EA" w:rsidR="00B1489B" w:rsidRDefault="00B1489B" w:rsidP="00416183">
      <w:pPr>
        <w:rPr>
          <w:color w:val="002060"/>
        </w:rPr>
      </w:pPr>
    </w:p>
    <w:p w14:paraId="670840CA" w14:textId="42AA60CC" w:rsidR="00B1489B" w:rsidRDefault="00B1489B" w:rsidP="00416183">
      <w:pPr>
        <w:rPr>
          <w:color w:val="002060"/>
        </w:rPr>
      </w:pPr>
    </w:p>
    <w:p w14:paraId="1D503CAA" w14:textId="77777777" w:rsidR="00B1489B" w:rsidRPr="00944B72" w:rsidRDefault="00B1489B" w:rsidP="00416183">
      <w:pPr>
        <w:rPr>
          <w:color w:val="002060"/>
        </w:rPr>
      </w:pPr>
    </w:p>
    <w:p w14:paraId="6039E83D" w14:textId="2E107F93" w:rsidR="008E6889" w:rsidRPr="00944B72" w:rsidRDefault="008E6889" w:rsidP="007431EE">
      <w:pPr>
        <w:pStyle w:val="Heading2"/>
      </w:pPr>
      <w:r w:rsidRPr="00944B72">
        <w:lastRenderedPageBreak/>
        <w:t xml:space="preserve">What is the role and function of the </w:t>
      </w:r>
      <w:r w:rsidR="00161CDF" w:rsidRPr="00944B72">
        <w:t>T</w:t>
      </w:r>
      <w:r w:rsidR="009C53E8" w:rsidRPr="00944B72">
        <w:t>AVI</w:t>
      </w:r>
      <w:r w:rsidR="00161CDF" w:rsidRPr="00944B72">
        <w:t xml:space="preserve"> Accred</w:t>
      </w:r>
      <w:r w:rsidR="009C53E8" w:rsidRPr="00944B72">
        <w:t>i</w:t>
      </w:r>
      <w:r w:rsidR="00161CDF" w:rsidRPr="00944B72">
        <w:t>tation Committee</w:t>
      </w:r>
      <w:r w:rsidRPr="00944B72">
        <w:t xml:space="preserve">? </w:t>
      </w:r>
    </w:p>
    <w:p w14:paraId="288F4746" w14:textId="290E9F8A" w:rsidR="008E6889" w:rsidRPr="0000535C" w:rsidRDefault="00161CDF" w:rsidP="00416183">
      <w:r w:rsidRPr="0000535C">
        <w:t>The T</w:t>
      </w:r>
      <w:r w:rsidR="009C53E8" w:rsidRPr="0000535C">
        <w:t>AVI</w:t>
      </w:r>
      <w:r w:rsidRPr="0000535C">
        <w:t xml:space="preserve"> </w:t>
      </w:r>
      <w:r w:rsidR="00601A0A" w:rsidRPr="0000535C">
        <w:t>Accreditation</w:t>
      </w:r>
      <w:r w:rsidRPr="0000535C">
        <w:t xml:space="preserve"> </w:t>
      </w:r>
      <w:r w:rsidR="00601A0A" w:rsidRPr="0000535C">
        <w:t>Committee</w:t>
      </w:r>
      <w:r w:rsidR="008E6889" w:rsidRPr="0000535C">
        <w:t xml:space="preserve"> is responsible for developing the processes and criteria for the accr</w:t>
      </w:r>
      <w:r w:rsidRPr="0000535C">
        <w:t>editation of T</w:t>
      </w:r>
      <w:r w:rsidR="009C53E8" w:rsidRPr="0000535C">
        <w:t>AVI</w:t>
      </w:r>
      <w:r w:rsidR="008E6889" w:rsidRPr="0000535C">
        <w:t xml:space="preserve"> Practitioners; the setti</w:t>
      </w:r>
      <w:r w:rsidRPr="0000535C">
        <w:t>ng of minimum standards and accreditation of T</w:t>
      </w:r>
      <w:r w:rsidR="009C53E8" w:rsidRPr="0000535C">
        <w:t>AVI</w:t>
      </w:r>
      <w:r w:rsidR="008E6889" w:rsidRPr="0000535C">
        <w:t xml:space="preserve"> Hospitals; </w:t>
      </w:r>
      <w:r w:rsidRPr="0000535C">
        <w:t>and accrediting T</w:t>
      </w:r>
      <w:r w:rsidR="009C53E8" w:rsidRPr="0000535C">
        <w:t>AVI</w:t>
      </w:r>
      <w:r w:rsidRPr="0000535C">
        <w:t xml:space="preserve"> </w:t>
      </w:r>
      <w:r w:rsidR="008E6889" w:rsidRPr="0000535C">
        <w:t xml:space="preserve">Practitioners. </w:t>
      </w:r>
    </w:p>
    <w:p w14:paraId="7A476D32" w14:textId="77225622" w:rsidR="00B1489B" w:rsidRPr="0000535C" w:rsidRDefault="00161CDF" w:rsidP="00416183">
      <w:r w:rsidRPr="0000535C">
        <w:t>The T</w:t>
      </w:r>
      <w:r w:rsidR="009C53E8" w:rsidRPr="0000535C">
        <w:t>AVI</w:t>
      </w:r>
      <w:r w:rsidRPr="0000535C">
        <w:t xml:space="preserve"> </w:t>
      </w:r>
      <w:r w:rsidR="00601A0A" w:rsidRPr="0000535C">
        <w:t>Accreditation</w:t>
      </w:r>
      <w:r w:rsidRPr="0000535C">
        <w:t xml:space="preserve"> Committee (under the incorporated entity Cardiac </w:t>
      </w:r>
      <w:r w:rsidR="00601A0A" w:rsidRPr="0000535C">
        <w:t>Accreditation</w:t>
      </w:r>
      <w:r w:rsidRPr="0000535C">
        <w:t xml:space="preserve"> Services Limited)</w:t>
      </w:r>
      <w:r w:rsidR="008E6889" w:rsidRPr="0000535C">
        <w:t xml:space="preserve"> is comprised of representatives from the Australian &amp; New Zealand Society of Cardiac &amp; Thoracic Surgeons (ANZSCTS) and the Cardiac Society of Australia and New Zealand (CSANZ).</w:t>
      </w:r>
    </w:p>
    <w:p w14:paraId="79BAED0B" w14:textId="18F1C803" w:rsidR="008E6889" w:rsidRPr="00944B72" w:rsidRDefault="008E6889" w:rsidP="007431EE">
      <w:pPr>
        <w:pStyle w:val="Heading2"/>
      </w:pPr>
      <w:r w:rsidRPr="00944B72">
        <w:t>What are the accre</w:t>
      </w:r>
      <w:r w:rsidR="00161CDF" w:rsidRPr="00944B72">
        <w:t>ditation requirements for T</w:t>
      </w:r>
      <w:r w:rsidR="009C53E8" w:rsidRPr="00944B72">
        <w:t>AVI</w:t>
      </w:r>
      <w:r w:rsidRPr="00944B72">
        <w:t xml:space="preserve"> Practitioners? </w:t>
      </w:r>
    </w:p>
    <w:p w14:paraId="1324C1FA" w14:textId="3241D462" w:rsidR="008E6889" w:rsidRPr="0000535C" w:rsidRDefault="00161CDF" w:rsidP="00416183">
      <w:r w:rsidRPr="0000535C">
        <w:t>The T</w:t>
      </w:r>
      <w:r w:rsidR="009C53E8" w:rsidRPr="0000535C">
        <w:t>AVI</w:t>
      </w:r>
      <w:r w:rsidRPr="0000535C">
        <w:t xml:space="preserve"> </w:t>
      </w:r>
      <w:r w:rsidR="00601A0A" w:rsidRPr="0000535C">
        <w:t>Accreditation</w:t>
      </w:r>
      <w:r w:rsidRPr="0000535C">
        <w:t xml:space="preserve"> Committee</w:t>
      </w:r>
      <w:r w:rsidR="008E6889" w:rsidRPr="0000535C">
        <w:t xml:space="preserve"> set</w:t>
      </w:r>
      <w:r w:rsidRPr="0000535C">
        <w:t>s</w:t>
      </w:r>
      <w:r w:rsidR="008E6889" w:rsidRPr="0000535C">
        <w:t xml:space="preserve"> the minimum standards and volume requirements that need to be met</w:t>
      </w:r>
      <w:r w:rsidRPr="0000535C">
        <w:t xml:space="preserve"> for accreditation as a T</w:t>
      </w:r>
      <w:r w:rsidR="002B39E6" w:rsidRPr="0000535C">
        <w:t>AVI</w:t>
      </w:r>
      <w:r w:rsidR="008E6889" w:rsidRPr="0000535C">
        <w:t xml:space="preserve"> Practitioner.  </w:t>
      </w:r>
    </w:p>
    <w:p w14:paraId="04324B7F" w14:textId="491AB008" w:rsidR="008E6889" w:rsidRPr="0000535C" w:rsidRDefault="00161CDF" w:rsidP="00416183">
      <w:r w:rsidRPr="0000535C">
        <w:t>T</w:t>
      </w:r>
      <w:r w:rsidR="002B39E6" w:rsidRPr="0000535C">
        <w:t>AVI</w:t>
      </w:r>
      <w:r w:rsidRPr="0000535C">
        <w:t xml:space="preserve"> </w:t>
      </w:r>
      <w:r w:rsidR="00601A0A" w:rsidRPr="0000535C">
        <w:t>Accreditation</w:t>
      </w:r>
      <w:r w:rsidRPr="0000535C">
        <w:t xml:space="preserve"> Committee notifies Services Australia</w:t>
      </w:r>
      <w:r w:rsidR="008E6889" w:rsidRPr="0000535C">
        <w:t xml:space="preserve"> of accredited </w:t>
      </w:r>
      <w:r w:rsidRPr="0000535C">
        <w:t>T</w:t>
      </w:r>
      <w:r w:rsidR="002B39E6" w:rsidRPr="0000535C">
        <w:t>AVI</w:t>
      </w:r>
      <w:r w:rsidR="008E6889" w:rsidRPr="0000535C">
        <w:t xml:space="preserve"> Practitioners and the facilities in which they operate from. It is imp</w:t>
      </w:r>
      <w:r w:rsidRPr="0000535C">
        <w:t>ortant to note that it is a T</w:t>
      </w:r>
      <w:r w:rsidR="002B39E6" w:rsidRPr="0000535C">
        <w:t>AVI</w:t>
      </w:r>
      <w:r w:rsidR="008E6889" w:rsidRPr="0000535C">
        <w:t xml:space="preserve"> Practitioner’s responsibility to notif</w:t>
      </w:r>
      <w:r w:rsidRPr="0000535C">
        <w:t xml:space="preserve">y the </w:t>
      </w:r>
      <w:r w:rsidR="00967A39" w:rsidRPr="0000535C">
        <w:t>TAVI</w:t>
      </w:r>
      <w:r w:rsidRPr="0000535C">
        <w:t xml:space="preserve"> </w:t>
      </w:r>
      <w:r w:rsidR="00601A0A" w:rsidRPr="0000535C">
        <w:t>Accreditation</w:t>
      </w:r>
      <w:r w:rsidRPr="0000535C">
        <w:t xml:space="preserve"> Committee of every T</w:t>
      </w:r>
      <w:r w:rsidR="002B39E6" w:rsidRPr="0000535C">
        <w:t>AVI</w:t>
      </w:r>
      <w:r w:rsidR="008E6889" w:rsidRPr="0000535C">
        <w:t xml:space="preserve"> Hospital they are operating in, over the life of their accreditation.</w:t>
      </w:r>
    </w:p>
    <w:p w14:paraId="0D0CCD6D" w14:textId="67D71C1B" w:rsidR="007A2613" w:rsidRPr="00944B72" w:rsidRDefault="008E6889" w:rsidP="00416183">
      <w:pPr>
        <w:rPr>
          <w:color w:val="002060"/>
        </w:rPr>
      </w:pPr>
      <w:r w:rsidRPr="0000535C">
        <w:t>Detailed accreditation requirements</w:t>
      </w:r>
      <w:r w:rsidR="00791767" w:rsidRPr="0000535C">
        <w:t xml:space="preserve"> and further information is available by contacting the </w:t>
      </w:r>
      <w:r w:rsidR="00772813" w:rsidRPr="0000535C">
        <w:t>T</w:t>
      </w:r>
      <w:r w:rsidR="002B39E6" w:rsidRPr="0000535C">
        <w:t>AVI</w:t>
      </w:r>
      <w:r w:rsidR="00772813" w:rsidRPr="0000535C">
        <w:t xml:space="preserve"> Accreditation Committee</w:t>
      </w:r>
      <w:r w:rsidR="00FC7F86" w:rsidRPr="0000535C">
        <w:t xml:space="preserve"> (Cardiac </w:t>
      </w:r>
      <w:r w:rsidR="00601A0A" w:rsidRPr="0000535C">
        <w:t>Accreditation</w:t>
      </w:r>
      <w:r w:rsidR="00FC7F86" w:rsidRPr="0000535C">
        <w:t xml:space="preserve"> Services Limited)</w:t>
      </w:r>
      <w:r w:rsidR="00791767" w:rsidRPr="0000535C">
        <w:t xml:space="preserve"> at </w:t>
      </w:r>
      <w:hyperlink r:id="rId9" w:history="1">
        <w:r w:rsidR="00791767" w:rsidRPr="00944B72">
          <w:rPr>
            <w:rStyle w:val="Hyperlink"/>
          </w:rPr>
          <w:t>tavi@tavi.org.au</w:t>
        </w:r>
      </w:hyperlink>
      <w:r w:rsidR="00791767" w:rsidRPr="00944B72">
        <w:rPr>
          <w:color w:val="002060"/>
        </w:rPr>
        <w:t xml:space="preserve">. </w:t>
      </w:r>
    </w:p>
    <w:p w14:paraId="3F318B71" w14:textId="1D45D7A8" w:rsidR="008E6889" w:rsidRPr="00944B72" w:rsidRDefault="008E6889" w:rsidP="007431EE">
      <w:pPr>
        <w:pStyle w:val="Heading2"/>
      </w:pPr>
      <w:r w:rsidRPr="00944B72">
        <w:t xml:space="preserve">Where can a </w:t>
      </w:r>
      <w:r w:rsidR="00D0459C" w:rsidRPr="00944B72">
        <w:t>T</w:t>
      </w:r>
      <w:r w:rsidR="002B39E6" w:rsidRPr="00944B72">
        <w:t>AVI</w:t>
      </w:r>
      <w:r w:rsidRPr="00944B72">
        <w:t xml:space="preserve"> procedure take place? </w:t>
      </w:r>
    </w:p>
    <w:p w14:paraId="6ABF3468" w14:textId="0AFB842E" w:rsidR="008E6889" w:rsidRPr="0000535C" w:rsidRDefault="008E6889" w:rsidP="00416183">
      <w:r w:rsidRPr="0000535C">
        <w:t xml:space="preserve">A </w:t>
      </w:r>
      <w:r w:rsidR="00D0459C" w:rsidRPr="0000535C">
        <w:t>T</w:t>
      </w:r>
      <w:r w:rsidR="002B39E6" w:rsidRPr="0000535C">
        <w:t>AVI</w:t>
      </w:r>
      <w:r w:rsidRPr="0000535C">
        <w:t xml:space="preserve"> Hospital is a hospital, as defined by subsection 121-5(5) of the </w:t>
      </w:r>
      <w:r w:rsidRPr="0000535C">
        <w:rPr>
          <w:i/>
        </w:rPr>
        <w:t>Private Health Insurance Act 2007,</w:t>
      </w:r>
      <w:r w:rsidRPr="0000535C">
        <w:t xml:space="preserve"> that is clinically accepted as being a suitable hospital at which T</w:t>
      </w:r>
      <w:r w:rsidR="002B39E6" w:rsidRPr="0000535C">
        <w:t>AVI</w:t>
      </w:r>
      <w:r w:rsidRPr="0000535C">
        <w:t xml:space="preserve"> procedures may be performed.  </w:t>
      </w:r>
    </w:p>
    <w:p w14:paraId="444A6920" w14:textId="24A67BA0" w:rsidR="008E6889" w:rsidRPr="00944B72" w:rsidRDefault="00D0459C" w:rsidP="007431EE">
      <w:pPr>
        <w:pStyle w:val="Heading2"/>
        <w:rPr>
          <w:rFonts w:eastAsiaTheme="majorEastAsia"/>
        </w:rPr>
      </w:pPr>
      <w:r w:rsidRPr="00944B72">
        <w:rPr>
          <w:rFonts w:eastAsiaTheme="majorEastAsia"/>
        </w:rPr>
        <w:t>T</w:t>
      </w:r>
      <w:r w:rsidR="002B39E6" w:rsidRPr="00944B72">
        <w:rPr>
          <w:rFonts w:eastAsiaTheme="majorEastAsia"/>
        </w:rPr>
        <w:t>AVI</w:t>
      </w:r>
      <w:r w:rsidRPr="00944B72">
        <w:rPr>
          <w:rFonts w:eastAsiaTheme="majorEastAsia"/>
        </w:rPr>
        <w:t xml:space="preserve"> </w:t>
      </w:r>
      <w:r w:rsidR="008E6889" w:rsidRPr="00944B72">
        <w:rPr>
          <w:rFonts w:eastAsiaTheme="majorEastAsia"/>
        </w:rPr>
        <w:t xml:space="preserve">medical devices </w:t>
      </w:r>
      <w:r w:rsidR="002B39E6" w:rsidRPr="00944B72">
        <w:rPr>
          <w:rFonts w:eastAsiaTheme="majorEastAsia"/>
        </w:rPr>
        <w:t>and private health insurance coverage.</w:t>
      </w:r>
      <w:r w:rsidR="008E6889" w:rsidRPr="00944B72">
        <w:rPr>
          <w:rFonts w:eastAsiaTheme="majorEastAsia"/>
        </w:rPr>
        <w:t xml:space="preserve"> </w:t>
      </w:r>
    </w:p>
    <w:p w14:paraId="75AFC750" w14:textId="77777777" w:rsidR="008E6889" w:rsidRPr="0000535C" w:rsidRDefault="008E6889" w:rsidP="00416183">
      <w:r w:rsidRPr="0000535C">
        <w:t>The purpose of the Prostheses List is to ensure that privately insured Australians have access to clinically effective prostheses that meet their health care needs.</w:t>
      </w:r>
    </w:p>
    <w:p w14:paraId="2382225F" w14:textId="32360CAC" w:rsidR="00DB428C" w:rsidRPr="0000535C" w:rsidRDefault="008E6889" w:rsidP="00416183">
      <w:r w:rsidRPr="0000535C">
        <w:t xml:space="preserve">The Prostheses List enables surgeons to have access to and choose the optimal prostheses for patients covered by private health insurance. It lists surgically implanted prostheses, human tissue items and other medical devices that private health insurers must pay benefits for when: </w:t>
      </w:r>
    </w:p>
    <w:p w14:paraId="4F8FFFE6" w14:textId="63D3EDDF" w:rsidR="008E6889" w:rsidRPr="0000535C" w:rsidRDefault="008E6889" w:rsidP="00B1489B">
      <w:pPr>
        <w:pStyle w:val="ListParagraph"/>
        <w:rPr>
          <w:color w:val="auto"/>
        </w:rPr>
      </w:pPr>
      <w:r w:rsidRPr="0000535C">
        <w:rPr>
          <w:color w:val="auto"/>
        </w:rPr>
        <w:t xml:space="preserve">they are provided to a patient with appropriate health insurance cover; </w:t>
      </w:r>
    </w:p>
    <w:p w14:paraId="528E9F2F" w14:textId="77777777" w:rsidR="00DB428C" w:rsidRPr="0000535C" w:rsidRDefault="00DB428C" w:rsidP="00B1489B">
      <w:pPr>
        <w:pStyle w:val="ListParagraph"/>
        <w:rPr>
          <w:color w:val="auto"/>
        </w:rPr>
      </w:pPr>
      <w:r w:rsidRPr="0000535C">
        <w:rPr>
          <w:color w:val="auto"/>
        </w:rPr>
        <w:t xml:space="preserve">they are provided as part of hospital treatment or hospital substitute treatment; and </w:t>
      </w:r>
    </w:p>
    <w:p w14:paraId="78833584" w14:textId="0BB0E5D3" w:rsidR="00424954" w:rsidRPr="0000535C" w:rsidRDefault="00DB428C" w:rsidP="00B1489B">
      <w:pPr>
        <w:pStyle w:val="ListParagraph"/>
        <w:rPr>
          <w:color w:val="auto"/>
        </w:rPr>
      </w:pPr>
      <w:r w:rsidRPr="0000535C">
        <w:rPr>
          <w:color w:val="auto"/>
        </w:rPr>
        <w:t>there is a Medicare benefit payable for the professional service associated with the provision of the prosthesis</w:t>
      </w:r>
    </w:p>
    <w:p w14:paraId="4F7128B4" w14:textId="3AD0D4DF" w:rsidR="008E6889" w:rsidRPr="00944B72" w:rsidRDefault="008E6889" w:rsidP="007431EE">
      <w:pPr>
        <w:pStyle w:val="Heading2"/>
        <w:rPr>
          <w:rFonts w:eastAsiaTheme="majorEastAsia"/>
        </w:rPr>
      </w:pPr>
      <w:r w:rsidRPr="00944B72">
        <w:rPr>
          <w:rFonts w:eastAsiaTheme="majorEastAsia"/>
        </w:rPr>
        <w:t xml:space="preserve">Review and monitoring of </w:t>
      </w:r>
      <w:r w:rsidR="00772813" w:rsidRPr="00944B72">
        <w:rPr>
          <w:rFonts w:eastAsiaTheme="majorEastAsia"/>
        </w:rPr>
        <w:t>T</w:t>
      </w:r>
      <w:r w:rsidR="002B39E6" w:rsidRPr="00944B72">
        <w:rPr>
          <w:rFonts w:eastAsiaTheme="majorEastAsia"/>
        </w:rPr>
        <w:t>AVI</w:t>
      </w:r>
      <w:r w:rsidRPr="00944B72">
        <w:rPr>
          <w:rFonts w:eastAsiaTheme="majorEastAsia"/>
        </w:rPr>
        <w:t xml:space="preserve"> Services</w:t>
      </w:r>
    </w:p>
    <w:p w14:paraId="433356CF" w14:textId="47FDCC21" w:rsidR="008E6889" w:rsidRPr="0000535C" w:rsidRDefault="008E6889" w:rsidP="00416183">
      <w:r w:rsidRPr="0000535C">
        <w:t xml:space="preserve">The utilisation of the new </w:t>
      </w:r>
      <w:r w:rsidR="002B39E6" w:rsidRPr="0000535C">
        <w:t xml:space="preserve">and amended </w:t>
      </w:r>
      <w:r w:rsidRPr="0000535C">
        <w:t>T</w:t>
      </w:r>
      <w:r w:rsidR="002B39E6" w:rsidRPr="0000535C">
        <w:t>AVI</w:t>
      </w:r>
      <w:r w:rsidRPr="0000535C">
        <w:t xml:space="preserve"> items, including service volumes, provider and location details, will be monitored closely post implementation to ensure appropriate use of these items. A review will be conducted by the Department of Health on service utilisation at around </w:t>
      </w:r>
      <w:r w:rsidR="00772813" w:rsidRPr="0000535C">
        <w:t>12-24</w:t>
      </w:r>
      <w:r w:rsidRPr="0000535C">
        <w:t xml:space="preserve"> months post listing of these items. </w:t>
      </w:r>
    </w:p>
    <w:p w14:paraId="23961FBD" w14:textId="298E6866" w:rsidR="00791767" w:rsidRPr="0000535C" w:rsidRDefault="008E6889" w:rsidP="00416183">
      <w:r w:rsidRPr="0000535C">
        <w:lastRenderedPageBreak/>
        <w:t xml:space="preserve">In </w:t>
      </w:r>
      <w:r w:rsidR="008A0391" w:rsidRPr="0000535C">
        <w:t>addition,</w:t>
      </w:r>
      <w:r w:rsidRPr="0000535C">
        <w:t xml:space="preserve"> the </w:t>
      </w:r>
      <w:r w:rsidR="00E76327" w:rsidRPr="0000535C">
        <w:t>MSAC</w:t>
      </w:r>
      <w:r w:rsidRPr="0000535C">
        <w:t xml:space="preserve"> has implemented a formal reporting process to monitor the utilisation of MBS items that were positively supported by the MSAC, following at least 24 months since their initial MBS listing. The intent of this process is to</w:t>
      </w:r>
      <w:r w:rsidR="00791767" w:rsidRPr="0000535C">
        <w:t>:</w:t>
      </w:r>
    </w:p>
    <w:p w14:paraId="514C55A6" w14:textId="2C60F39E" w:rsidR="00791767" w:rsidRPr="0000535C" w:rsidRDefault="008E6889" w:rsidP="00FC29C2">
      <w:pPr>
        <w:ind w:left="720"/>
      </w:pPr>
      <w:r w:rsidRPr="0000535C">
        <w:t xml:space="preserve">(1) improve the MSAC application process by creating a feedback loop to report to MSAC the </w:t>
      </w:r>
      <w:r w:rsidR="00202B46" w:rsidRPr="0000535C">
        <w:t>real-world</w:t>
      </w:r>
      <w:r w:rsidRPr="0000535C">
        <w:t xml:space="preserve"> impacts of its positively supported applications and </w:t>
      </w:r>
    </w:p>
    <w:p w14:paraId="43E9CCD6" w14:textId="1DEB78AB" w:rsidR="00361DC9" w:rsidRPr="0000535C" w:rsidRDefault="008E6889">
      <w:pPr>
        <w:ind w:left="720"/>
      </w:pPr>
      <w:r w:rsidRPr="0000535C">
        <w:t xml:space="preserve">(2) monitor utilisation to ensure the new items or item amendments are being used as intended. </w:t>
      </w:r>
    </w:p>
    <w:p w14:paraId="186F5326" w14:textId="77777777" w:rsidR="008E6889" w:rsidRPr="00944B72" w:rsidRDefault="008E6889" w:rsidP="007431EE">
      <w:pPr>
        <w:pStyle w:val="Heading2"/>
        <w:rPr>
          <w:rFonts w:eastAsiaTheme="majorEastAsia"/>
        </w:rPr>
      </w:pPr>
      <w:r w:rsidRPr="00944B72">
        <w:rPr>
          <w:rFonts w:eastAsiaTheme="majorEastAsia"/>
        </w:rPr>
        <w:t>Key Definitions</w:t>
      </w:r>
    </w:p>
    <w:tbl>
      <w:tblPr>
        <w:tblStyle w:val="TableGrid"/>
        <w:tblW w:w="10598" w:type="dxa"/>
        <w:tblInd w:w="-113" w:type="dxa"/>
        <w:tblBorders>
          <w:top w:val="single" w:sz="4" w:space="0" w:color="001A70" w:themeColor="text2"/>
          <w:left w:val="single" w:sz="4" w:space="0" w:color="001A70" w:themeColor="text2"/>
          <w:bottom w:val="single" w:sz="4" w:space="0" w:color="001A70" w:themeColor="text2"/>
          <w:right w:val="single" w:sz="4" w:space="0" w:color="001A70" w:themeColor="text2"/>
          <w:insideH w:val="single" w:sz="4" w:space="0" w:color="001A70" w:themeColor="text2"/>
          <w:insideV w:val="single" w:sz="4" w:space="0" w:color="001A70" w:themeColor="text2"/>
        </w:tblBorders>
        <w:tblLook w:val="04A0" w:firstRow="1" w:lastRow="0" w:firstColumn="1" w:lastColumn="0" w:noHBand="0" w:noVBand="1"/>
      </w:tblPr>
      <w:tblGrid>
        <w:gridCol w:w="2518"/>
        <w:gridCol w:w="8080"/>
      </w:tblGrid>
      <w:tr w:rsidR="0030403D" w:rsidRPr="00944B72" w14:paraId="734DE3C9" w14:textId="77777777" w:rsidTr="008B31BF">
        <w:tc>
          <w:tcPr>
            <w:tcW w:w="2518" w:type="dxa"/>
          </w:tcPr>
          <w:p w14:paraId="743F7240" w14:textId="7F63259B" w:rsidR="0030403D" w:rsidRPr="00944B72" w:rsidRDefault="0030403D" w:rsidP="00416183">
            <w:pPr>
              <w:rPr>
                <w:b/>
                <w:color w:val="002060"/>
              </w:rPr>
            </w:pPr>
            <w:r w:rsidRPr="00944B72">
              <w:rPr>
                <w:b/>
                <w:color w:val="002060"/>
              </w:rPr>
              <w:t>TAVI Patient</w:t>
            </w:r>
            <w:r w:rsidRPr="00944B72">
              <w:rPr>
                <w:color w:val="002060"/>
              </w:rPr>
              <w:t>:</w:t>
            </w:r>
          </w:p>
        </w:tc>
        <w:tc>
          <w:tcPr>
            <w:tcW w:w="8080" w:type="dxa"/>
          </w:tcPr>
          <w:p w14:paraId="410EE401" w14:textId="6D80F423" w:rsidR="0030403D" w:rsidRPr="0000535C" w:rsidRDefault="0030403D" w:rsidP="00416183">
            <w:pPr>
              <w:rPr>
                <w:b/>
              </w:rPr>
            </w:pPr>
            <w:r w:rsidRPr="0000535C">
              <w:rPr>
                <w:bCs/>
                <w:iCs/>
                <w:lang w:eastAsia="en-AU"/>
              </w:rPr>
              <w:t>A patient who,</w:t>
            </w:r>
            <w:r w:rsidRPr="0000535C">
              <w:rPr>
                <w:lang w:eastAsia="en-AU"/>
              </w:rPr>
              <w:t xml:space="preserve"> as a result of a TAVI suitability Case Conference,</w:t>
            </w:r>
            <w:r w:rsidRPr="0000535C">
              <w:rPr>
                <w:bCs/>
                <w:iCs/>
                <w:lang w:eastAsia="en-AU"/>
              </w:rPr>
              <w:t xml:space="preserve"> has been assessed as having an unacceptably high</w:t>
            </w:r>
            <w:r w:rsidR="007A2675" w:rsidRPr="0000535C">
              <w:rPr>
                <w:bCs/>
                <w:iCs/>
                <w:lang w:eastAsia="en-AU"/>
              </w:rPr>
              <w:t>,</w:t>
            </w:r>
            <w:r w:rsidRPr="0000535C">
              <w:rPr>
                <w:bCs/>
                <w:iCs/>
                <w:lang w:eastAsia="en-AU"/>
              </w:rPr>
              <w:t xml:space="preserve"> intermediate </w:t>
            </w:r>
            <w:r w:rsidR="007A2675" w:rsidRPr="0000535C">
              <w:rPr>
                <w:bCs/>
                <w:iCs/>
                <w:lang w:eastAsia="en-AU"/>
              </w:rPr>
              <w:t>or low risk</w:t>
            </w:r>
            <w:r w:rsidRPr="0000535C">
              <w:rPr>
                <w:bCs/>
                <w:iCs/>
                <w:lang w:eastAsia="en-AU"/>
              </w:rPr>
              <w:t xml:space="preserve"> for </w:t>
            </w:r>
            <w:r w:rsidR="00043100" w:rsidRPr="0000535C">
              <w:rPr>
                <w:bCs/>
                <w:iCs/>
                <w:lang w:eastAsia="en-AU"/>
              </w:rPr>
              <w:t>SAVR</w:t>
            </w:r>
            <w:r w:rsidRPr="0000535C">
              <w:rPr>
                <w:bCs/>
                <w:iCs/>
                <w:lang w:eastAsia="en-AU"/>
              </w:rPr>
              <w:t xml:space="preserve"> and is recommended as being suitable to receive the services </w:t>
            </w:r>
            <w:r w:rsidRPr="0000535C">
              <w:rPr>
                <w:lang w:eastAsia="en-AU"/>
              </w:rPr>
              <w:t>described in items 38495</w:t>
            </w:r>
            <w:r w:rsidR="00C87CBF" w:rsidRPr="0000535C">
              <w:rPr>
                <w:lang w:eastAsia="en-AU"/>
              </w:rPr>
              <w:t xml:space="preserve"> </w:t>
            </w:r>
            <w:r w:rsidRPr="0000535C">
              <w:rPr>
                <w:lang w:eastAsia="en-AU"/>
              </w:rPr>
              <w:t>or 38514.</w:t>
            </w:r>
          </w:p>
        </w:tc>
      </w:tr>
      <w:tr w:rsidR="0030403D" w:rsidRPr="00944B72" w14:paraId="695DEA88" w14:textId="77777777" w:rsidTr="008B31BF">
        <w:tc>
          <w:tcPr>
            <w:tcW w:w="2518" w:type="dxa"/>
          </w:tcPr>
          <w:p w14:paraId="0E2885AB" w14:textId="41F13680" w:rsidR="0030403D" w:rsidRPr="00944B72" w:rsidRDefault="0030403D" w:rsidP="00416183">
            <w:pPr>
              <w:rPr>
                <w:b/>
                <w:color w:val="002060"/>
              </w:rPr>
            </w:pPr>
            <w:r w:rsidRPr="00944B72">
              <w:rPr>
                <w:b/>
                <w:bCs/>
                <w:iCs/>
                <w:color w:val="002060"/>
                <w:lang w:eastAsia="en-AU"/>
              </w:rPr>
              <w:t>TAVI Practitioner</w:t>
            </w:r>
            <w:r w:rsidRPr="00944B72">
              <w:rPr>
                <w:bCs/>
                <w:iCs/>
                <w:color w:val="002060"/>
                <w:lang w:eastAsia="en-AU"/>
              </w:rPr>
              <w:t>:</w:t>
            </w:r>
          </w:p>
        </w:tc>
        <w:tc>
          <w:tcPr>
            <w:tcW w:w="8080" w:type="dxa"/>
          </w:tcPr>
          <w:p w14:paraId="439C971C" w14:textId="4C7D8027" w:rsidR="0030403D" w:rsidRPr="0000535C" w:rsidRDefault="0030403D" w:rsidP="00416183">
            <w:pPr>
              <w:rPr>
                <w:b/>
              </w:rPr>
            </w:pPr>
            <w:r w:rsidRPr="0000535C">
              <w:rPr>
                <w:bCs/>
                <w:iCs/>
                <w:lang w:eastAsia="en-AU"/>
              </w:rPr>
              <w:t>A cardiothoracic surgeon or interventional cardiologist who is accredited by the</w:t>
            </w:r>
            <w:r w:rsidRPr="0000535C">
              <w:t xml:space="preserve"> TAVI Accreditation Committee</w:t>
            </w:r>
            <w:r w:rsidRPr="0000535C">
              <w:rPr>
                <w:bCs/>
                <w:iCs/>
                <w:lang w:eastAsia="en-AU"/>
              </w:rPr>
              <w:t>.</w:t>
            </w:r>
          </w:p>
        </w:tc>
      </w:tr>
      <w:tr w:rsidR="0030403D" w:rsidRPr="00944B72" w14:paraId="67F8D030" w14:textId="77777777" w:rsidTr="008B31BF">
        <w:tc>
          <w:tcPr>
            <w:tcW w:w="2518" w:type="dxa"/>
          </w:tcPr>
          <w:p w14:paraId="52FB49AF" w14:textId="429671DB" w:rsidR="0030403D" w:rsidRPr="00944B72" w:rsidRDefault="0030403D" w:rsidP="00416183">
            <w:pPr>
              <w:rPr>
                <w:b/>
                <w:color w:val="002060"/>
              </w:rPr>
            </w:pPr>
            <w:r w:rsidRPr="00944B72">
              <w:rPr>
                <w:b/>
                <w:color w:val="002060"/>
              </w:rPr>
              <w:t>TAVI Hospital</w:t>
            </w:r>
            <w:r w:rsidRPr="00944B72">
              <w:rPr>
                <w:color w:val="002060"/>
              </w:rPr>
              <w:t>:</w:t>
            </w:r>
          </w:p>
        </w:tc>
        <w:tc>
          <w:tcPr>
            <w:tcW w:w="8080" w:type="dxa"/>
          </w:tcPr>
          <w:p w14:paraId="0D469618" w14:textId="4B0193A7" w:rsidR="0030403D" w:rsidRPr="0000535C" w:rsidRDefault="0030403D" w:rsidP="00416183">
            <w:pPr>
              <w:rPr>
                <w:b/>
              </w:rPr>
            </w:pPr>
            <w:r w:rsidRPr="0000535C">
              <w:rPr>
                <w:bCs/>
                <w:iCs/>
                <w:lang w:eastAsia="en-AU"/>
              </w:rPr>
              <w:t xml:space="preserve">A hospital, as defined by subsection 121-5(5) of the </w:t>
            </w:r>
            <w:r w:rsidRPr="0000535C">
              <w:rPr>
                <w:bCs/>
                <w:i/>
                <w:iCs/>
                <w:lang w:eastAsia="en-AU"/>
              </w:rPr>
              <w:t>Private Health Insurance Act 2007</w:t>
            </w:r>
            <w:r w:rsidRPr="0000535C">
              <w:rPr>
                <w:bCs/>
                <w:iCs/>
                <w:lang w:eastAsia="en-AU"/>
              </w:rPr>
              <w:t>, that is clinically accepted as being a suitable hospital in which the service described in item 38495 or 38514 may be performed.</w:t>
            </w:r>
          </w:p>
        </w:tc>
      </w:tr>
      <w:tr w:rsidR="0030403D" w:rsidRPr="00944B72" w14:paraId="430F4ECC" w14:textId="77777777" w:rsidTr="008B31BF">
        <w:tc>
          <w:tcPr>
            <w:tcW w:w="2518" w:type="dxa"/>
          </w:tcPr>
          <w:p w14:paraId="6EB89188" w14:textId="77777777" w:rsidR="0030403D" w:rsidRPr="00944B72" w:rsidRDefault="0030403D" w:rsidP="0030403D">
            <w:pPr>
              <w:shd w:val="clear" w:color="auto" w:fill="FFFFFF"/>
              <w:jc w:val="both"/>
              <w:rPr>
                <w:b/>
                <w:color w:val="002060"/>
              </w:rPr>
            </w:pPr>
            <w:r w:rsidRPr="00944B72">
              <w:rPr>
                <w:b/>
                <w:color w:val="002060"/>
              </w:rPr>
              <w:t xml:space="preserve">TAVI Suitability Case </w:t>
            </w:r>
          </w:p>
          <w:p w14:paraId="4F57A77D" w14:textId="39B4102F" w:rsidR="0030403D" w:rsidRPr="00944B72" w:rsidRDefault="0030403D" w:rsidP="0030403D">
            <w:pPr>
              <w:rPr>
                <w:b/>
                <w:color w:val="002060"/>
              </w:rPr>
            </w:pPr>
            <w:r w:rsidRPr="00944B72">
              <w:rPr>
                <w:b/>
                <w:color w:val="002060"/>
              </w:rPr>
              <w:t>Conference</w:t>
            </w:r>
            <w:r w:rsidRPr="00944B72">
              <w:rPr>
                <w:color w:val="002060"/>
              </w:rPr>
              <w:t xml:space="preserve">: </w:t>
            </w:r>
            <w:r w:rsidRPr="00944B72">
              <w:rPr>
                <w:color w:val="002060"/>
              </w:rPr>
              <w:tab/>
            </w:r>
          </w:p>
        </w:tc>
        <w:tc>
          <w:tcPr>
            <w:tcW w:w="8080" w:type="dxa"/>
          </w:tcPr>
          <w:p w14:paraId="588528A9" w14:textId="69EFD94F" w:rsidR="0030403D" w:rsidRPr="0000535C" w:rsidRDefault="0030403D" w:rsidP="0030403D">
            <w:pPr>
              <w:rPr>
                <w:bCs/>
              </w:rPr>
            </w:pPr>
            <w:r w:rsidRPr="0000535C">
              <w:rPr>
                <w:bCs/>
              </w:rPr>
              <w:t>A process by which:</w:t>
            </w:r>
          </w:p>
          <w:p w14:paraId="31709DF7" w14:textId="77777777" w:rsidR="0030403D" w:rsidRPr="0000535C" w:rsidRDefault="0030403D" w:rsidP="0030403D">
            <w:pPr>
              <w:rPr>
                <w:bCs/>
              </w:rPr>
            </w:pPr>
          </w:p>
          <w:p w14:paraId="0775B23D" w14:textId="6E838A24" w:rsidR="0030403D" w:rsidRPr="0000535C" w:rsidRDefault="0030403D" w:rsidP="008B31BF">
            <w:pPr>
              <w:rPr>
                <w:bCs/>
              </w:rPr>
            </w:pPr>
            <w:r w:rsidRPr="0000535C">
              <w:rPr>
                <w:bCs/>
              </w:rPr>
              <w:t>(a) there is a team of 3 or more participants, where:</w:t>
            </w:r>
          </w:p>
          <w:p w14:paraId="494395A4" w14:textId="042CE410" w:rsidR="0030403D" w:rsidRPr="0000535C" w:rsidRDefault="0030403D" w:rsidP="008B31BF">
            <w:pPr>
              <w:ind w:left="720"/>
              <w:rPr>
                <w:bCs/>
              </w:rPr>
            </w:pPr>
            <w:r w:rsidRPr="0000535C">
              <w:rPr>
                <w:bCs/>
              </w:rPr>
              <w:t>(i) the first participant is a cardiothoracic surgeon; and</w:t>
            </w:r>
          </w:p>
          <w:p w14:paraId="40D0995B" w14:textId="33C06E5C" w:rsidR="0030403D" w:rsidRPr="0000535C" w:rsidRDefault="0030403D" w:rsidP="008B31BF">
            <w:pPr>
              <w:ind w:left="720"/>
              <w:rPr>
                <w:bCs/>
              </w:rPr>
            </w:pPr>
            <w:r w:rsidRPr="0000535C">
              <w:rPr>
                <w:bCs/>
              </w:rPr>
              <w:t>(ii) the second participant is an interventional cardiologist; and</w:t>
            </w:r>
          </w:p>
          <w:p w14:paraId="1D981DAA" w14:textId="271AEE94" w:rsidR="0030403D" w:rsidRPr="0000535C" w:rsidRDefault="0030403D" w:rsidP="008B31BF">
            <w:pPr>
              <w:ind w:left="720"/>
              <w:rPr>
                <w:bCs/>
              </w:rPr>
            </w:pPr>
            <w:r w:rsidRPr="0000535C">
              <w:rPr>
                <w:bCs/>
              </w:rPr>
              <w:t>(iii) the third participant is a specialist or consultant physician who does not perform a service described in item 38495</w:t>
            </w:r>
            <w:r w:rsidR="00C6066D" w:rsidRPr="0000535C">
              <w:rPr>
                <w:bCs/>
              </w:rPr>
              <w:t xml:space="preserve">, </w:t>
            </w:r>
            <w:r w:rsidRPr="0000535C">
              <w:rPr>
                <w:bCs/>
              </w:rPr>
              <w:t>38514</w:t>
            </w:r>
            <w:r w:rsidR="00C6066D" w:rsidRPr="0000535C">
              <w:rPr>
                <w:bCs/>
              </w:rPr>
              <w:t xml:space="preserve"> or 38522</w:t>
            </w:r>
            <w:r w:rsidRPr="0000535C">
              <w:rPr>
                <w:bCs/>
              </w:rPr>
              <w:t xml:space="preserve"> for the patient being assessed; and</w:t>
            </w:r>
          </w:p>
          <w:p w14:paraId="6FB6C1EB" w14:textId="3EE7A217" w:rsidR="0030403D" w:rsidRPr="0000535C" w:rsidRDefault="0030403D" w:rsidP="008B31BF">
            <w:pPr>
              <w:ind w:left="720"/>
              <w:rPr>
                <w:bCs/>
              </w:rPr>
            </w:pPr>
            <w:r w:rsidRPr="0000535C">
              <w:rPr>
                <w:bCs/>
              </w:rPr>
              <w:t>(iv) either the first or the second participant is also a T</w:t>
            </w:r>
            <w:r w:rsidR="004C2B68" w:rsidRPr="0000535C">
              <w:rPr>
                <w:bCs/>
              </w:rPr>
              <w:t xml:space="preserve">AVI </w:t>
            </w:r>
            <w:r w:rsidRPr="0000535C">
              <w:rPr>
                <w:bCs/>
              </w:rPr>
              <w:t>Practitioner; and</w:t>
            </w:r>
          </w:p>
          <w:p w14:paraId="1118A1A6" w14:textId="77777777" w:rsidR="0030403D" w:rsidRPr="0000535C" w:rsidRDefault="0030403D" w:rsidP="008B31BF">
            <w:pPr>
              <w:ind w:left="720"/>
              <w:rPr>
                <w:bCs/>
              </w:rPr>
            </w:pPr>
          </w:p>
          <w:p w14:paraId="513A594B" w14:textId="0D91EB37" w:rsidR="0030403D" w:rsidRPr="0000535C" w:rsidRDefault="0030403D" w:rsidP="008B31BF">
            <w:pPr>
              <w:rPr>
                <w:bCs/>
              </w:rPr>
            </w:pPr>
            <w:r w:rsidRPr="0000535C">
              <w:rPr>
                <w:bCs/>
              </w:rPr>
              <w:t>(b) the team assesses a patient’s risk and technical suitability to receive the service described in item’s 38495</w:t>
            </w:r>
            <w:r w:rsidR="00424954" w:rsidRPr="0000535C">
              <w:rPr>
                <w:bCs/>
              </w:rPr>
              <w:t xml:space="preserve">, </w:t>
            </w:r>
            <w:r w:rsidRPr="0000535C">
              <w:rPr>
                <w:bCs/>
              </w:rPr>
              <w:t>38514</w:t>
            </w:r>
            <w:r w:rsidR="00424954" w:rsidRPr="0000535C">
              <w:rPr>
                <w:bCs/>
              </w:rPr>
              <w:t xml:space="preserve"> or 38522</w:t>
            </w:r>
            <w:r w:rsidRPr="0000535C">
              <w:rPr>
                <w:bCs/>
              </w:rPr>
              <w:t xml:space="preserve"> taking into account matters such as:</w:t>
            </w:r>
          </w:p>
          <w:p w14:paraId="46807514" w14:textId="64D88F5F" w:rsidR="0030403D" w:rsidRPr="0000535C" w:rsidRDefault="0030403D" w:rsidP="008B31BF">
            <w:pPr>
              <w:ind w:left="720"/>
              <w:rPr>
                <w:bCs/>
              </w:rPr>
            </w:pPr>
            <w:r w:rsidRPr="0000535C">
              <w:rPr>
                <w:bCs/>
              </w:rPr>
              <w:t>(i) the patient’s risk and technical suitability for a surgical mitral valve replacement; and</w:t>
            </w:r>
          </w:p>
          <w:p w14:paraId="49184A25" w14:textId="78FE2442" w:rsidR="0030403D" w:rsidRPr="0000535C" w:rsidRDefault="0030403D" w:rsidP="008B31BF">
            <w:pPr>
              <w:ind w:left="720"/>
              <w:rPr>
                <w:bCs/>
              </w:rPr>
            </w:pPr>
            <w:r w:rsidRPr="0000535C">
              <w:rPr>
                <w:bCs/>
              </w:rPr>
              <w:t>(ii) the patient’s cognitive function and frailty; and</w:t>
            </w:r>
          </w:p>
          <w:p w14:paraId="48C1F8B4" w14:textId="77777777" w:rsidR="0030403D" w:rsidRPr="0000535C" w:rsidRDefault="0030403D" w:rsidP="008B31BF">
            <w:pPr>
              <w:ind w:left="720"/>
              <w:rPr>
                <w:bCs/>
              </w:rPr>
            </w:pPr>
          </w:p>
          <w:p w14:paraId="43E14B07" w14:textId="31F94BF6" w:rsidR="0030403D" w:rsidRPr="0000535C" w:rsidRDefault="0030403D" w:rsidP="008B31BF">
            <w:pPr>
              <w:rPr>
                <w:bCs/>
              </w:rPr>
            </w:pPr>
            <w:r w:rsidRPr="0000535C">
              <w:rPr>
                <w:bCs/>
              </w:rPr>
              <w:t>(c) the result of the assessment is that the team makes a recommendation about whether or not the patient is suitable to receive the service described in item 38495</w:t>
            </w:r>
            <w:r w:rsidR="00424954" w:rsidRPr="0000535C">
              <w:rPr>
                <w:bCs/>
              </w:rPr>
              <w:t xml:space="preserve">, </w:t>
            </w:r>
            <w:r w:rsidRPr="0000535C">
              <w:rPr>
                <w:bCs/>
              </w:rPr>
              <w:t>38514</w:t>
            </w:r>
            <w:r w:rsidR="00424954" w:rsidRPr="0000535C">
              <w:rPr>
                <w:bCs/>
              </w:rPr>
              <w:t xml:space="preserve"> or 38522</w:t>
            </w:r>
            <w:r w:rsidRPr="0000535C">
              <w:rPr>
                <w:bCs/>
              </w:rPr>
              <w:t>; and</w:t>
            </w:r>
          </w:p>
          <w:p w14:paraId="3E9F03F8" w14:textId="77777777" w:rsidR="0030403D" w:rsidRPr="0000535C" w:rsidRDefault="0030403D" w:rsidP="008B31BF">
            <w:pPr>
              <w:rPr>
                <w:bCs/>
              </w:rPr>
            </w:pPr>
          </w:p>
          <w:p w14:paraId="70C14F62" w14:textId="0EB7BFCA" w:rsidR="0030403D" w:rsidRPr="0000535C" w:rsidRDefault="0030403D" w:rsidP="008B31BF">
            <w:pPr>
              <w:rPr>
                <w:b/>
              </w:rPr>
            </w:pPr>
            <w:r w:rsidRPr="0000535C">
              <w:rPr>
                <w:bCs/>
              </w:rPr>
              <w:t>(d) the particulars of the assessment and recommendation are recorded in writing.</w:t>
            </w:r>
          </w:p>
        </w:tc>
      </w:tr>
      <w:tr w:rsidR="0030403D" w:rsidRPr="00944B72" w14:paraId="51DD737C" w14:textId="77777777" w:rsidTr="008B31BF">
        <w:tc>
          <w:tcPr>
            <w:tcW w:w="2518" w:type="dxa"/>
          </w:tcPr>
          <w:p w14:paraId="3D4ECD0A" w14:textId="6128748B" w:rsidR="0030403D" w:rsidRPr="00944B72" w:rsidRDefault="0030403D" w:rsidP="00416183">
            <w:pPr>
              <w:rPr>
                <w:b/>
                <w:color w:val="002060"/>
              </w:rPr>
            </w:pPr>
            <w:r w:rsidRPr="00944B72">
              <w:rPr>
                <w:b/>
                <w:color w:val="002060"/>
              </w:rPr>
              <w:t>TAVI Suitability Case Conference Coordinator</w:t>
            </w:r>
          </w:p>
        </w:tc>
        <w:tc>
          <w:tcPr>
            <w:tcW w:w="8080" w:type="dxa"/>
          </w:tcPr>
          <w:p w14:paraId="58BA5984" w14:textId="574232DB" w:rsidR="0030403D" w:rsidRPr="0000535C" w:rsidRDefault="0030403D" w:rsidP="0030403D">
            <w:pPr>
              <w:rPr>
                <w:bCs/>
              </w:rPr>
            </w:pPr>
            <w:r w:rsidRPr="0000535C">
              <w:rPr>
                <w:bCs/>
              </w:rPr>
              <w:t>Undertakes all of the following activities in relation to a T</w:t>
            </w:r>
            <w:r w:rsidR="004C2B68" w:rsidRPr="0000535C">
              <w:rPr>
                <w:bCs/>
              </w:rPr>
              <w:t>AVI</w:t>
            </w:r>
            <w:r w:rsidRPr="0000535C">
              <w:rPr>
                <w:bCs/>
              </w:rPr>
              <w:t xml:space="preserve"> Suitability Case Conference:</w:t>
            </w:r>
          </w:p>
          <w:p w14:paraId="7B652094" w14:textId="77777777" w:rsidR="0030403D" w:rsidRPr="0000535C" w:rsidRDefault="0030403D" w:rsidP="0030403D">
            <w:pPr>
              <w:rPr>
                <w:bCs/>
              </w:rPr>
            </w:pPr>
          </w:p>
          <w:p w14:paraId="00090E40" w14:textId="719FC965" w:rsidR="0030403D" w:rsidRPr="0000535C" w:rsidRDefault="0030403D" w:rsidP="008B31BF">
            <w:pPr>
              <w:rPr>
                <w:bCs/>
              </w:rPr>
            </w:pPr>
            <w:r w:rsidRPr="0000535C">
              <w:rPr>
                <w:bCs/>
              </w:rPr>
              <w:lastRenderedPageBreak/>
              <w:t>(a) ensuring that the patient is aware of the purpose and nature of the patient’s TAVI Case Conference and has consented to their TAVI Case Conference;</w:t>
            </w:r>
          </w:p>
          <w:p w14:paraId="19FE1CCF" w14:textId="77777777" w:rsidR="0030403D" w:rsidRPr="0000535C" w:rsidRDefault="0030403D" w:rsidP="008B31BF">
            <w:pPr>
              <w:rPr>
                <w:bCs/>
              </w:rPr>
            </w:pPr>
          </w:p>
          <w:p w14:paraId="767452F0" w14:textId="7C3F25BF" w:rsidR="0030403D" w:rsidRPr="0000535C" w:rsidRDefault="0030403D" w:rsidP="008B31BF">
            <w:pPr>
              <w:rPr>
                <w:bCs/>
              </w:rPr>
            </w:pPr>
            <w:r w:rsidRPr="0000535C">
              <w:rPr>
                <w:bCs/>
              </w:rPr>
              <w:t>(b) recording the day the conference was held, and the times the conference started and ended;</w:t>
            </w:r>
          </w:p>
          <w:p w14:paraId="1D980F9E" w14:textId="77777777" w:rsidR="0030403D" w:rsidRPr="0000535C" w:rsidRDefault="0030403D" w:rsidP="008B31BF">
            <w:pPr>
              <w:rPr>
                <w:bCs/>
              </w:rPr>
            </w:pPr>
          </w:p>
          <w:p w14:paraId="679EA90A" w14:textId="6D9BE45B" w:rsidR="0030403D" w:rsidRPr="0000535C" w:rsidRDefault="0030403D" w:rsidP="008B31BF">
            <w:pPr>
              <w:rPr>
                <w:bCs/>
              </w:rPr>
            </w:pPr>
            <w:r w:rsidRPr="0000535C">
              <w:rPr>
                <w:bCs/>
              </w:rPr>
              <w:t>(c) recording the names of the participants of the conference;</w:t>
            </w:r>
          </w:p>
          <w:p w14:paraId="10946D99" w14:textId="77777777" w:rsidR="0030403D" w:rsidRPr="0000535C" w:rsidRDefault="0030403D" w:rsidP="008B31BF">
            <w:pPr>
              <w:rPr>
                <w:bCs/>
              </w:rPr>
            </w:pPr>
          </w:p>
          <w:p w14:paraId="4CC7C2D1" w14:textId="293D47D9" w:rsidR="0030403D" w:rsidRPr="0000535C" w:rsidRDefault="0030403D" w:rsidP="008B31BF">
            <w:pPr>
              <w:rPr>
                <w:bCs/>
              </w:rPr>
            </w:pPr>
            <w:r w:rsidRPr="0000535C">
              <w:rPr>
                <w:bCs/>
              </w:rPr>
              <w:t>(d) provision of expertise to inform the recommendation resulting from the case conference;</w:t>
            </w:r>
          </w:p>
          <w:p w14:paraId="2EFA0B54" w14:textId="77777777" w:rsidR="0030403D" w:rsidRPr="0000535C" w:rsidRDefault="0030403D" w:rsidP="008B31BF">
            <w:pPr>
              <w:rPr>
                <w:bCs/>
              </w:rPr>
            </w:pPr>
          </w:p>
          <w:p w14:paraId="2689B221" w14:textId="49915188" w:rsidR="0030403D" w:rsidRPr="0000535C" w:rsidRDefault="0030403D" w:rsidP="008B31BF">
            <w:pPr>
              <w:rPr>
                <w:bCs/>
              </w:rPr>
            </w:pPr>
            <w:r w:rsidRPr="0000535C">
              <w:rPr>
                <w:bCs/>
              </w:rPr>
              <w:t>(e) recording the details of the TAVI Case Conference including the particulars of the assessments of the patient and the recommendation resulting from the conference;</w:t>
            </w:r>
          </w:p>
          <w:p w14:paraId="66F1BB33" w14:textId="77777777" w:rsidR="0030403D" w:rsidRPr="0000535C" w:rsidRDefault="0030403D" w:rsidP="008B31BF">
            <w:pPr>
              <w:rPr>
                <w:bCs/>
              </w:rPr>
            </w:pPr>
          </w:p>
          <w:p w14:paraId="131CC5D0" w14:textId="42A9E483" w:rsidR="0030403D" w:rsidRPr="0000535C" w:rsidRDefault="0030403D" w:rsidP="008B31BF">
            <w:pPr>
              <w:rPr>
                <w:b/>
              </w:rPr>
            </w:pPr>
            <w:r w:rsidRPr="0000535C">
              <w:rPr>
                <w:bCs/>
              </w:rPr>
              <w:t>(f) ensuring that the patient is aware of the recommendation.</w:t>
            </w:r>
          </w:p>
        </w:tc>
      </w:tr>
      <w:tr w:rsidR="0030403D" w:rsidRPr="00944B72" w14:paraId="56FCA51F" w14:textId="77777777" w:rsidTr="008B31BF">
        <w:tc>
          <w:tcPr>
            <w:tcW w:w="2518" w:type="dxa"/>
          </w:tcPr>
          <w:p w14:paraId="37A43B5B" w14:textId="0B0A0CD4" w:rsidR="0030403D" w:rsidRPr="00944B72" w:rsidRDefault="0030403D" w:rsidP="00416183">
            <w:pPr>
              <w:rPr>
                <w:b/>
                <w:color w:val="002060"/>
              </w:rPr>
            </w:pPr>
            <w:r w:rsidRPr="00944B72">
              <w:rPr>
                <w:b/>
                <w:color w:val="002060"/>
              </w:rPr>
              <w:lastRenderedPageBreak/>
              <w:t>TAVI Suitability Case Conference Attendee</w:t>
            </w:r>
          </w:p>
        </w:tc>
        <w:tc>
          <w:tcPr>
            <w:tcW w:w="8080" w:type="dxa"/>
          </w:tcPr>
          <w:p w14:paraId="24572E8B" w14:textId="621940DC" w:rsidR="0030403D" w:rsidRPr="0000535C" w:rsidRDefault="0030403D" w:rsidP="0030403D">
            <w:pPr>
              <w:rPr>
                <w:bCs/>
              </w:rPr>
            </w:pPr>
            <w:r w:rsidRPr="0000535C">
              <w:rPr>
                <w:bCs/>
              </w:rPr>
              <w:t>Undertakes all of the following activities in relation to a TAVI Suitability Case Conference:</w:t>
            </w:r>
          </w:p>
          <w:p w14:paraId="7DDA31FA" w14:textId="77777777" w:rsidR="008B31BF" w:rsidRPr="0000535C" w:rsidRDefault="008B31BF" w:rsidP="0030403D">
            <w:pPr>
              <w:rPr>
                <w:bCs/>
              </w:rPr>
            </w:pPr>
          </w:p>
          <w:p w14:paraId="3FA15786" w14:textId="7B37A398" w:rsidR="0030403D" w:rsidRPr="0000535C" w:rsidRDefault="0030403D" w:rsidP="00B1489B">
            <w:pPr>
              <w:pStyle w:val="ListParagraph"/>
              <w:rPr>
                <w:color w:val="auto"/>
              </w:rPr>
            </w:pPr>
            <w:r w:rsidRPr="0000535C">
              <w:rPr>
                <w:color w:val="auto"/>
              </w:rPr>
              <w:t>provide expertise in the assessment of the patient</w:t>
            </w:r>
          </w:p>
          <w:p w14:paraId="6EEC52F6" w14:textId="77777777" w:rsidR="008B31BF" w:rsidRPr="0000535C" w:rsidRDefault="008B31BF" w:rsidP="004D4C5D">
            <w:pPr>
              <w:rPr>
                <w:bCs/>
              </w:rPr>
            </w:pPr>
          </w:p>
          <w:p w14:paraId="3285EDB2" w14:textId="1093F8CB" w:rsidR="0030403D" w:rsidRPr="0000535C" w:rsidRDefault="0030403D" w:rsidP="008B31BF">
            <w:pPr>
              <w:rPr>
                <w:b/>
              </w:rPr>
            </w:pPr>
            <w:r w:rsidRPr="0000535C">
              <w:rPr>
                <w:bCs/>
              </w:rPr>
              <w:t>(b) provision of expertise to inform the recommendation resulting from the case conference.</w:t>
            </w:r>
          </w:p>
        </w:tc>
      </w:tr>
    </w:tbl>
    <w:p w14:paraId="5F6D6EEB" w14:textId="17BC4277" w:rsidR="00430577" w:rsidRPr="00944B72" w:rsidRDefault="008E6889" w:rsidP="0030403D">
      <w:pPr>
        <w:shd w:val="clear" w:color="auto" w:fill="FFFFFF"/>
        <w:ind w:left="2835" w:hanging="2835"/>
        <w:jc w:val="both"/>
      </w:pPr>
      <w:r w:rsidRPr="00944B72">
        <w:rPr>
          <w:color w:val="002060"/>
        </w:rPr>
        <w:tab/>
      </w:r>
    </w:p>
    <w:p w14:paraId="468435DD" w14:textId="77777777" w:rsidR="008E6889" w:rsidRPr="00944B72" w:rsidRDefault="008E6889" w:rsidP="007431EE">
      <w:pPr>
        <w:pStyle w:val="Heading2"/>
        <w:rPr>
          <w:rFonts w:eastAsiaTheme="majorEastAsia"/>
        </w:rPr>
      </w:pPr>
      <w:r w:rsidRPr="00944B72">
        <w:rPr>
          <w:rFonts w:eastAsiaTheme="majorEastAsia"/>
        </w:rPr>
        <w:t xml:space="preserve">Further information </w:t>
      </w:r>
    </w:p>
    <w:p w14:paraId="59132771" w14:textId="34575B28" w:rsidR="004762A0" w:rsidRDefault="008E6889" w:rsidP="00416183">
      <w:r w:rsidRPr="004408C2">
        <w:t>For further information on T</w:t>
      </w:r>
      <w:r w:rsidR="002B39E6" w:rsidRPr="004408C2">
        <w:t>AVI</w:t>
      </w:r>
      <w:r w:rsidRPr="004408C2">
        <w:t xml:space="preserve"> accreditation requirements, please visit the </w:t>
      </w:r>
      <w:r w:rsidR="00D0459C" w:rsidRPr="004408C2">
        <w:t>T</w:t>
      </w:r>
      <w:r w:rsidR="002B39E6" w:rsidRPr="004408C2">
        <w:t>AVI</w:t>
      </w:r>
      <w:r w:rsidR="00D0459C" w:rsidRPr="004408C2">
        <w:t xml:space="preserve"> </w:t>
      </w:r>
      <w:r w:rsidR="003A0228" w:rsidRPr="004408C2">
        <w:t>Accreditation</w:t>
      </w:r>
      <w:r w:rsidR="00D0459C" w:rsidRPr="004408C2">
        <w:t xml:space="preserve"> Committee website</w:t>
      </w:r>
      <w:r w:rsidR="00791767" w:rsidRPr="004408C2">
        <w:t xml:space="preserve"> or email</w:t>
      </w:r>
      <w:r w:rsidR="009C575A" w:rsidRPr="004408C2">
        <w:t>:</w:t>
      </w:r>
      <w:r w:rsidR="00791767" w:rsidRPr="004408C2">
        <w:t xml:space="preserve"> </w:t>
      </w:r>
      <w:hyperlink r:id="rId10" w:history="1">
        <w:r w:rsidR="00713D18" w:rsidRPr="001B7603">
          <w:rPr>
            <w:rStyle w:val="Hyperlink"/>
          </w:rPr>
          <w:t>tavi@tavi.org.au</w:t>
        </w:r>
      </w:hyperlink>
      <w:r w:rsidR="00713D18">
        <w:rPr>
          <w:u w:val="single"/>
        </w:rPr>
        <w:t xml:space="preserve">. </w:t>
      </w:r>
      <w:r w:rsidRPr="004408C2">
        <w:t xml:space="preserve"> </w:t>
      </w:r>
    </w:p>
    <w:p w14:paraId="2DA2BA3C" w14:textId="77777777" w:rsidR="004408C2" w:rsidRPr="004408C2" w:rsidRDefault="004408C2" w:rsidP="004408C2">
      <w:pPr>
        <w:rPr>
          <w:rFonts w:asciiTheme="minorHAnsi" w:eastAsiaTheme="minorHAnsi" w:hAnsiTheme="minorHAnsi"/>
          <w:szCs w:val="22"/>
        </w:rPr>
      </w:pPr>
      <w:r w:rsidRPr="004408C2">
        <w:t xml:space="preserve">For questions regarding the proposed private health insurance classifications, please email </w:t>
      </w:r>
      <w:hyperlink r:id="rId11" w:history="1">
        <w:r w:rsidRPr="004408C2">
          <w:rPr>
            <w:color w:val="0563C1"/>
            <w:szCs w:val="20"/>
            <w:u w:val="single"/>
          </w:rPr>
          <w:t>PHI@health.gov.au</w:t>
        </w:r>
      </w:hyperlink>
      <w:r w:rsidRPr="004408C2">
        <w:rPr>
          <w:b/>
          <w:color w:val="0563C1"/>
          <w:szCs w:val="20"/>
          <w:u w:val="single"/>
        </w:rPr>
        <w:t>.</w:t>
      </w:r>
    </w:p>
    <w:p w14:paraId="56CF5B40" w14:textId="77777777" w:rsidR="004408C2" w:rsidRPr="004408C2" w:rsidRDefault="004408C2" w:rsidP="004408C2">
      <w:r w:rsidRPr="004408C2">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4408C2">
          <w:rPr>
            <w:color w:val="0563C1"/>
            <w:u w:val="single"/>
          </w:rPr>
          <w:t>askMBS</w:t>
        </w:r>
      </w:hyperlink>
      <w:r w:rsidRPr="004408C2">
        <w:t>.</w:t>
      </w:r>
    </w:p>
    <w:p w14:paraId="6BEC7CB7" w14:textId="54F514C9" w:rsidR="004408C2" w:rsidRPr="004408C2" w:rsidRDefault="004408C2" w:rsidP="004408C2">
      <w:r w:rsidRPr="004408C2">
        <w:t xml:space="preserve">If you are seeking advice in relation to Medicare billing, claiming, payments, or obtaining a provider number, please go to the </w:t>
      </w:r>
      <w:r w:rsidR="00BF35F3">
        <w:t>‘</w:t>
      </w:r>
      <w:hyperlink r:id="rId13" w:history="1">
        <w:r w:rsidRPr="00BF35F3">
          <w:rPr>
            <w:rStyle w:val="Hyperlink"/>
          </w:rPr>
          <w:t>Health Professionals</w:t>
        </w:r>
      </w:hyperlink>
      <w:r w:rsidR="00BF35F3">
        <w:t>’</w:t>
      </w:r>
      <w:r w:rsidRPr="004408C2">
        <w:t xml:space="preserve"> page on the Services Australia website or contact Services Australia on the Provider Enquiry Line – 13 21 50. </w:t>
      </w:r>
    </w:p>
    <w:p w14:paraId="3D52D42E" w14:textId="0FF44F96" w:rsidR="004408C2" w:rsidRPr="004408C2" w:rsidRDefault="004408C2" w:rsidP="00416183">
      <w:r w:rsidRPr="004408C2">
        <w:t xml:space="preserve">The data file for software vendors can be accessed via the MBS Online website under the </w:t>
      </w:r>
      <w:hyperlink r:id="rId14" w:history="1">
        <w:r w:rsidRPr="004408C2">
          <w:rPr>
            <w:color w:val="0563C1"/>
            <w:u w:val="single"/>
          </w:rPr>
          <w:t>Downloads</w:t>
        </w:r>
      </w:hyperlink>
      <w:r w:rsidRPr="004408C2">
        <w:t xml:space="preserve"> page.</w:t>
      </w:r>
    </w:p>
    <w:p w14:paraId="23346960" w14:textId="3DB48554" w:rsidR="00AB2425" w:rsidRPr="004408C2" w:rsidRDefault="00D640CC" w:rsidP="00416183">
      <w:pPr>
        <w:rPr>
          <w:noProof/>
        </w:rPr>
      </w:pPr>
      <w:r w:rsidRPr="004408C2">
        <w:t xml:space="preserve">To view previous item descriptors and deleted items, visit MBS Online at </w:t>
      </w:r>
      <w:hyperlink r:id="rId15" w:history="1">
        <w:r w:rsidRPr="00944B72">
          <w:rPr>
            <w:rStyle w:val="Hyperlink"/>
            <w:color w:val="0070C0"/>
          </w:rPr>
          <w:t>www.mbsonline.gov.au</w:t>
        </w:r>
      </w:hyperlink>
      <w:r w:rsidRPr="004408C2">
        <w:t xml:space="preserve">, navigate to ‘Downloads’ and then select the relevant time period at the bottom of the page. The old items can then be viewed by downloading the MBS files published in the month </w:t>
      </w:r>
      <w:r w:rsidR="0073257C" w:rsidRPr="004408C2">
        <w:t xml:space="preserve">before </w:t>
      </w:r>
      <w:r w:rsidRPr="004408C2">
        <w:t>implementation of the changes</w:t>
      </w:r>
      <w:r w:rsidR="005708A4" w:rsidRPr="004408C2">
        <w:t>.</w:t>
      </w:r>
    </w:p>
    <w:p w14:paraId="2CBB46BE" w14:textId="77777777" w:rsidR="0029176A" w:rsidRPr="004408C2" w:rsidRDefault="0029176A" w:rsidP="00416183">
      <w:pPr>
        <w:pStyle w:val="Disclaimer"/>
      </w:pPr>
      <w:bookmarkStart w:id="7" w:name="_Hlk1375085"/>
      <w:r w:rsidRPr="004408C2">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795A9B6" w14:textId="77777777" w:rsidR="0029176A" w:rsidRPr="004408C2" w:rsidRDefault="0029176A" w:rsidP="009C575A">
      <w:pPr>
        <w:pStyle w:val="Disclaimer"/>
      </w:pPr>
      <w:r w:rsidRPr="004408C2">
        <w:t>This sheet is current as of the Last updated date shown above, and does not account for MBS changes since that date.</w:t>
      </w:r>
      <w:bookmarkEnd w:id="7"/>
    </w:p>
    <w:sectPr w:rsidR="0029176A" w:rsidRPr="004408C2" w:rsidSect="00B4004F">
      <w:headerReference w:type="default" r:id="rId16"/>
      <w:footerReference w:type="default" r:id="rId17"/>
      <w:type w:val="continuous"/>
      <w:pgSz w:w="11906" w:h="16838"/>
      <w:pgMar w:top="2836"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4526A" w14:textId="77777777" w:rsidR="00AF225E" w:rsidRDefault="00AF225E" w:rsidP="006D1088">
      <w:pPr>
        <w:spacing w:after="0" w:line="240" w:lineRule="auto"/>
      </w:pPr>
      <w:r>
        <w:separator/>
      </w:r>
    </w:p>
  </w:endnote>
  <w:endnote w:type="continuationSeparator" w:id="0">
    <w:p w14:paraId="4941737D" w14:textId="77777777" w:rsidR="00AF225E" w:rsidRDefault="00AF225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F41FE" w14:textId="77777777" w:rsidR="00C64B9E" w:rsidRPr="00C64B9E" w:rsidRDefault="004F3785"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7E1B1BF0">
        <v:rect id="_x0000_i1027" style="width:523.3pt;height:1.9pt" o:hralign="center" o:hrstd="t" o:hr="t" fillcolor="#a0a0a0" stroked="f"/>
      </w:pict>
    </w:r>
    <w:r w:rsidR="00C64B9E" w:rsidRPr="00C64B9E">
      <w:rPr>
        <w:color w:val="001A70" w:themeColor="text2"/>
        <w:sz w:val="16"/>
      </w:rPr>
      <w:t>Medicare Benefits Schedule</w:t>
    </w:r>
  </w:p>
  <w:p w14:paraId="07B38EC2" w14:textId="19BE6E2B" w:rsidR="00C64B9E" w:rsidRPr="00C64B9E" w:rsidRDefault="007C410A" w:rsidP="00C64B9E">
    <w:pPr>
      <w:tabs>
        <w:tab w:val="center" w:pos="4513"/>
        <w:tab w:val="right" w:pos="10466"/>
      </w:tabs>
      <w:spacing w:after="0" w:line="240" w:lineRule="auto"/>
      <w:rPr>
        <w:color w:val="001A70" w:themeColor="text2"/>
        <w:sz w:val="16"/>
      </w:rPr>
    </w:pPr>
    <w:r w:rsidRPr="00967A39">
      <w:rPr>
        <w:color w:val="001A70" w:themeColor="text2"/>
        <w:sz w:val="16"/>
      </w:rPr>
      <w:t xml:space="preserve">New MBS item for transcatheter </w:t>
    </w:r>
    <w:r w:rsidR="00906CE1" w:rsidRPr="00967A39">
      <w:rPr>
        <w:color w:val="001A70" w:themeColor="text2"/>
        <w:sz w:val="16"/>
      </w:rPr>
      <w:t>aortic</w:t>
    </w:r>
    <w:r w:rsidRPr="00967A39">
      <w:rPr>
        <w:color w:val="001A70" w:themeColor="text2"/>
        <w:sz w:val="16"/>
      </w:rPr>
      <w:t xml:space="preserve"> valve </w:t>
    </w:r>
    <w:r w:rsidR="004C2B68">
      <w:rPr>
        <w:color w:val="001A70" w:themeColor="text2"/>
        <w:sz w:val="16"/>
      </w:rPr>
      <w:t xml:space="preserve">implantation </w:t>
    </w:r>
    <w:r w:rsidR="00C64B9E" w:rsidRPr="00C64B9E">
      <w:rPr>
        <w:b/>
        <w:color w:val="001A70" w:themeColor="text2"/>
        <w:sz w:val="16"/>
      </w:rPr>
      <w:t xml:space="preserve">–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1825F6">
                  <w:rPr>
                    <w:color w:val="001A70" w:themeColor="text2"/>
                    <w:sz w:val="16"/>
                  </w:rPr>
                  <w:tab/>
                </w:r>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3B0D0D">
                  <w:rPr>
                    <w:bCs/>
                    <w:noProof/>
                    <w:color w:val="001A70" w:themeColor="text2"/>
                    <w:sz w:val="16"/>
                  </w:rPr>
                  <w:t>1</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3B0D0D">
                  <w:rPr>
                    <w:bCs/>
                    <w:noProof/>
                    <w:color w:val="001A70" w:themeColor="text2"/>
                    <w:sz w:val="16"/>
                  </w:rPr>
                  <w:t>11</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14:paraId="0E786805" w14:textId="77777777" w:rsidR="00C64B9E" w:rsidRDefault="004F3785"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14:paraId="3C3B3C7E" w14:textId="60825313" w:rsidR="005B7573" w:rsidRPr="005B7573" w:rsidRDefault="005B7573" w:rsidP="005B7573">
    <w:pPr>
      <w:tabs>
        <w:tab w:val="center" w:pos="4513"/>
        <w:tab w:val="right" w:pos="9026"/>
      </w:tabs>
      <w:spacing w:after="0" w:line="240" w:lineRule="auto"/>
      <w:rPr>
        <w:color w:val="001A70" w:themeColor="text2"/>
        <w:sz w:val="16"/>
      </w:rPr>
    </w:pPr>
    <w:bookmarkStart w:id="8" w:name="_Hlk6912109"/>
    <w:bookmarkStart w:id="9"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sidR="00416183">
      <w:rPr>
        <w:color w:val="001A70" w:themeColor="text2"/>
        <w:sz w:val="16"/>
      </w:rPr>
      <w:t xml:space="preserve"> </w:t>
    </w:r>
    <w:bookmarkEnd w:id="8"/>
    <w:bookmarkEnd w:id="9"/>
    <w:r w:rsidR="00DC5C94">
      <w:rPr>
        <w:color w:val="001A70" w:themeColor="text2"/>
        <w:sz w:val="16"/>
      </w:rPr>
      <w:t>12 May</w:t>
    </w:r>
    <w:r w:rsidR="00905C01">
      <w:rPr>
        <w:color w:val="001A70" w:themeColor="text2"/>
        <w:sz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CD5B5" w14:textId="77777777" w:rsidR="00AF225E" w:rsidRDefault="00AF225E" w:rsidP="006D1088">
      <w:pPr>
        <w:spacing w:after="0" w:line="240" w:lineRule="auto"/>
      </w:pPr>
      <w:r>
        <w:separator/>
      </w:r>
    </w:p>
  </w:footnote>
  <w:footnote w:type="continuationSeparator" w:id="0">
    <w:p w14:paraId="42C03F83" w14:textId="77777777" w:rsidR="00AF225E" w:rsidRDefault="00AF225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46E0" w14:textId="77777777" w:rsidR="00897D38" w:rsidRDefault="00F472AE">
    <w:pPr>
      <w:pStyle w:val="Header"/>
    </w:pPr>
    <w:r w:rsidRPr="006D1088">
      <w:rPr>
        <w:noProof/>
        <w:lang w:eastAsia="en-AU"/>
      </w:rPr>
      <w:drawing>
        <wp:anchor distT="0" distB="0" distL="114300" distR="114300" simplePos="0" relativeHeight="251657728" behindDoc="1" locked="0" layoutInCell="1" allowOverlap="1" wp14:anchorId="613DFF4F" wp14:editId="4F693E6F">
          <wp:simplePos x="0" y="0"/>
          <wp:positionH relativeFrom="page">
            <wp:posOffset>-35626</wp:posOffset>
          </wp:positionH>
          <wp:positionV relativeFrom="paragraph">
            <wp:posOffset>-485206</wp:posOffset>
          </wp:positionV>
          <wp:extent cx="7642860" cy="1610995"/>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1875"/>
        </w:tabs>
        <w:ind w:left="1875" w:hanging="360"/>
      </w:pPr>
      <w:rPr>
        <w:rFonts w:ascii="Symbol" w:hAnsi="Symbol" w:hint="default"/>
      </w:rPr>
    </w:lvl>
  </w:abstractNum>
  <w:abstractNum w:abstractNumId="1" w15:restartNumberingAfterBreak="0">
    <w:nsid w:val="02F236E2"/>
    <w:multiLevelType w:val="hybridMultilevel"/>
    <w:tmpl w:val="FA787596"/>
    <w:lvl w:ilvl="0" w:tplc="6B285F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50DE6"/>
    <w:multiLevelType w:val="hybridMultilevel"/>
    <w:tmpl w:val="18F283E4"/>
    <w:lvl w:ilvl="0" w:tplc="8FECB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C2CDD"/>
    <w:multiLevelType w:val="hybridMultilevel"/>
    <w:tmpl w:val="63E81992"/>
    <w:lvl w:ilvl="0" w:tplc="53881B1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775F4A"/>
    <w:multiLevelType w:val="hybridMultilevel"/>
    <w:tmpl w:val="046E61D0"/>
    <w:lvl w:ilvl="0" w:tplc="E8D0027A">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5" w15:restartNumberingAfterBreak="0">
    <w:nsid w:val="13C63879"/>
    <w:multiLevelType w:val="hybridMultilevel"/>
    <w:tmpl w:val="E06AD6C4"/>
    <w:lvl w:ilvl="0" w:tplc="CD04BFCA">
      <w:start w:val="1"/>
      <w:numFmt w:val="bullet"/>
      <w:lvlText w:val=""/>
      <w:lvlJc w:val="left"/>
      <w:pPr>
        <w:ind w:left="2204" w:hanging="360"/>
      </w:pPr>
      <w:rPr>
        <w:rFonts w:ascii="Symbol" w:hAnsi="Symbol"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6" w15:restartNumberingAfterBreak="0">
    <w:nsid w:val="16E63237"/>
    <w:multiLevelType w:val="hybridMultilevel"/>
    <w:tmpl w:val="C854F9C8"/>
    <w:lvl w:ilvl="0" w:tplc="2D52F9BA">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056F0"/>
    <w:multiLevelType w:val="hybridMultilevel"/>
    <w:tmpl w:val="EDBE4634"/>
    <w:lvl w:ilvl="0" w:tplc="92681582">
      <w:start w:val="1"/>
      <w:numFmt w:val="bullet"/>
      <w:lvlText w:val=""/>
      <w:lvlJc w:val="left"/>
      <w:pPr>
        <w:ind w:left="22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B369D"/>
    <w:multiLevelType w:val="hybridMultilevel"/>
    <w:tmpl w:val="000641C6"/>
    <w:lvl w:ilvl="0" w:tplc="9E34D8E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228132A"/>
    <w:multiLevelType w:val="hybridMultilevel"/>
    <w:tmpl w:val="EB2E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03C5C"/>
    <w:multiLevelType w:val="hybridMultilevel"/>
    <w:tmpl w:val="FA787596"/>
    <w:lvl w:ilvl="0" w:tplc="6B285F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F27452"/>
    <w:multiLevelType w:val="hybridMultilevel"/>
    <w:tmpl w:val="A812261C"/>
    <w:lvl w:ilvl="0" w:tplc="3AFC42C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2D52F9BA">
      <w:start w:val="1"/>
      <w:numFmt w:val="low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7705B"/>
    <w:multiLevelType w:val="hybridMultilevel"/>
    <w:tmpl w:val="0DD02E46"/>
    <w:lvl w:ilvl="0" w:tplc="83D6407C">
      <w:start w:val="1"/>
      <w:numFmt w:val="bullet"/>
      <w:lvlText w:val=""/>
      <w:lvlJc w:val="left"/>
      <w:pPr>
        <w:ind w:left="22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07876"/>
    <w:multiLevelType w:val="hybridMultilevel"/>
    <w:tmpl w:val="8146CB48"/>
    <w:lvl w:ilvl="0" w:tplc="479CB324">
      <w:start w:val="1"/>
      <w:numFmt w:val="lowerLetter"/>
      <w:lvlText w:val="(%1)"/>
      <w:lvlJc w:val="left"/>
      <w:pPr>
        <w:ind w:left="2204" w:hanging="360"/>
      </w:pPr>
      <w:rPr>
        <w:rFonts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B50489"/>
    <w:multiLevelType w:val="hybridMultilevel"/>
    <w:tmpl w:val="5EA4522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144413"/>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702"/>
        </w:tabs>
        <w:ind w:left="1702"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19" w15:restartNumberingAfterBreak="0">
    <w:nsid w:val="59A67FBB"/>
    <w:multiLevelType w:val="hybridMultilevel"/>
    <w:tmpl w:val="78E0BD82"/>
    <w:lvl w:ilvl="0" w:tplc="40E4B4B0">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0" w15:restartNumberingAfterBreak="0">
    <w:nsid w:val="5A60616D"/>
    <w:multiLevelType w:val="hybridMultilevel"/>
    <w:tmpl w:val="E160DED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4349EF"/>
    <w:multiLevelType w:val="hybridMultilevel"/>
    <w:tmpl w:val="558C4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C407D"/>
    <w:multiLevelType w:val="hybridMultilevel"/>
    <w:tmpl w:val="1230236A"/>
    <w:lvl w:ilvl="0" w:tplc="1EFE4EBE">
      <w:start w:val="1"/>
      <w:numFmt w:val="bullet"/>
      <w:lvlText w:val=""/>
      <w:lvlJc w:val="left"/>
      <w:pPr>
        <w:ind w:left="2880" w:hanging="360"/>
      </w:pPr>
      <w:rPr>
        <w:rFonts w:ascii="Symbol" w:hAnsi="Symbol" w:hint="default"/>
        <w:color w:val="001A70" w:themeColor="text2"/>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3" w15:restartNumberingAfterBreak="0">
    <w:nsid w:val="5F341C13"/>
    <w:multiLevelType w:val="hybridMultilevel"/>
    <w:tmpl w:val="AF583AF8"/>
    <w:lvl w:ilvl="0" w:tplc="995E3E2A">
      <w:start w:val="1"/>
      <w:numFmt w:val="lowerLetter"/>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4" w15:restartNumberingAfterBreak="0">
    <w:nsid w:val="607D72A3"/>
    <w:multiLevelType w:val="hybridMultilevel"/>
    <w:tmpl w:val="65C22580"/>
    <w:lvl w:ilvl="0" w:tplc="40E4B4B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61110EE7"/>
    <w:multiLevelType w:val="hybridMultilevel"/>
    <w:tmpl w:val="6B18F41E"/>
    <w:lvl w:ilvl="0" w:tplc="CFDE3872">
      <w:start w:val="1"/>
      <w:numFmt w:val="bullet"/>
      <w:pStyle w:val="ListParagraph"/>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17508F"/>
    <w:multiLevelType w:val="hybridMultilevel"/>
    <w:tmpl w:val="6CE62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9D4F19"/>
    <w:multiLevelType w:val="hybridMultilevel"/>
    <w:tmpl w:val="5976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C069B7"/>
    <w:multiLevelType w:val="hybridMultilevel"/>
    <w:tmpl w:val="18F283E4"/>
    <w:lvl w:ilvl="0" w:tplc="8FECB20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AE7914"/>
    <w:multiLevelType w:val="hybridMultilevel"/>
    <w:tmpl w:val="522E03D8"/>
    <w:lvl w:ilvl="0" w:tplc="B680D6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7"/>
  </w:num>
  <w:num w:numId="2">
    <w:abstractNumId w:val="7"/>
  </w:num>
  <w:num w:numId="3">
    <w:abstractNumId w:val="22"/>
  </w:num>
  <w:num w:numId="4">
    <w:abstractNumId w:val="8"/>
  </w:num>
  <w:num w:numId="5">
    <w:abstractNumId w:val="16"/>
  </w:num>
  <w:num w:numId="6">
    <w:abstractNumId w:val="22"/>
  </w:num>
  <w:num w:numId="7">
    <w:abstractNumId w:val="0"/>
  </w:num>
  <w:num w:numId="8">
    <w:abstractNumId w:val="22"/>
  </w:num>
  <w:num w:numId="9">
    <w:abstractNumId w:val="8"/>
  </w:num>
  <w:num w:numId="10">
    <w:abstractNumId w:val="26"/>
  </w:num>
  <w:num w:numId="11">
    <w:abstractNumId w:val="27"/>
  </w:num>
  <w:num w:numId="12">
    <w:abstractNumId w:val="13"/>
  </w:num>
  <w:num w:numId="13">
    <w:abstractNumId w:val="18"/>
  </w:num>
  <w:num w:numId="14">
    <w:abstractNumId w:val="6"/>
  </w:num>
  <w:num w:numId="15">
    <w:abstractNumId w:val="19"/>
  </w:num>
  <w:num w:numId="16">
    <w:abstractNumId w:val="24"/>
  </w:num>
  <w:num w:numId="17">
    <w:abstractNumId w:val="4"/>
  </w:num>
  <w:num w:numId="18">
    <w:abstractNumId w:val="6"/>
    <w:lvlOverride w:ilvl="0">
      <w:startOverride w:val="1"/>
    </w:lvlOverride>
  </w:num>
  <w:num w:numId="19">
    <w:abstractNumId w:val="6"/>
    <w:lvlOverride w:ilvl="0">
      <w:startOverride w:val="1"/>
    </w:lvlOverride>
  </w:num>
  <w:num w:numId="20">
    <w:abstractNumId w:val="15"/>
  </w:num>
  <w:num w:numId="21">
    <w:abstractNumId w:val="15"/>
    <w:lvlOverride w:ilvl="0">
      <w:startOverride w:val="1"/>
    </w:lvlOverride>
  </w:num>
  <w:num w:numId="22">
    <w:abstractNumId w:val="15"/>
    <w:lvlOverride w:ilvl="0">
      <w:startOverride w:val="1"/>
    </w:lvlOverride>
  </w:num>
  <w:num w:numId="23">
    <w:abstractNumId w:val="15"/>
  </w:num>
  <w:num w:numId="24">
    <w:abstractNumId w:val="15"/>
  </w:num>
  <w:num w:numId="25">
    <w:abstractNumId w:val="17"/>
  </w:num>
  <w:num w:numId="26">
    <w:abstractNumId w:val="20"/>
  </w:num>
  <w:num w:numId="27">
    <w:abstractNumId w:val="25"/>
  </w:num>
  <w:num w:numId="28">
    <w:abstractNumId w:val="5"/>
  </w:num>
  <w:num w:numId="29">
    <w:abstractNumId w:val="23"/>
  </w:num>
  <w:num w:numId="30">
    <w:abstractNumId w:val="23"/>
    <w:lvlOverride w:ilvl="0">
      <w:startOverride w:val="1"/>
    </w:lvlOverride>
  </w:num>
  <w:num w:numId="31">
    <w:abstractNumId w:val="14"/>
  </w:num>
  <w:num w:numId="32">
    <w:abstractNumId w:val="29"/>
  </w:num>
  <w:num w:numId="33">
    <w:abstractNumId w:val="29"/>
    <w:lvlOverride w:ilvl="0">
      <w:startOverride w:val="1"/>
    </w:lvlOverride>
  </w:num>
  <w:num w:numId="34">
    <w:abstractNumId w:val="9"/>
  </w:num>
  <w:num w:numId="35">
    <w:abstractNumId w:val="3"/>
  </w:num>
  <w:num w:numId="36">
    <w:abstractNumId w:val="21"/>
  </w:num>
  <w:num w:numId="37">
    <w:abstractNumId w:val="3"/>
  </w:num>
  <w:num w:numId="38">
    <w:abstractNumId w:val="3"/>
  </w:num>
  <w:num w:numId="39">
    <w:abstractNumId w:val="3"/>
  </w:num>
  <w:num w:numId="40">
    <w:abstractNumId w:val="3"/>
  </w:num>
  <w:num w:numId="41">
    <w:abstractNumId w:val="11"/>
  </w:num>
  <w:num w:numId="42">
    <w:abstractNumId w:val="10"/>
  </w:num>
  <w:num w:numId="43">
    <w:abstractNumId w:val="10"/>
  </w:num>
  <w:num w:numId="44">
    <w:abstractNumId w:val="28"/>
  </w:num>
  <w:num w:numId="45">
    <w:abstractNumId w:val="12"/>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DB"/>
    <w:rsid w:val="0000132B"/>
    <w:rsid w:val="0000535C"/>
    <w:rsid w:val="00011623"/>
    <w:rsid w:val="000116E8"/>
    <w:rsid w:val="00015ACB"/>
    <w:rsid w:val="00017D5D"/>
    <w:rsid w:val="000204AF"/>
    <w:rsid w:val="0003040F"/>
    <w:rsid w:val="00031767"/>
    <w:rsid w:val="00032635"/>
    <w:rsid w:val="00032AB6"/>
    <w:rsid w:val="00037F63"/>
    <w:rsid w:val="000406ED"/>
    <w:rsid w:val="00043100"/>
    <w:rsid w:val="00072A47"/>
    <w:rsid w:val="00073F1A"/>
    <w:rsid w:val="000872B3"/>
    <w:rsid w:val="000A16A3"/>
    <w:rsid w:val="000A43C6"/>
    <w:rsid w:val="000B01AE"/>
    <w:rsid w:val="000B05E6"/>
    <w:rsid w:val="000B1C83"/>
    <w:rsid w:val="000C2500"/>
    <w:rsid w:val="000C294E"/>
    <w:rsid w:val="000C48FC"/>
    <w:rsid w:val="000E4D3E"/>
    <w:rsid w:val="000E7D2B"/>
    <w:rsid w:val="00101643"/>
    <w:rsid w:val="0010315B"/>
    <w:rsid w:val="00114403"/>
    <w:rsid w:val="0014006A"/>
    <w:rsid w:val="00143450"/>
    <w:rsid w:val="00161CDF"/>
    <w:rsid w:val="001620B2"/>
    <w:rsid w:val="00181B52"/>
    <w:rsid w:val="001825F6"/>
    <w:rsid w:val="001926B5"/>
    <w:rsid w:val="001A379F"/>
    <w:rsid w:val="001A73A5"/>
    <w:rsid w:val="001B1E67"/>
    <w:rsid w:val="001C1102"/>
    <w:rsid w:val="001C24A1"/>
    <w:rsid w:val="001C39EA"/>
    <w:rsid w:val="001C3B15"/>
    <w:rsid w:val="001D4C1F"/>
    <w:rsid w:val="001D7BC7"/>
    <w:rsid w:val="001E0E96"/>
    <w:rsid w:val="001E3873"/>
    <w:rsid w:val="001E4AAE"/>
    <w:rsid w:val="001F6720"/>
    <w:rsid w:val="00201C5B"/>
    <w:rsid w:val="00202B46"/>
    <w:rsid w:val="00215F3B"/>
    <w:rsid w:val="00220B06"/>
    <w:rsid w:val="00225FE2"/>
    <w:rsid w:val="00234B8D"/>
    <w:rsid w:val="002360FA"/>
    <w:rsid w:val="00237393"/>
    <w:rsid w:val="00237A96"/>
    <w:rsid w:val="00237BE8"/>
    <w:rsid w:val="00240B49"/>
    <w:rsid w:val="0024104B"/>
    <w:rsid w:val="00242281"/>
    <w:rsid w:val="00244C4C"/>
    <w:rsid w:val="002672AF"/>
    <w:rsid w:val="002746BB"/>
    <w:rsid w:val="0027565A"/>
    <w:rsid w:val="002845AF"/>
    <w:rsid w:val="0029143B"/>
    <w:rsid w:val="0029176A"/>
    <w:rsid w:val="00296DD0"/>
    <w:rsid w:val="002A3C7C"/>
    <w:rsid w:val="002A5BA0"/>
    <w:rsid w:val="002B2093"/>
    <w:rsid w:val="002B39E6"/>
    <w:rsid w:val="002D02F1"/>
    <w:rsid w:val="0030403D"/>
    <w:rsid w:val="00317978"/>
    <w:rsid w:val="00322ACB"/>
    <w:rsid w:val="00332D5E"/>
    <w:rsid w:val="00333BB9"/>
    <w:rsid w:val="0033632B"/>
    <w:rsid w:val="003370DF"/>
    <w:rsid w:val="00345637"/>
    <w:rsid w:val="00351A27"/>
    <w:rsid w:val="00352321"/>
    <w:rsid w:val="00354816"/>
    <w:rsid w:val="003567CD"/>
    <w:rsid w:val="00361DC9"/>
    <w:rsid w:val="00363A31"/>
    <w:rsid w:val="00372A70"/>
    <w:rsid w:val="0037629D"/>
    <w:rsid w:val="003A00C6"/>
    <w:rsid w:val="003A0228"/>
    <w:rsid w:val="003A7902"/>
    <w:rsid w:val="003B0D0D"/>
    <w:rsid w:val="003C0450"/>
    <w:rsid w:val="003D3AEC"/>
    <w:rsid w:val="003D3DF9"/>
    <w:rsid w:val="003D5885"/>
    <w:rsid w:val="003D5CEF"/>
    <w:rsid w:val="003E1487"/>
    <w:rsid w:val="003E5287"/>
    <w:rsid w:val="003E5FE6"/>
    <w:rsid w:val="003E726C"/>
    <w:rsid w:val="004019A5"/>
    <w:rsid w:val="0040562E"/>
    <w:rsid w:val="0041360F"/>
    <w:rsid w:val="00416183"/>
    <w:rsid w:val="004178C8"/>
    <w:rsid w:val="00424954"/>
    <w:rsid w:val="00430577"/>
    <w:rsid w:val="00432212"/>
    <w:rsid w:val="004327F7"/>
    <w:rsid w:val="00434A64"/>
    <w:rsid w:val="004408C2"/>
    <w:rsid w:val="0045721A"/>
    <w:rsid w:val="00460FDA"/>
    <w:rsid w:val="00464E24"/>
    <w:rsid w:val="00466A32"/>
    <w:rsid w:val="00470DD5"/>
    <w:rsid w:val="004762A0"/>
    <w:rsid w:val="004775B0"/>
    <w:rsid w:val="00492DDB"/>
    <w:rsid w:val="00493BC3"/>
    <w:rsid w:val="00494279"/>
    <w:rsid w:val="004967DB"/>
    <w:rsid w:val="004A36D7"/>
    <w:rsid w:val="004B2F0C"/>
    <w:rsid w:val="004C1290"/>
    <w:rsid w:val="004C2B68"/>
    <w:rsid w:val="004D4C5D"/>
    <w:rsid w:val="004F3785"/>
    <w:rsid w:val="004F44D5"/>
    <w:rsid w:val="00500AA2"/>
    <w:rsid w:val="00505FB0"/>
    <w:rsid w:val="00513226"/>
    <w:rsid w:val="00514082"/>
    <w:rsid w:val="005154C0"/>
    <w:rsid w:val="00520161"/>
    <w:rsid w:val="00521F2E"/>
    <w:rsid w:val="00551374"/>
    <w:rsid w:val="00555D6F"/>
    <w:rsid w:val="00561EDD"/>
    <w:rsid w:val="00562A42"/>
    <w:rsid w:val="005657CF"/>
    <w:rsid w:val="005708A4"/>
    <w:rsid w:val="005721A7"/>
    <w:rsid w:val="00575F34"/>
    <w:rsid w:val="005976B9"/>
    <w:rsid w:val="005A3E55"/>
    <w:rsid w:val="005B7573"/>
    <w:rsid w:val="005D50DA"/>
    <w:rsid w:val="005F70A1"/>
    <w:rsid w:val="00601A0A"/>
    <w:rsid w:val="006054CC"/>
    <w:rsid w:val="00623477"/>
    <w:rsid w:val="00627DF5"/>
    <w:rsid w:val="00630329"/>
    <w:rsid w:val="0064180F"/>
    <w:rsid w:val="00645B09"/>
    <w:rsid w:val="00671AE2"/>
    <w:rsid w:val="00681667"/>
    <w:rsid w:val="00690F95"/>
    <w:rsid w:val="006A2FD2"/>
    <w:rsid w:val="006B22AF"/>
    <w:rsid w:val="006B2891"/>
    <w:rsid w:val="006B560A"/>
    <w:rsid w:val="006B6DD9"/>
    <w:rsid w:val="006C5021"/>
    <w:rsid w:val="006D1088"/>
    <w:rsid w:val="006F5785"/>
    <w:rsid w:val="00701E4D"/>
    <w:rsid w:val="007020BF"/>
    <w:rsid w:val="00712091"/>
    <w:rsid w:val="00712F33"/>
    <w:rsid w:val="00713D18"/>
    <w:rsid w:val="00721396"/>
    <w:rsid w:val="00723C6B"/>
    <w:rsid w:val="0073257C"/>
    <w:rsid w:val="00736D31"/>
    <w:rsid w:val="007431EE"/>
    <w:rsid w:val="007444C3"/>
    <w:rsid w:val="00744BB7"/>
    <w:rsid w:val="00763E5B"/>
    <w:rsid w:val="00772813"/>
    <w:rsid w:val="007733B5"/>
    <w:rsid w:val="00774C9D"/>
    <w:rsid w:val="00774E1E"/>
    <w:rsid w:val="00780EF8"/>
    <w:rsid w:val="00791767"/>
    <w:rsid w:val="00794E39"/>
    <w:rsid w:val="007A232E"/>
    <w:rsid w:val="007A2613"/>
    <w:rsid w:val="007A2675"/>
    <w:rsid w:val="007B47FF"/>
    <w:rsid w:val="007B53C1"/>
    <w:rsid w:val="007C304E"/>
    <w:rsid w:val="007C343E"/>
    <w:rsid w:val="007C410A"/>
    <w:rsid w:val="007C532F"/>
    <w:rsid w:val="007D0AC6"/>
    <w:rsid w:val="007F463D"/>
    <w:rsid w:val="00805891"/>
    <w:rsid w:val="0080635A"/>
    <w:rsid w:val="00814AE2"/>
    <w:rsid w:val="00814BAF"/>
    <w:rsid w:val="00820EBE"/>
    <w:rsid w:val="00821361"/>
    <w:rsid w:val="00852651"/>
    <w:rsid w:val="008629C0"/>
    <w:rsid w:val="00867DDA"/>
    <w:rsid w:val="0087194A"/>
    <w:rsid w:val="00872767"/>
    <w:rsid w:val="00884022"/>
    <w:rsid w:val="00897D38"/>
    <w:rsid w:val="008A0391"/>
    <w:rsid w:val="008A1973"/>
    <w:rsid w:val="008A210D"/>
    <w:rsid w:val="008A71B5"/>
    <w:rsid w:val="008A72FC"/>
    <w:rsid w:val="008B049A"/>
    <w:rsid w:val="008B31BF"/>
    <w:rsid w:val="008C370C"/>
    <w:rsid w:val="008C667D"/>
    <w:rsid w:val="008C7C94"/>
    <w:rsid w:val="008D1A11"/>
    <w:rsid w:val="008D3AF5"/>
    <w:rsid w:val="008E02D8"/>
    <w:rsid w:val="008E2C75"/>
    <w:rsid w:val="008E48B0"/>
    <w:rsid w:val="008E6889"/>
    <w:rsid w:val="00905C01"/>
    <w:rsid w:val="00906169"/>
    <w:rsid w:val="00906CE1"/>
    <w:rsid w:val="00907C83"/>
    <w:rsid w:val="00911BCA"/>
    <w:rsid w:val="00927C7F"/>
    <w:rsid w:val="009342F2"/>
    <w:rsid w:val="00944B72"/>
    <w:rsid w:val="00952A5A"/>
    <w:rsid w:val="00963FFE"/>
    <w:rsid w:val="00967A39"/>
    <w:rsid w:val="00993FAA"/>
    <w:rsid w:val="00995710"/>
    <w:rsid w:val="00995EB7"/>
    <w:rsid w:val="00996BCB"/>
    <w:rsid w:val="009A4B09"/>
    <w:rsid w:val="009A4D5D"/>
    <w:rsid w:val="009A78A9"/>
    <w:rsid w:val="009B6B94"/>
    <w:rsid w:val="009B6E2F"/>
    <w:rsid w:val="009C49FB"/>
    <w:rsid w:val="009C53E8"/>
    <w:rsid w:val="009C575A"/>
    <w:rsid w:val="009E2BC0"/>
    <w:rsid w:val="009E7FAC"/>
    <w:rsid w:val="00A040C1"/>
    <w:rsid w:val="00A12B19"/>
    <w:rsid w:val="00A22013"/>
    <w:rsid w:val="00A24609"/>
    <w:rsid w:val="00A33ACB"/>
    <w:rsid w:val="00A44582"/>
    <w:rsid w:val="00A44E96"/>
    <w:rsid w:val="00A55BEA"/>
    <w:rsid w:val="00A7452E"/>
    <w:rsid w:val="00A76A6B"/>
    <w:rsid w:val="00A80234"/>
    <w:rsid w:val="00AA1579"/>
    <w:rsid w:val="00AA15C7"/>
    <w:rsid w:val="00AB2425"/>
    <w:rsid w:val="00AC679F"/>
    <w:rsid w:val="00AD2DB9"/>
    <w:rsid w:val="00AD581A"/>
    <w:rsid w:val="00AE0D93"/>
    <w:rsid w:val="00AF156C"/>
    <w:rsid w:val="00AF225E"/>
    <w:rsid w:val="00B04640"/>
    <w:rsid w:val="00B05D3D"/>
    <w:rsid w:val="00B1489B"/>
    <w:rsid w:val="00B23A4C"/>
    <w:rsid w:val="00B25D36"/>
    <w:rsid w:val="00B3107B"/>
    <w:rsid w:val="00B31C3E"/>
    <w:rsid w:val="00B33245"/>
    <w:rsid w:val="00B344DF"/>
    <w:rsid w:val="00B4004F"/>
    <w:rsid w:val="00B472BF"/>
    <w:rsid w:val="00B52077"/>
    <w:rsid w:val="00B623B0"/>
    <w:rsid w:val="00B63FB9"/>
    <w:rsid w:val="00B70DD3"/>
    <w:rsid w:val="00B77E09"/>
    <w:rsid w:val="00B91D2B"/>
    <w:rsid w:val="00BA657E"/>
    <w:rsid w:val="00BB08AC"/>
    <w:rsid w:val="00BB16A0"/>
    <w:rsid w:val="00BB30BB"/>
    <w:rsid w:val="00BC4E46"/>
    <w:rsid w:val="00BC7A71"/>
    <w:rsid w:val="00BF222B"/>
    <w:rsid w:val="00BF35F3"/>
    <w:rsid w:val="00C060D4"/>
    <w:rsid w:val="00C0661D"/>
    <w:rsid w:val="00C13B16"/>
    <w:rsid w:val="00C208FC"/>
    <w:rsid w:val="00C33A20"/>
    <w:rsid w:val="00C50A47"/>
    <w:rsid w:val="00C6066D"/>
    <w:rsid w:val="00C64B9E"/>
    <w:rsid w:val="00C72C2D"/>
    <w:rsid w:val="00C8223A"/>
    <w:rsid w:val="00C82836"/>
    <w:rsid w:val="00C8299F"/>
    <w:rsid w:val="00C831B9"/>
    <w:rsid w:val="00C831ED"/>
    <w:rsid w:val="00C834B2"/>
    <w:rsid w:val="00C86856"/>
    <w:rsid w:val="00C87CBF"/>
    <w:rsid w:val="00C9413A"/>
    <w:rsid w:val="00C954BA"/>
    <w:rsid w:val="00CA6793"/>
    <w:rsid w:val="00CA743D"/>
    <w:rsid w:val="00CC6B10"/>
    <w:rsid w:val="00CF3034"/>
    <w:rsid w:val="00D0459C"/>
    <w:rsid w:val="00D1266F"/>
    <w:rsid w:val="00D214F8"/>
    <w:rsid w:val="00D227C2"/>
    <w:rsid w:val="00D22D48"/>
    <w:rsid w:val="00D24276"/>
    <w:rsid w:val="00D30B91"/>
    <w:rsid w:val="00D33A0D"/>
    <w:rsid w:val="00D37AB6"/>
    <w:rsid w:val="00D37FD2"/>
    <w:rsid w:val="00D465FA"/>
    <w:rsid w:val="00D46BFF"/>
    <w:rsid w:val="00D640CC"/>
    <w:rsid w:val="00D641BC"/>
    <w:rsid w:val="00D64536"/>
    <w:rsid w:val="00D70B63"/>
    <w:rsid w:val="00D76659"/>
    <w:rsid w:val="00D80477"/>
    <w:rsid w:val="00D8668D"/>
    <w:rsid w:val="00DA69C6"/>
    <w:rsid w:val="00DA6D06"/>
    <w:rsid w:val="00DB1343"/>
    <w:rsid w:val="00DB1A46"/>
    <w:rsid w:val="00DB428C"/>
    <w:rsid w:val="00DC0BA8"/>
    <w:rsid w:val="00DC5C94"/>
    <w:rsid w:val="00DD3E9E"/>
    <w:rsid w:val="00DE22E2"/>
    <w:rsid w:val="00DE6AED"/>
    <w:rsid w:val="00DF283A"/>
    <w:rsid w:val="00E00453"/>
    <w:rsid w:val="00E0254C"/>
    <w:rsid w:val="00E039F9"/>
    <w:rsid w:val="00E100BC"/>
    <w:rsid w:val="00E22805"/>
    <w:rsid w:val="00E25F4F"/>
    <w:rsid w:val="00E3135B"/>
    <w:rsid w:val="00E401CE"/>
    <w:rsid w:val="00E4126A"/>
    <w:rsid w:val="00E47521"/>
    <w:rsid w:val="00E56953"/>
    <w:rsid w:val="00E60F91"/>
    <w:rsid w:val="00E6115B"/>
    <w:rsid w:val="00E64E8C"/>
    <w:rsid w:val="00E73DE4"/>
    <w:rsid w:val="00E75935"/>
    <w:rsid w:val="00E76327"/>
    <w:rsid w:val="00E86B6A"/>
    <w:rsid w:val="00E921EB"/>
    <w:rsid w:val="00E926FF"/>
    <w:rsid w:val="00E92F83"/>
    <w:rsid w:val="00E95C64"/>
    <w:rsid w:val="00EA1900"/>
    <w:rsid w:val="00ED1805"/>
    <w:rsid w:val="00EF1152"/>
    <w:rsid w:val="00EF3E15"/>
    <w:rsid w:val="00EF7676"/>
    <w:rsid w:val="00F074CE"/>
    <w:rsid w:val="00F11625"/>
    <w:rsid w:val="00F333A7"/>
    <w:rsid w:val="00F33706"/>
    <w:rsid w:val="00F37C06"/>
    <w:rsid w:val="00F46D9B"/>
    <w:rsid w:val="00F472AE"/>
    <w:rsid w:val="00F54658"/>
    <w:rsid w:val="00F5549E"/>
    <w:rsid w:val="00F662B1"/>
    <w:rsid w:val="00F67C3D"/>
    <w:rsid w:val="00F8320B"/>
    <w:rsid w:val="00F8662A"/>
    <w:rsid w:val="00F90D8D"/>
    <w:rsid w:val="00F95ADE"/>
    <w:rsid w:val="00FB67D0"/>
    <w:rsid w:val="00FC266D"/>
    <w:rsid w:val="00FC29C2"/>
    <w:rsid w:val="00FC5A81"/>
    <w:rsid w:val="00FC7546"/>
    <w:rsid w:val="00FC7F86"/>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6B92F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514082"/>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7431EE"/>
    <w:pPr>
      <w:spacing w:after="120" w:line="276" w:lineRule="auto"/>
      <w:outlineLvl w:val="1"/>
    </w:pPr>
    <w:rPr>
      <w:rFonts w:asciiTheme="majorHAnsi" w:hAnsiTheme="majorHAnsi" w:cstheme="majorHAnsi"/>
      <w:b/>
      <w:noProof/>
      <w:color w:val="002060"/>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082"/>
    <w:rPr>
      <w:rFonts w:asciiTheme="majorHAnsi" w:eastAsiaTheme="majorEastAsia" w:hAnsiTheme="majorHAnsi" w:cstheme="majorBidi"/>
      <w:color w:val="001A70" w:themeColor="text2"/>
      <w:sz w:val="52"/>
      <w:szCs w:val="40"/>
    </w:rPr>
  </w:style>
  <w:style w:type="paragraph" w:styleId="ListParagraph">
    <w:name w:val="List Paragraph"/>
    <w:basedOn w:val="Normal"/>
    <w:link w:val="ListParagraphChar"/>
    <w:autoRedefine/>
    <w:uiPriority w:val="34"/>
    <w:qFormat/>
    <w:rsid w:val="00B1489B"/>
    <w:pPr>
      <w:numPr>
        <w:numId w:val="27"/>
      </w:numPr>
    </w:pPr>
    <w:rPr>
      <w:noProof/>
      <w:color w:val="002060"/>
    </w:rPr>
  </w:style>
  <w:style w:type="character" w:customStyle="1" w:styleId="Heading2Char">
    <w:name w:val="Heading 2 Char"/>
    <w:basedOn w:val="DefaultParagraphFont"/>
    <w:link w:val="Heading2"/>
    <w:rsid w:val="007431EE"/>
    <w:rPr>
      <w:rFonts w:asciiTheme="majorHAnsi" w:eastAsiaTheme="minorEastAsia" w:hAnsiTheme="majorHAnsi" w:cstheme="majorHAnsi"/>
      <w:b/>
      <w:noProof/>
      <w:color w:val="002060"/>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DB428C"/>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unhideWhenUsed/>
    <w:rsid w:val="008E48B0"/>
    <w:pPr>
      <w:spacing w:line="240" w:lineRule="auto"/>
    </w:pPr>
    <w:rPr>
      <w:szCs w:val="20"/>
    </w:rPr>
  </w:style>
  <w:style w:type="character" w:customStyle="1" w:styleId="CommentTextChar">
    <w:name w:val="Comment Text Char"/>
    <w:basedOn w:val="DefaultParagraphFont"/>
    <w:link w:val="CommentText"/>
    <w:uiPriority w:val="99"/>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paragraph" w:customStyle="1" w:styleId="Tablea">
    <w:name w:val="Table(a)"/>
    <w:aliases w:val="ta"/>
    <w:basedOn w:val="Normal"/>
    <w:rsid w:val="003D3AEC"/>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3D3AEC"/>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3D3AEC"/>
    <w:pPr>
      <w:spacing w:before="60" w:after="0" w:line="240" w:lineRule="atLeast"/>
    </w:pPr>
    <w:rPr>
      <w:rFonts w:ascii="Times New Roman" w:eastAsia="Times New Roman" w:hAnsi="Times New Roman" w:cs="Times New Roman"/>
      <w:szCs w:val="20"/>
      <w:lang w:eastAsia="en-AU"/>
    </w:rPr>
  </w:style>
  <w:style w:type="character" w:customStyle="1" w:styleId="ListParagraphChar">
    <w:name w:val="List Paragraph Char"/>
    <w:basedOn w:val="DefaultParagraphFont"/>
    <w:link w:val="ListParagraph"/>
    <w:uiPriority w:val="34"/>
    <w:locked/>
    <w:rsid w:val="00B1489B"/>
    <w:rPr>
      <w:rFonts w:ascii="Arial" w:eastAsiaTheme="minorEastAsia" w:hAnsi="Arial"/>
      <w:noProof/>
      <w:color w:val="002060"/>
      <w:sz w:val="20"/>
      <w:szCs w:val="21"/>
    </w:rPr>
  </w:style>
  <w:style w:type="paragraph" w:customStyle="1" w:styleId="TblLeft">
    <w:name w:val="Tbl Left"/>
    <w:basedOn w:val="Normal"/>
    <w:link w:val="TblLeftChar"/>
    <w:uiPriority w:val="21"/>
    <w:qFormat/>
    <w:rsid w:val="008E6889"/>
    <w:pPr>
      <w:spacing w:after="0" w:line="240" w:lineRule="auto"/>
      <w:contextualSpacing/>
    </w:pPr>
    <w:rPr>
      <w:rFonts w:eastAsia="Times New Roman" w:cs="Times New Roman"/>
      <w:sz w:val="22"/>
      <w:szCs w:val="24"/>
    </w:rPr>
  </w:style>
  <w:style w:type="table" w:customStyle="1" w:styleId="MBSOnlineTable">
    <w:name w:val="MBSOnlineTable"/>
    <w:basedOn w:val="TableNormal"/>
    <w:uiPriority w:val="99"/>
    <w:rsid w:val="008E6889"/>
    <w:pPr>
      <w:spacing w:after="0" w:line="240" w:lineRule="auto"/>
      <w:contextualSpacing/>
      <w:jc w:val="right"/>
    </w:pPr>
    <w:rPr>
      <w:rFonts w:ascii="Arial" w:eastAsia="Times New Roman" w:hAnsi="Arial" w:cs="Times New Roman"/>
      <w:sz w:val="24"/>
      <w:szCs w:val="24"/>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character" w:customStyle="1" w:styleId="TblLeftChar">
    <w:name w:val="Tbl Left Char"/>
    <w:basedOn w:val="DefaultParagraphFont"/>
    <w:link w:val="TblLeft"/>
    <w:uiPriority w:val="21"/>
    <w:locked/>
    <w:rsid w:val="008E6889"/>
    <w:rPr>
      <w:rFonts w:ascii="Arial" w:eastAsia="Times New Roman" w:hAnsi="Arial" w:cs="Times New Roman"/>
      <w:szCs w:val="24"/>
    </w:rPr>
  </w:style>
  <w:style w:type="paragraph" w:customStyle="1" w:styleId="Healthnumlevel2">
    <w:name w:val="Health (num) level 2"/>
    <w:basedOn w:val="Normal"/>
    <w:link w:val="Healthnumlevel2Char"/>
    <w:rsid w:val="008E6889"/>
    <w:pPr>
      <w:tabs>
        <w:tab w:val="num" w:pos="1702"/>
      </w:tabs>
      <w:autoSpaceDE w:val="0"/>
      <w:autoSpaceDN w:val="0"/>
      <w:spacing w:before="60" w:after="0" w:line="240" w:lineRule="auto"/>
      <w:ind w:left="1702" w:hanging="851"/>
    </w:pPr>
    <w:rPr>
      <w:rFonts w:ascii="Times New Roman" w:eastAsia="Times New Roman" w:hAnsi="Times New Roman" w:cs="Times New Roman"/>
      <w:color w:val="000000"/>
      <w:sz w:val="24"/>
      <w:szCs w:val="24"/>
    </w:rPr>
  </w:style>
  <w:style w:type="paragraph" w:customStyle="1" w:styleId="HealthnumLevel3">
    <w:name w:val="Health (num) Level 3"/>
    <w:basedOn w:val="Normal"/>
    <w:rsid w:val="008E6889"/>
    <w:pPr>
      <w:tabs>
        <w:tab w:val="num" w:pos="2671"/>
      </w:tabs>
      <w:autoSpaceDE w:val="0"/>
      <w:autoSpaceDN w:val="0"/>
      <w:spacing w:before="60" w:after="0" w:line="260" w:lineRule="exact"/>
      <w:ind w:left="2671" w:hanging="850"/>
      <w:jc w:val="both"/>
    </w:pPr>
    <w:rPr>
      <w:rFonts w:ascii="Times New Roman" w:eastAsia="Times New Roman" w:hAnsi="Times New Roman" w:cs="Times New Roman"/>
      <w:color w:val="000000"/>
      <w:sz w:val="24"/>
      <w:szCs w:val="24"/>
    </w:rPr>
  </w:style>
  <w:style w:type="character" w:customStyle="1" w:styleId="Healthnumlevel2Char">
    <w:name w:val="Health (num) level 2 Char"/>
    <w:link w:val="Healthnumlevel2"/>
    <w:rsid w:val="008E6889"/>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C575A"/>
    <w:rPr>
      <w:color w:val="5F259F" w:themeColor="followedHyperlink"/>
      <w:u w:val="single"/>
    </w:rPr>
  </w:style>
  <w:style w:type="paragraph" w:customStyle="1" w:styleId="ShortT">
    <w:name w:val="ShortT"/>
    <w:basedOn w:val="Normal"/>
    <w:next w:val="Normal"/>
    <w:qFormat/>
    <w:rsid w:val="009A78A9"/>
    <w:pPr>
      <w:spacing w:after="0" w:line="240" w:lineRule="auto"/>
    </w:pPr>
    <w:rPr>
      <w:rFonts w:ascii="Times New Roman" w:eastAsia="Times New Roman" w:hAnsi="Times New Roman" w:cs="Times New Roman"/>
      <w:b/>
      <w:sz w:val="40"/>
      <w:szCs w:val="20"/>
      <w:lang w:eastAsia="en-AU"/>
    </w:rPr>
  </w:style>
  <w:style w:type="paragraph" w:customStyle="1" w:styleId="tabletext0">
    <w:name w:val="tabletext"/>
    <w:basedOn w:val="Normal"/>
    <w:rsid w:val="009B6B9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30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18001">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80438260">
      <w:bodyDiv w:val="1"/>
      <w:marLeft w:val="0"/>
      <w:marRight w:val="0"/>
      <w:marTop w:val="0"/>
      <w:marBottom w:val="0"/>
      <w:divBdr>
        <w:top w:val="none" w:sz="0" w:space="0" w:color="auto"/>
        <w:left w:val="none" w:sz="0" w:space="0" w:color="auto"/>
        <w:bottom w:val="none" w:sz="0" w:space="0" w:color="auto"/>
        <w:right w:val="none" w:sz="0" w:space="0" w:color="auto"/>
      </w:divBdr>
    </w:div>
    <w:div w:id="406149314">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https://www.servicesaustralia.gov.au/health-professionals-contact-information?context=600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hyperlink" Target="mailto:askMBS@health.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health.gov.au" TargetMode="External"/><Relationship Id="rId5" Type="http://schemas.openxmlformats.org/officeDocument/2006/relationships/footnotes" Target="footnotes.xml"/><Relationship Id="rId15" Type="http://schemas.openxmlformats.org/officeDocument/2006/relationships/hyperlink" Target="https://protect-au.mimecast.com/s/Mx3bCxngGVH9J8zcvfYJU?domain=mbsonline.gov.au" TargetMode="External"/><Relationship Id="rId10" Type="http://schemas.openxmlformats.org/officeDocument/2006/relationships/hyperlink" Target="mailto:tavi@tavi.org.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avi@tavi.org.au" TargetMode="External"/><Relationship Id="rId14"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3274</Words>
  <Characters>18566</Characters>
  <Application>Microsoft Office Word</Application>
  <DocSecurity>0</DocSecurity>
  <Lines>325</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2022-04-28T01:00:00Z</dcterms:created>
  <dcterms:modified xsi:type="dcterms:W3CDTF">2022-06-06T02:54:00Z</dcterms:modified>
</cp:coreProperties>
</file>