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380A9490" w:rsidR="00BA2732" w:rsidRDefault="002F191E" w:rsidP="003D033A">
      <w:pPr>
        <w:pStyle w:val="Title"/>
      </w:pPr>
      <w:bookmarkStart w:id="0" w:name="_Hlk135125921"/>
      <w:r w:rsidRPr="002F191E">
        <w:rPr>
          <w:bCs/>
          <w:iCs/>
        </w:rPr>
        <w:t xml:space="preserve">17p chromosomal deletion testing for chronic lymphocytic leukaemia </w:t>
      </w:r>
      <w:r w:rsidR="00762C1D">
        <w:rPr>
          <w:bCs/>
          <w:iCs/>
        </w:rPr>
        <w:t xml:space="preserve">(CLL) </w:t>
      </w:r>
      <w:r w:rsidRPr="002F191E">
        <w:rPr>
          <w:bCs/>
          <w:iCs/>
        </w:rPr>
        <w:t>or small lymphocytic lymphoma</w:t>
      </w:r>
      <w:r w:rsidR="00762C1D">
        <w:rPr>
          <w:bCs/>
          <w:iCs/>
        </w:rPr>
        <w:t xml:space="preserve"> (SLL)</w:t>
      </w:r>
    </w:p>
    <w:p w14:paraId="6EFD4B5B" w14:textId="00446577" w:rsidR="00064168" w:rsidRPr="00867595" w:rsidRDefault="00064168" w:rsidP="006F5073">
      <w:bookmarkStart w:id="1" w:name="_Hlk4568006"/>
      <w:bookmarkEnd w:id="0"/>
      <w:r w:rsidRPr="00867595">
        <w:t xml:space="preserve">Last updated: </w:t>
      </w:r>
      <w:r w:rsidR="00C15230">
        <w:t>16</w:t>
      </w:r>
      <w:r w:rsidR="002F191E">
        <w:t xml:space="preserve"> </w:t>
      </w:r>
      <w:r w:rsidR="00C15230">
        <w:t>June</w:t>
      </w:r>
      <w:r w:rsidR="002F191E">
        <w:t xml:space="preserve"> 2023</w:t>
      </w:r>
    </w:p>
    <w:p w14:paraId="0640D06F" w14:textId="6D1B1ED0" w:rsidR="00064168" w:rsidRPr="006F5073" w:rsidRDefault="007911DD" w:rsidP="006F5073">
      <w:pPr>
        <w:pStyle w:val="ListBullet"/>
      </w:pPr>
      <w:bookmarkStart w:id="2" w:name="_Hlk535506978"/>
      <w:bookmarkEnd w:id="1"/>
      <w:r>
        <w:t xml:space="preserve">From 1 July 2023, one existing item </w:t>
      </w:r>
      <w:r>
        <w:rPr>
          <w:bCs/>
          <w:iCs/>
        </w:rPr>
        <w:t xml:space="preserve">on the </w:t>
      </w:r>
      <w:r w:rsidRPr="00FD0C52">
        <w:rPr>
          <w:bCs/>
          <w:iCs/>
        </w:rPr>
        <w:t>Medicare Benefits Schedule (MBS)</w:t>
      </w:r>
      <w:r>
        <w:rPr>
          <w:bCs/>
          <w:iCs/>
        </w:rPr>
        <w:t xml:space="preserve"> for 17p deletion testing </w:t>
      </w:r>
      <w:r w:rsidRPr="007911DD">
        <w:rPr>
          <w:bCs/>
          <w:iCs/>
        </w:rPr>
        <w:t xml:space="preserve">for </w:t>
      </w:r>
      <w:r>
        <w:rPr>
          <w:bCs/>
          <w:iCs/>
        </w:rPr>
        <w:t xml:space="preserve">CLL </w:t>
      </w:r>
      <w:r w:rsidRPr="007911DD">
        <w:rPr>
          <w:bCs/>
          <w:iCs/>
        </w:rPr>
        <w:t xml:space="preserve">or </w:t>
      </w:r>
      <w:r>
        <w:rPr>
          <w:bCs/>
          <w:iCs/>
        </w:rPr>
        <w:t>SLL</w:t>
      </w:r>
      <w:r w:rsidRPr="007911DD">
        <w:rPr>
          <w:bCs/>
          <w:iCs/>
        </w:rPr>
        <w:t xml:space="preserve"> </w:t>
      </w:r>
      <w:r>
        <w:rPr>
          <w:bCs/>
          <w:iCs/>
        </w:rPr>
        <w:t xml:space="preserve">will be amended </w:t>
      </w:r>
      <w:r w:rsidR="00476238" w:rsidRPr="00476238">
        <w:rPr>
          <w:bCs/>
          <w:iCs/>
        </w:rPr>
        <w:t>to extend access to a wider range of patients</w:t>
      </w:r>
      <w:r w:rsidR="00476238">
        <w:rPr>
          <w:bCs/>
          <w:iCs/>
        </w:rPr>
        <w:t xml:space="preserve">. </w:t>
      </w:r>
    </w:p>
    <w:bookmarkEnd w:id="2"/>
    <w:p w14:paraId="7F88D4DD" w14:textId="4C1097DD" w:rsidR="00064168" w:rsidRPr="006F5073" w:rsidRDefault="003F3344" w:rsidP="006F5073">
      <w:pPr>
        <w:pStyle w:val="ListBullet"/>
      </w:pPr>
      <w:r>
        <w:t>These changes are relevant for medical practitioners</w:t>
      </w:r>
      <w:r w:rsidR="00A111FA">
        <w:t xml:space="preserve"> </w:t>
      </w:r>
      <w:r w:rsidR="003044A6" w:rsidRPr="003044A6">
        <w:t>that specialise in or consult on</w:t>
      </w:r>
      <w:r w:rsidR="003044A6">
        <w:t xml:space="preserve"> CLL or SLL </w:t>
      </w:r>
    </w:p>
    <w:p w14:paraId="44460BF5" w14:textId="77777777" w:rsidR="00064168" w:rsidRPr="00867595" w:rsidRDefault="00064168" w:rsidP="00064168">
      <w:pPr>
        <w:pStyle w:val="Heading2"/>
      </w:pPr>
      <w:r w:rsidRPr="00867595">
        <w:t>What are the changes?</w:t>
      </w:r>
    </w:p>
    <w:p w14:paraId="4E459E9A" w14:textId="416C7156" w:rsidR="00064168" w:rsidRPr="00867595" w:rsidRDefault="00064168" w:rsidP="00064168">
      <w:pPr>
        <w:rPr>
          <w:szCs w:val="22"/>
        </w:rPr>
      </w:pPr>
      <w:r w:rsidRPr="00867595">
        <w:rPr>
          <w:szCs w:val="22"/>
        </w:rPr>
        <w:t xml:space="preserve">Effective </w:t>
      </w:r>
      <w:r w:rsidR="00FD0C52">
        <w:rPr>
          <w:szCs w:val="22"/>
        </w:rPr>
        <w:t>1 July 2023</w:t>
      </w:r>
      <w:r w:rsidRPr="00867595">
        <w:rPr>
          <w:szCs w:val="22"/>
        </w:rPr>
        <w:t xml:space="preserve">, </w:t>
      </w:r>
      <w:r w:rsidR="00FD0C52">
        <w:rPr>
          <w:bCs/>
          <w:iCs/>
          <w:szCs w:val="22"/>
        </w:rPr>
        <w:t>existing</w:t>
      </w:r>
      <w:r w:rsidR="00E372E6">
        <w:rPr>
          <w:bCs/>
          <w:iCs/>
          <w:szCs w:val="22"/>
        </w:rPr>
        <w:t xml:space="preserve"> </w:t>
      </w:r>
      <w:r w:rsidR="00FD0C52" w:rsidRPr="00FD0C52">
        <w:rPr>
          <w:bCs/>
          <w:iCs/>
          <w:szCs w:val="22"/>
        </w:rPr>
        <w:t>MBS item 73343</w:t>
      </w:r>
      <w:r w:rsidR="00FD0C52">
        <w:rPr>
          <w:bCs/>
          <w:iCs/>
          <w:szCs w:val="22"/>
        </w:rPr>
        <w:t xml:space="preserve"> will be amended</w:t>
      </w:r>
      <w:r w:rsidR="00C87835">
        <w:rPr>
          <w:bCs/>
          <w:iCs/>
          <w:szCs w:val="22"/>
        </w:rPr>
        <w:t xml:space="preserve"> to</w:t>
      </w:r>
      <w:r w:rsidR="003F3344">
        <w:rPr>
          <w:bCs/>
          <w:iCs/>
          <w:szCs w:val="22"/>
        </w:rPr>
        <w:t>:</w:t>
      </w:r>
      <w:r w:rsidR="00FD0C52">
        <w:rPr>
          <w:bCs/>
          <w:iCs/>
          <w:szCs w:val="22"/>
        </w:rPr>
        <w:t xml:space="preserve"> </w:t>
      </w:r>
    </w:p>
    <w:p w14:paraId="0DA19CBE" w14:textId="5EACD18B" w:rsidR="00C87835" w:rsidRDefault="00C87835" w:rsidP="00C87835">
      <w:pPr>
        <w:pStyle w:val="ListBullet"/>
      </w:pPr>
      <w:r>
        <w:t>Expand access to all patients who suffer from CLL or SLL. Previously,</w:t>
      </w:r>
      <w:r w:rsidR="000F770E">
        <w:t xml:space="preserve"> only </w:t>
      </w:r>
      <w:r>
        <w:t>patients with relapsed or refractory CLL or SLL had access to item 73343.</w:t>
      </w:r>
    </w:p>
    <w:p w14:paraId="0C06E8B0" w14:textId="55AD6FCB" w:rsidR="00C87835" w:rsidRDefault="00C87835" w:rsidP="00C87835">
      <w:pPr>
        <w:pStyle w:val="ListBullet"/>
      </w:pPr>
      <w:r>
        <w:t>Include lymph node samples as an appropriate sample type. Pre</w:t>
      </w:r>
      <w:r w:rsidR="000F770E">
        <w:t>viously</w:t>
      </w:r>
      <w:r>
        <w:t>, only peripheral blood samples or bone marrow samples c</w:t>
      </w:r>
      <w:r w:rsidR="000F770E">
        <w:t>ould</w:t>
      </w:r>
      <w:r>
        <w:t xml:space="preserve"> be used. </w:t>
      </w:r>
    </w:p>
    <w:p w14:paraId="3CE63C8B" w14:textId="1CE7A9A6" w:rsidR="00064168" w:rsidRDefault="00C87835" w:rsidP="00C87835">
      <w:pPr>
        <w:pStyle w:val="ListBullet"/>
      </w:pPr>
      <w:r>
        <w:t>Remove the requirement for MBS item 73343 to be used to determine access to a Pharmaceutical Benefits Scheme (PBS) listed drug</w:t>
      </w:r>
      <w:r w:rsidR="000F770E" w:rsidRPr="00FA19FA">
        <w:rPr>
          <w:bCs/>
          <w:szCs w:val="24"/>
        </w:rPr>
        <w:t>.</w:t>
      </w:r>
    </w:p>
    <w:p w14:paraId="2AD42FFC" w14:textId="4E9E88FD" w:rsidR="000F770E" w:rsidRDefault="000F770E" w:rsidP="00C87835">
      <w:pPr>
        <w:pStyle w:val="ListBullet"/>
      </w:pPr>
      <w:r>
        <w:t xml:space="preserve">Remove the frequency restriction limiting the item to not more than once in 12 months to allow patients to access the service when required, including at initial diagnosis, disease relapse, or disease progression when initiation of, or change of therapy is anticipated. </w:t>
      </w:r>
    </w:p>
    <w:p w14:paraId="32FA36C4" w14:textId="1F6563C7" w:rsidR="00450AF7" w:rsidRDefault="00450AF7" w:rsidP="0014711C">
      <w:pPr>
        <w:pStyle w:val="ListBullet"/>
        <w:numPr>
          <w:ilvl w:val="0"/>
          <w:numId w:val="0"/>
        </w:numPr>
        <w:ind w:left="360" w:hanging="360"/>
      </w:pPr>
      <w:r>
        <w:t xml:space="preserve">The amended MBS item descriptor is provided at </w:t>
      </w:r>
      <w:r w:rsidRPr="0014711C">
        <w:rPr>
          <w:b/>
          <w:bCs/>
          <w:u w:val="single"/>
        </w:rPr>
        <w:t>Attachment A</w:t>
      </w:r>
      <w:r>
        <w:t xml:space="preserve">. </w:t>
      </w:r>
    </w:p>
    <w:p w14:paraId="14CB6C78" w14:textId="1BF65DF9" w:rsidR="007E0068" w:rsidRDefault="007E0068" w:rsidP="007E0068">
      <w:r>
        <w:t xml:space="preserve">For private health insurance purposes, item </w:t>
      </w:r>
      <w:r w:rsidR="00157AAE">
        <w:t>73343</w:t>
      </w:r>
      <w:r>
        <w:t xml:space="preserve"> will continue to be listed under the following clinical category and procedure type:</w:t>
      </w:r>
    </w:p>
    <w:p w14:paraId="5B0D04C5" w14:textId="2A106BB2" w:rsidR="007E0068" w:rsidRDefault="007E0068" w:rsidP="006F5073">
      <w:pPr>
        <w:pStyle w:val="ListBullet"/>
      </w:pPr>
      <w:r>
        <w:t xml:space="preserve">Clinical category: </w:t>
      </w:r>
      <w:r w:rsidR="00157AAE">
        <w:t>Support List (pathology)</w:t>
      </w:r>
    </w:p>
    <w:p w14:paraId="0F393FB5" w14:textId="4F8F2464" w:rsidR="007E0068" w:rsidRPr="007E0068" w:rsidRDefault="007E0068" w:rsidP="006F5073">
      <w:pPr>
        <w:pStyle w:val="ListBullet"/>
      </w:pPr>
      <w:r>
        <w:t xml:space="preserve">Procedure type: Type </w:t>
      </w:r>
      <w:r w:rsidR="00157AAE">
        <w:t>C</w:t>
      </w:r>
    </w:p>
    <w:p w14:paraId="42BD5171" w14:textId="77777777" w:rsidR="00064168" w:rsidRDefault="00064168" w:rsidP="00064168">
      <w:pPr>
        <w:pStyle w:val="Heading2"/>
      </w:pPr>
      <w:r>
        <w:t>Why are the changes being made?</w:t>
      </w:r>
    </w:p>
    <w:p w14:paraId="2D4B7688" w14:textId="1F9B0F02" w:rsidR="00B627F7" w:rsidRPr="00B627F7" w:rsidRDefault="00B627F7" w:rsidP="00C4354C">
      <w:pPr>
        <w:rPr>
          <w:rFonts w:asciiTheme="minorHAnsi" w:hAnsiTheme="minorHAnsi"/>
          <w:bCs/>
          <w:color w:val="auto"/>
          <w:szCs w:val="22"/>
          <w:lang w:eastAsia="en-AU"/>
        </w:rPr>
      </w:pPr>
      <w:r w:rsidRPr="00B627F7">
        <w:rPr>
          <w:bCs/>
          <w:szCs w:val="22"/>
        </w:rPr>
        <w:t xml:space="preserve">The changes were recommended by the Medical Services Advisory Committee (MSAC) at its November 2019 meeting under </w:t>
      </w:r>
      <w:hyperlink r:id="rId8" w:history="1">
        <w:r w:rsidRPr="00B627F7">
          <w:rPr>
            <w:rStyle w:val="Hyperlink"/>
            <w:bCs/>
            <w:szCs w:val="22"/>
          </w:rPr>
          <w:t>MSAC application 1560 - 17p deletion testing by fluorescence in situ hybridization for access to ibrutinib in patients with previously untreated chronic lymphoid leukaemia or small lymphocytic lymphoma</w:t>
        </w:r>
      </w:hyperlink>
      <w:r w:rsidRPr="00B627F7">
        <w:rPr>
          <w:bCs/>
          <w:szCs w:val="22"/>
        </w:rPr>
        <w:t xml:space="preserve"> and </w:t>
      </w:r>
      <w:hyperlink r:id="rId9" w:history="1">
        <w:r w:rsidRPr="00791B39">
          <w:rPr>
            <w:rStyle w:val="Hyperlink"/>
            <w:szCs w:val="22"/>
          </w:rPr>
          <w:t xml:space="preserve">MSAC application 1544 - </w:t>
        </w:r>
        <w:r w:rsidRPr="00791B39">
          <w:rPr>
            <w:rStyle w:val="Hyperlink"/>
            <w:bCs/>
            <w:szCs w:val="22"/>
          </w:rPr>
          <w:t>Genome-wide microarray testing for people with multiple myeloma and chronic lymphocytic leukaemia</w:t>
        </w:r>
      </w:hyperlink>
      <w:r w:rsidRPr="00B627F7">
        <w:rPr>
          <w:rFonts w:ascii="Roboto" w:hAnsi="Roboto"/>
          <w:color w:val="71777D"/>
          <w:szCs w:val="22"/>
          <w:shd w:val="clear" w:color="auto" w:fill="FFFFFF"/>
        </w:rPr>
        <w:t xml:space="preserve"> </w:t>
      </w:r>
      <w:r w:rsidRPr="00B627F7">
        <w:rPr>
          <w:bCs/>
          <w:szCs w:val="22"/>
        </w:rPr>
        <w:t xml:space="preserve">and confirmed in detail by MSAC Executive at its August 2022 meeting. </w:t>
      </w:r>
    </w:p>
    <w:p w14:paraId="4B2559AC" w14:textId="39DDEEB8" w:rsidR="00064168" w:rsidRDefault="00064168" w:rsidP="00064168">
      <w:pPr>
        <w:pStyle w:val="Heading2"/>
      </w:pPr>
      <w:r>
        <w:lastRenderedPageBreak/>
        <w:t xml:space="preserve">What does this mean for </w:t>
      </w:r>
      <w:r w:rsidR="00A111FA">
        <w:t xml:space="preserve">requestors and </w:t>
      </w:r>
      <w:r>
        <w:t>providers?</w:t>
      </w:r>
    </w:p>
    <w:p w14:paraId="0654D50A" w14:textId="61EAE77D" w:rsidR="00064168" w:rsidRPr="00A01ADD" w:rsidRDefault="00C4354C" w:rsidP="00A111FA">
      <w:pPr>
        <w:rPr>
          <w:bCs/>
        </w:rPr>
      </w:pPr>
      <w:r w:rsidRPr="00B7095A">
        <w:t>Specialists who manage patients with</w:t>
      </w:r>
      <w:r>
        <w:t xml:space="preserve"> CLL or SLL will</w:t>
      </w:r>
      <w:r w:rsidR="00A01ADD">
        <w:t xml:space="preserve"> be able to request </w:t>
      </w:r>
      <w:r w:rsidR="00A01ADD" w:rsidRPr="00A01ADD">
        <w:rPr>
          <w:bCs/>
        </w:rPr>
        <w:t xml:space="preserve">Medicare funded testing for 17p chromosomal deletion as needed, including at initial diagnosis; disease relapse; or disease progression when initiation of, or change in therapy is anticipated. </w:t>
      </w:r>
    </w:p>
    <w:p w14:paraId="2D0B509E" w14:textId="5921BB77" w:rsidR="00B627F7" w:rsidRPr="00B627F7" w:rsidRDefault="00B627F7" w:rsidP="00A111FA">
      <w:r w:rsidRPr="00B7095A">
        <w:t xml:space="preserve">To be eligible for Medicare </w:t>
      </w:r>
      <w:r w:rsidR="002B7526">
        <w:t>benefits</w:t>
      </w:r>
      <w:r w:rsidRPr="00B7095A">
        <w:t>, laboratories providing this service must be accredited according to the pathology accreditation standards specified in the</w:t>
      </w:r>
      <w:r w:rsidRPr="00B7095A">
        <w:rPr>
          <w:i/>
          <w:iCs/>
        </w:rPr>
        <w:t xml:space="preserve"> </w:t>
      </w:r>
      <w:hyperlink r:id="rId10" w:history="1">
        <w:r w:rsidRPr="00B7095A">
          <w:rPr>
            <w:rStyle w:val="Hyperlink"/>
            <w:i/>
            <w:iCs/>
          </w:rPr>
          <w:t>Health Insurance (Accredited Pathology Laboratories-Approval) Principles 2017</w:t>
        </w:r>
      </w:hyperlink>
      <w:r w:rsidRPr="00B7095A">
        <w:t>.</w:t>
      </w:r>
    </w:p>
    <w:p w14:paraId="7F7DA4F7" w14:textId="77777777" w:rsidR="00064168" w:rsidRDefault="00064168" w:rsidP="00064168">
      <w:pPr>
        <w:pStyle w:val="Heading2"/>
      </w:pPr>
      <w:r>
        <w:t>How will these changes affect patients</w:t>
      </w:r>
      <w:r w:rsidRPr="001A7FB7">
        <w:t>?</w:t>
      </w:r>
    </w:p>
    <w:p w14:paraId="0997C115" w14:textId="6664C3B0" w:rsidR="00064168" w:rsidRPr="00BF7FB2" w:rsidRDefault="00064168" w:rsidP="00BF7FB2">
      <w:pPr>
        <w:rPr>
          <w:rFonts w:cs="Arial"/>
          <w:szCs w:val="22"/>
        </w:rPr>
      </w:pPr>
      <w:r w:rsidRPr="00BF7FB2">
        <w:rPr>
          <w:rFonts w:cs="Arial"/>
          <w:szCs w:val="22"/>
        </w:rPr>
        <w:t xml:space="preserve">The </w:t>
      </w:r>
      <w:r w:rsidR="00BF7FB2">
        <w:rPr>
          <w:rFonts w:cs="Arial"/>
          <w:szCs w:val="22"/>
        </w:rPr>
        <w:t xml:space="preserve">amendment of MBS item </w:t>
      </w:r>
      <w:r w:rsidR="00BF7FB2" w:rsidRPr="00FD0C52">
        <w:rPr>
          <w:bCs/>
          <w:iCs/>
          <w:szCs w:val="22"/>
        </w:rPr>
        <w:t>73343</w:t>
      </w:r>
      <w:r w:rsidR="00BF7FB2">
        <w:rPr>
          <w:bCs/>
          <w:iCs/>
          <w:szCs w:val="22"/>
        </w:rPr>
        <w:t xml:space="preserve"> </w:t>
      </w:r>
      <w:r w:rsidRPr="00BF7FB2">
        <w:rPr>
          <w:rFonts w:cs="Arial"/>
          <w:szCs w:val="22"/>
        </w:rPr>
        <w:t>will provide greater access for patients</w:t>
      </w:r>
      <w:r w:rsidR="000F770E">
        <w:rPr>
          <w:rFonts w:cs="Arial"/>
          <w:szCs w:val="22"/>
        </w:rPr>
        <w:t xml:space="preserve"> to Medicare funded</w:t>
      </w:r>
      <w:r w:rsidR="000F770E" w:rsidRPr="00FA19FA">
        <w:rPr>
          <w:bCs/>
        </w:rPr>
        <w:t xml:space="preserve"> 17p chromosomal deletion</w:t>
      </w:r>
      <w:r w:rsidRPr="00BF7FB2">
        <w:rPr>
          <w:rFonts w:cs="Arial"/>
          <w:szCs w:val="22"/>
        </w:rPr>
        <w:t>.</w:t>
      </w:r>
    </w:p>
    <w:p w14:paraId="5BD9BE80" w14:textId="77777777" w:rsidR="00064168" w:rsidRDefault="00064168" w:rsidP="00064168">
      <w:pPr>
        <w:pStyle w:val="Heading2"/>
      </w:pPr>
      <w:r w:rsidRPr="001A7FB7">
        <w:t>Who was consulted on the changes?</w:t>
      </w:r>
    </w:p>
    <w:p w14:paraId="4B6E1455" w14:textId="332B050B" w:rsidR="00064168" w:rsidRPr="000F770E" w:rsidRDefault="00E73441" w:rsidP="0014711C">
      <w:pPr>
        <w:shd w:val="clear" w:color="auto" w:fill="FFFFFF"/>
      </w:pPr>
      <w:r w:rsidRPr="00E73441">
        <w:rPr>
          <w:bCs/>
          <w:iCs/>
        </w:rPr>
        <w:t xml:space="preserve">Consultation has been undertaken with peak medical bodies including the Royal College of Pathologists of Australasia and the Haematological Society of Australia and New Zealand. </w:t>
      </w:r>
      <w:r w:rsidR="000F770E">
        <w:t>The consulted stakeholders were supportive of the amendments to item 73343.</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577CB787" w:rsidR="00064168" w:rsidRDefault="00374FC7" w:rsidP="00374FC7">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34524FF2" w14:textId="77777777" w:rsidR="00450AF7" w:rsidRDefault="00450AF7" w:rsidP="00BE3ED5">
      <w:pPr>
        <w:pStyle w:val="Heading2"/>
      </w:pPr>
    </w:p>
    <w:p w14:paraId="10B268BF" w14:textId="77777777" w:rsidR="00450AF7" w:rsidRDefault="00450AF7" w:rsidP="00BE3ED5">
      <w:pPr>
        <w:pStyle w:val="Heading2"/>
      </w:pPr>
    </w:p>
    <w:p w14:paraId="05104F48" w14:textId="77777777" w:rsidR="00450AF7" w:rsidRDefault="00450AF7" w:rsidP="00BE3ED5">
      <w:pPr>
        <w:pStyle w:val="Heading2"/>
      </w:pPr>
    </w:p>
    <w:p w14:paraId="64AA2508" w14:textId="77777777" w:rsidR="00450AF7" w:rsidRDefault="00450AF7" w:rsidP="00BE3ED5">
      <w:pPr>
        <w:pStyle w:val="Heading2"/>
      </w:pPr>
    </w:p>
    <w:p w14:paraId="4775343D" w14:textId="77777777" w:rsidR="00450AF7" w:rsidRDefault="00450AF7" w:rsidP="00BE3ED5">
      <w:pPr>
        <w:pStyle w:val="Heading2"/>
      </w:pPr>
    </w:p>
    <w:p w14:paraId="250DE154" w14:textId="77777777" w:rsidR="00450AF7" w:rsidRDefault="00450AF7" w:rsidP="00BE3ED5">
      <w:pPr>
        <w:pStyle w:val="Heading2"/>
      </w:pPr>
    </w:p>
    <w:p w14:paraId="6C85758F" w14:textId="77777777" w:rsidR="00450AF7" w:rsidRDefault="00450AF7" w:rsidP="00BE3ED5">
      <w:pPr>
        <w:pStyle w:val="Heading2"/>
      </w:pPr>
    </w:p>
    <w:p w14:paraId="1A7FB801" w14:textId="77777777" w:rsidR="00450AF7" w:rsidRDefault="00450AF7" w:rsidP="00BE3ED5">
      <w:pPr>
        <w:pStyle w:val="Heading2"/>
      </w:pPr>
    </w:p>
    <w:p w14:paraId="38AEB0F5" w14:textId="77777777" w:rsidR="00450AF7" w:rsidRDefault="00450AF7" w:rsidP="00BE3ED5">
      <w:pPr>
        <w:pStyle w:val="Heading2"/>
      </w:pPr>
    </w:p>
    <w:p w14:paraId="2189C5ED" w14:textId="77777777" w:rsidR="00450AF7" w:rsidRDefault="00450AF7" w:rsidP="00BE3ED5">
      <w:pPr>
        <w:pStyle w:val="Heading2"/>
      </w:pPr>
    </w:p>
    <w:p w14:paraId="2D503FD7" w14:textId="77777777" w:rsidR="00450AF7" w:rsidRDefault="00450AF7" w:rsidP="00BE3ED5">
      <w:pPr>
        <w:pStyle w:val="Heading2"/>
      </w:pPr>
    </w:p>
    <w:p w14:paraId="7B0B8294" w14:textId="77777777" w:rsidR="00450AF7" w:rsidRDefault="00450AF7" w:rsidP="00BE3ED5">
      <w:pPr>
        <w:pStyle w:val="Heading2"/>
      </w:pPr>
    </w:p>
    <w:p w14:paraId="3EDA616A" w14:textId="5AD7F719" w:rsidR="00450AF7" w:rsidRDefault="00450AF7" w:rsidP="00BE3ED5">
      <w:pPr>
        <w:pStyle w:val="Heading2"/>
      </w:pPr>
    </w:p>
    <w:p w14:paraId="2A2F60E3" w14:textId="77777777" w:rsidR="00450AF7" w:rsidRPr="00561965" w:rsidRDefault="00450AF7" w:rsidP="00561965"/>
    <w:p w14:paraId="6D6EB19D" w14:textId="3CC1899F" w:rsidR="00BE3ED5" w:rsidRDefault="00450AF7" w:rsidP="00BE3ED5">
      <w:pPr>
        <w:pStyle w:val="Heading2"/>
      </w:pPr>
      <w:r>
        <w:lastRenderedPageBreak/>
        <w:t xml:space="preserve">Attachment A: </w:t>
      </w:r>
      <w:r w:rsidR="00BE3ED5" w:rsidRPr="007A32E7">
        <w:t>Amended item descriptor</w:t>
      </w:r>
      <w:r w:rsidR="00C4607A">
        <w:t xml:space="preserve"> </w:t>
      </w:r>
      <w:r w:rsidR="00BE3ED5" w:rsidRPr="007A32E7">
        <w:t xml:space="preserve">to take effect </w:t>
      </w:r>
      <w:r w:rsidR="00054267">
        <w:t>1 July</w:t>
      </w:r>
      <w:r w:rsidR="00BE3ED5" w:rsidRPr="007A32E7">
        <w:t xml:space="preserve"> 20</w:t>
      </w:r>
      <w:r w:rsidR="00054267">
        <w:t>23</w:t>
      </w:r>
      <w:r w:rsidR="00C4607A">
        <w:t xml:space="preserve"> (deletions in red strike through, additions in </w:t>
      </w:r>
      <w:r w:rsidR="00C4607A" w:rsidRPr="0014711C">
        <w:rPr>
          <w:color w:val="C00000"/>
        </w:rPr>
        <w:t>red</w:t>
      </w:r>
      <w:r w:rsidR="00C4607A">
        <w:t xml:space="preserve"> text)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67CE8EEC" w:rsidR="00BE3ED5" w:rsidRDefault="008437CA" w:rsidP="000F29A4">
            <w:pPr>
              <w:rPr>
                <w:b w:val="0"/>
                <w:bCs w:val="0"/>
                <w:lang w:eastAsia="en-AU"/>
              </w:rPr>
            </w:pPr>
            <w:bookmarkStart w:id="4" w:name="_Hlk118987208"/>
            <w:r>
              <w:rPr>
                <w:lang w:eastAsia="en-AU"/>
              </w:rPr>
              <w:t>Category</w:t>
            </w:r>
            <w:r w:rsidR="00054267">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437DC70" w:rsidR="00BE3ED5" w:rsidRDefault="008437CA" w:rsidP="000F29A4">
            <w:pPr>
              <w:rPr>
                <w:b w:val="0"/>
                <w:bCs w:val="0"/>
                <w:lang w:eastAsia="en-AU"/>
              </w:rPr>
            </w:pPr>
            <w:r>
              <w:rPr>
                <w:lang w:eastAsia="en-AU"/>
              </w:rPr>
              <w:t>Group</w:t>
            </w:r>
            <w:r w:rsidR="00E73441">
              <w:rPr>
                <w:lang w:eastAsia="en-AU"/>
              </w:rPr>
              <w:t xml:space="preserve"> P7 - Genetics</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678101F1" w14:textId="5258801C" w:rsidR="00791B39" w:rsidRDefault="00791B39" w:rsidP="00A111FA">
            <w:pPr>
              <w:pStyle w:val="NormalWeb"/>
              <w:spacing w:before="0" w:beforeAutospacing="0" w:after="240" w:afterAutospacing="0" w:line="300" w:lineRule="atLeast"/>
              <w:rPr>
                <w:rFonts w:ascii="Arial" w:hAnsi="Arial" w:cs="Arial"/>
                <w:color w:val="222222"/>
                <w:sz w:val="22"/>
                <w:szCs w:val="22"/>
                <w:lang w:eastAsia="en-US"/>
              </w:rPr>
            </w:pPr>
            <w:r w:rsidRPr="00791B39">
              <w:rPr>
                <w:rFonts w:ascii="Arial" w:hAnsi="Arial" w:cs="Arial"/>
                <w:iCs/>
                <w:color w:val="222222"/>
                <w:sz w:val="22"/>
                <w:szCs w:val="22"/>
                <w:lang w:eastAsia="en-US"/>
              </w:rPr>
              <w:t>73343</w:t>
            </w:r>
          </w:p>
          <w:p w14:paraId="2E68C59B" w14:textId="677DFDDD" w:rsidR="00A111FA" w:rsidRPr="00054267" w:rsidRDefault="00A111FA" w:rsidP="00A111FA">
            <w:pPr>
              <w:pStyle w:val="NormalWeb"/>
              <w:spacing w:before="0" w:beforeAutospacing="0" w:after="240" w:afterAutospacing="0" w:line="300" w:lineRule="atLeast"/>
              <w:rPr>
                <w:rFonts w:ascii="Arial" w:hAnsi="Arial" w:cs="Arial"/>
                <w:b w:val="0"/>
                <w:bCs w:val="0"/>
                <w:color w:val="222222"/>
                <w:sz w:val="22"/>
                <w:szCs w:val="22"/>
                <w:lang w:eastAsia="en-US"/>
              </w:rPr>
            </w:pPr>
            <w:r w:rsidRPr="00054267">
              <w:rPr>
                <w:rFonts w:ascii="Arial" w:hAnsi="Arial" w:cs="Arial"/>
                <w:b w:val="0"/>
                <w:bCs w:val="0"/>
                <w:color w:val="222222"/>
                <w:sz w:val="22"/>
                <w:szCs w:val="22"/>
                <w:lang w:eastAsia="en-US"/>
              </w:rPr>
              <w:t xml:space="preserve">Detection of 17p chromosomal deletions by fluorescence in situ hybridisation or genome wide micro-array, in a patient with </w:t>
            </w:r>
            <w:r w:rsidRPr="0014711C">
              <w:rPr>
                <w:rFonts w:ascii="Arial" w:hAnsi="Arial" w:cs="Arial"/>
                <w:strike/>
                <w:color w:val="C00000"/>
                <w:sz w:val="22"/>
                <w:szCs w:val="22"/>
                <w:lang w:eastAsia="en-US"/>
              </w:rPr>
              <w:t>relapsed or refractory</w:t>
            </w:r>
            <w:r w:rsidRPr="0014711C">
              <w:rPr>
                <w:rFonts w:ascii="Arial" w:hAnsi="Arial" w:cs="Arial"/>
                <w:color w:val="C00000"/>
                <w:sz w:val="22"/>
                <w:szCs w:val="22"/>
                <w:lang w:eastAsia="en-US"/>
              </w:rPr>
              <w:t xml:space="preserve"> </w:t>
            </w:r>
            <w:r w:rsidRPr="00054267">
              <w:rPr>
                <w:rFonts w:ascii="Arial" w:hAnsi="Arial" w:cs="Arial"/>
                <w:b w:val="0"/>
                <w:bCs w:val="0"/>
                <w:color w:val="222222"/>
                <w:sz w:val="22"/>
                <w:szCs w:val="22"/>
                <w:lang w:eastAsia="en-US"/>
              </w:rPr>
              <w:t>chronic lymphocytic leukaemia or small lymphocytic lymphoma, on a peripheral blood</w:t>
            </w:r>
            <w:r w:rsidRPr="0014711C">
              <w:rPr>
                <w:rFonts w:ascii="Arial" w:hAnsi="Arial" w:cs="Arial"/>
                <w:color w:val="C00000"/>
                <w:sz w:val="22"/>
                <w:szCs w:val="22"/>
                <w:lang w:eastAsia="en-US"/>
              </w:rPr>
              <w:t xml:space="preserve">, </w:t>
            </w:r>
            <w:r w:rsidRPr="0014711C">
              <w:rPr>
                <w:rFonts w:ascii="Arial" w:hAnsi="Arial" w:cs="Arial"/>
                <w:strike/>
                <w:color w:val="C00000"/>
                <w:sz w:val="22"/>
                <w:szCs w:val="22"/>
                <w:lang w:eastAsia="en-US"/>
              </w:rPr>
              <w:t xml:space="preserve">or </w:t>
            </w:r>
            <w:r w:rsidRPr="00054267">
              <w:rPr>
                <w:rFonts w:ascii="Arial" w:hAnsi="Arial" w:cs="Arial"/>
                <w:b w:val="0"/>
                <w:bCs w:val="0"/>
                <w:color w:val="222222"/>
                <w:sz w:val="22"/>
                <w:szCs w:val="22"/>
                <w:lang w:eastAsia="en-US"/>
              </w:rPr>
              <w:t xml:space="preserve">bone marrow </w:t>
            </w:r>
            <w:r w:rsidRPr="0014711C">
              <w:rPr>
                <w:rFonts w:ascii="Arial" w:hAnsi="Arial" w:cs="Arial"/>
                <w:color w:val="C00000"/>
                <w:sz w:val="22"/>
                <w:szCs w:val="22"/>
                <w:lang w:eastAsia="en-US"/>
              </w:rPr>
              <w:t xml:space="preserve">or lymph node </w:t>
            </w:r>
            <w:r w:rsidRPr="00054267">
              <w:rPr>
                <w:rFonts w:ascii="Arial" w:hAnsi="Arial" w:cs="Arial"/>
                <w:b w:val="0"/>
                <w:bCs w:val="0"/>
                <w:color w:val="222222"/>
                <w:sz w:val="22"/>
                <w:szCs w:val="22"/>
                <w:lang w:eastAsia="en-US"/>
              </w:rPr>
              <w:t>sample, requested by a specialist or consultant physician</w:t>
            </w:r>
            <w:r w:rsidRPr="0014711C">
              <w:rPr>
                <w:rFonts w:ascii="Arial" w:hAnsi="Arial" w:cs="Arial"/>
                <w:color w:val="C00000"/>
                <w:sz w:val="22"/>
                <w:szCs w:val="22"/>
                <w:lang w:eastAsia="en-US"/>
              </w:rPr>
              <w:t>.</w:t>
            </w:r>
            <w:r w:rsidRPr="0014711C">
              <w:rPr>
                <w:rFonts w:ascii="Arial" w:hAnsi="Arial" w:cs="Arial"/>
                <w:strike/>
                <w:color w:val="C00000"/>
                <w:sz w:val="22"/>
                <w:szCs w:val="22"/>
                <w:lang w:eastAsia="en-US"/>
              </w:rPr>
              <w:t xml:space="preserve">, to determine if the requirements for access to </w:t>
            </w:r>
            <w:proofErr w:type="spellStart"/>
            <w:r w:rsidRPr="0014711C">
              <w:rPr>
                <w:rFonts w:ascii="Arial" w:hAnsi="Arial" w:cs="Arial"/>
                <w:strike/>
                <w:color w:val="C00000"/>
                <w:sz w:val="22"/>
                <w:szCs w:val="22"/>
                <w:lang w:eastAsia="en-US"/>
              </w:rPr>
              <w:t>idelalisib</w:t>
            </w:r>
            <w:proofErr w:type="spellEnd"/>
            <w:r w:rsidRPr="0014711C">
              <w:rPr>
                <w:rFonts w:ascii="Arial" w:hAnsi="Arial" w:cs="Arial"/>
                <w:strike/>
                <w:color w:val="C00000"/>
                <w:sz w:val="22"/>
                <w:szCs w:val="22"/>
                <w:lang w:eastAsia="en-US"/>
              </w:rPr>
              <w:t xml:space="preserve">, ibrutinib, </w:t>
            </w:r>
            <w:proofErr w:type="spellStart"/>
            <w:r w:rsidRPr="0014711C">
              <w:rPr>
                <w:rFonts w:ascii="Arial" w:hAnsi="Arial" w:cs="Arial"/>
                <w:strike/>
                <w:color w:val="C00000"/>
                <w:sz w:val="22"/>
                <w:szCs w:val="22"/>
                <w:lang w:eastAsia="en-US"/>
              </w:rPr>
              <w:t>venetoclax</w:t>
            </w:r>
            <w:proofErr w:type="spellEnd"/>
            <w:r w:rsidRPr="0014711C">
              <w:rPr>
                <w:rFonts w:ascii="Arial" w:hAnsi="Arial" w:cs="Arial"/>
                <w:strike/>
                <w:color w:val="C00000"/>
                <w:sz w:val="22"/>
                <w:szCs w:val="22"/>
                <w:lang w:eastAsia="en-US"/>
              </w:rPr>
              <w:t xml:space="preserve"> or acalabrutinib on the Pharmaceutical Benefits Scheme are fulfilled</w:t>
            </w:r>
            <w:r w:rsidRPr="00054267">
              <w:rPr>
                <w:rFonts w:ascii="Arial" w:hAnsi="Arial" w:cs="Arial"/>
                <w:b w:val="0"/>
                <w:bCs w:val="0"/>
                <w:color w:val="222222"/>
                <w:sz w:val="22"/>
                <w:szCs w:val="22"/>
                <w:lang w:eastAsia="en-US"/>
              </w:rPr>
              <w:t>.</w:t>
            </w:r>
          </w:p>
          <w:p w14:paraId="0C50D5B5" w14:textId="77777777" w:rsidR="00A111FA" w:rsidRPr="00054267" w:rsidRDefault="00A111FA" w:rsidP="00A111FA">
            <w:pPr>
              <w:pStyle w:val="NormalWeb"/>
              <w:spacing w:before="0" w:beforeAutospacing="0" w:after="240" w:afterAutospacing="0" w:line="300" w:lineRule="atLeast"/>
              <w:rPr>
                <w:rFonts w:ascii="Arial" w:hAnsi="Arial" w:cs="Arial"/>
                <w:b w:val="0"/>
                <w:bCs w:val="0"/>
                <w:color w:val="FF0000"/>
                <w:sz w:val="22"/>
                <w:szCs w:val="22"/>
                <w:lang w:eastAsia="en-US"/>
              </w:rPr>
            </w:pPr>
            <w:r w:rsidRPr="00054267">
              <w:rPr>
                <w:rFonts w:ascii="Arial" w:hAnsi="Arial" w:cs="Arial"/>
                <w:b w:val="0"/>
                <w:bCs w:val="0"/>
                <w:sz w:val="22"/>
                <w:szCs w:val="22"/>
                <w:lang w:eastAsia="en-US"/>
              </w:rPr>
              <w:t xml:space="preserve">For any </w:t>
            </w:r>
            <w:proofErr w:type="gramStart"/>
            <w:r w:rsidRPr="00054267">
              <w:rPr>
                <w:rFonts w:ascii="Arial" w:hAnsi="Arial" w:cs="Arial"/>
                <w:b w:val="0"/>
                <w:bCs w:val="0"/>
                <w:sz w:val="22"/>
                <w:szCs w:val="22"/>
                <w:lang w:eastAsia="en-US"/>
              </w:rPr>
              <w:t>particular patient</w:t>
            </w:r>
            <w:proofErr w:type="gramEnd"/>
            <w:r w:rsidRPr="00054267">
              <w:rPr>
                <w:rFonts w:ascii="Arial" w:hAnsi="Arial" w:cs="Arial"/>
                <w:b w:val="0"/>
                <w:bCs w:val="0"/>
                <w:sz w:val="22"/>
                <w:szCs w:val="22"/>
                <w:lang w:eastAsia="en-US"/>
              </w:rPr>
              <w:t xml:space="preserve">, </w:t>
            </w:r>
            <w:r w:rsidRPr="0014711C">
              <w:rPr>
                <w:rFonts w:ascii="Arial" w:hAnsi="Arial" w:cs="Arial"/>
                <w:color w:val="C00000"/>
                <w:sz w:val="22"/>
                <w:szCs w:val="22"/>
                <w:lang w:eastAsia="en-US"/>
              </w:rPr>
              <w:t>at initial diagnosis, at disease relapse, or on disease progression only, where initiation of or change in therapy is anticipated</w:t>
            </w:r>
            <w:r w:rsidRPr="0014711C">
              <w:rPr>
                <w:rFonts w:ascii="Arial" w:hAnsi="Arial" w:cs="Arial"/>
                <w:strike/>
                <w:color w:val="C00000"/>
                <w:sz w:val="22"/>
                <w:szCs w:val="22"/>
                <w:lang w:eastAsia="en-US"/>
              </w:rPr>
              <w:t>, applicable not more than once in 12 months.</w:t>
            </w:r>
          </w:p>
          <w:p w14:paraId="2FC4A67A" w14:textId="77777777" w:rsidR="00FD0D6F" w:rsidRDefault="00FD0D6F" w:rsidP="00A111FA">
            <w:pPr>
              <w:pStyle w:val="ListBullet"/>
              <w:numPr>
                <w:ilvl w:val="0"/>
                <w:numId w:val="0"/>
              </w:numPr>
              <w:rPr>
                <w:rFonts w:cs="Arial"/>
                <w:color w:val="222222"/>
              </w:rPr>
            </w:pPr>
            <w:r>
              <w:rPr>
                <w:rFonts w:cs="Arial"/>
                <w:b w:val="0"/>
                <w:bCs w:val="0"/>
                <w:color w:val="222222"/>
              </w:rPr>
              <w:t xml:space="preserve">MBS </w:t>
            </w:r>
            <w:r w:rsidR="00A111FA" w:rsidRPr="00054267">
              <w:rPr>
                <w:rFonts w:cs="Arial"/>
                <w:b w:val="0"/>
                <w:bCs w:val="0"/>
                <w:color w:val="222222"/>
              </w:rPr>
              <w:t>Fee: $589.90 </w:t>
            </w:r>
          </w:p>
          <w:p w14:paraId="2BDF063F" w14:textId="5305BF37" w:rsidR="00642F20" w:rsidRPr="00FD0D6F" w:rsidRDefault="00A111FA" w:rsidP="00A111FA">
            <w:pPr>
              <w:pStyle w:val="ListBullet"/>
              <w:numPr>
                <w:ilvl w:val="0"/>
                <w:numId w:val="0"/>
              </w:numPr>
              <w:rPr>
                <w:rFonts w:cs="Arial"/>
                <w:color w:val="222222"/>
              </w:rPr>
            </w:pPr>
            <w:r w:rsidRPr="00054267">
              <w:rPr>
                <w:rFonts w:cs="Arial"/>
                <w:b w:val="0"/>
                <w:bCs w:val="0"/>
                <w:color w:val="222222"/>
              </w:rPr>
              <w:t xml:space="preserve">Benefit: 75% = $442.45 </w:t>
            </w:r>
            <w:r w:rsidR="00FD0D6F">
              <w:rPr>
                <w:rFonts w:cs="Arial"/>
                <w:b w:val="0"/>
                <w:bCs w:val="0"/>
                <w:color w:val="222222"/>
              </w:rPr>
              <w:t xml:space="preserve">  </w:t>
            </w:r>
            <w:r w:rsidRPr="00054267">
              <w:rPr>
                <w:rFonts w:cs="Arial"/>
                <w:b w:val="0"/>
                <w:bCs w:val="0"/>
                <w:color w:val="222222"/>
              </w:rPr>
              <w:t>85% = $</w:t>
            </w:r>
            <w:r w:rsidR="004E5BC9" w:rsidRPr="004E5BC9">
              <w:rPr>
                <w:rFonts w:cs="Arial"/>
                <w:b w:val="0"/>
                <w:bCs w:val="0"/>
                <w:color w:val="222222"/>
              </w:rPr>
              <w:t>501.45</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495A" w14:textId="77777777" w:rsidR="00254B7C" w:rsidRDefault="00254B7C" w:rsidP="006B56BB">
      <w:r>
        <w:separator/>
      </w:r>
    </w:p>
    <w:p w14:paraId="0EE6E534" w14:textId="77777777" w:rsidR="00254B7C" w:rsidRDefault="00254B7C"/>
  </w:endnote>
  <w:endnote w:type="continuationSeparator" w:id="0">
    <w:p w14:paraId="02DD6C57" w14:textId="77777777" w:rsidR="00254B7C" w:rsidRDefault="00254B7C" w:rsidP="006B56BB">
      <w:r>
        <w:continuationSeparator/>
      </w:r>
    </w:p>
    <w:p w14:paraId="0391F770" w14:textId="77777777" w:rsidR="00254B7C" w:rsidRDefault="00254B7C"/>
  </w:endnote>
  <w:endnote w:type="continuationNotice" w:id="1">
    <w:p w14:paraId="2DF39CC3" w14:textId="77777777" w:rsidR="00254B7C" w:rsidRDefault="00254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7CD11940" w:rsidR="00F51321" w:rsidRDefault="003E0885"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B775997" w:rsidR="00F51321" w:rsidRDefault="00A5127A" w:rsidP="00A5127A">
    <w:pPr>
      <w:pStyle w:val="Footer"/>
      <w:tabs>
        <w:tab w:val="clear" w:pos="9026"/>
        <w:tab w:val="right" w:pos="10466"/>
      </w:tabs>
      <w:jc w:val="left"/>
    </w:pPr>
    <w:r>
      <w:rPr>
        <w:b/>
      </w:rPr>
      <w:t xml:space="preserve">17p chromosomal deletion testing for chronic lymphocytic leukaemia (CLL) or </w:t>
    </w:r>
    <w:proofErr w:type="gramStart"/>
    <w:r>
      <w:rPr>
        <w:b/>
      </w:rPr>
      <w:t>small  lymphocytic</w:t>
    </w:r>
    <w:proofErr w:type="gramEnd"/>
    <w:r>
      <w:rPr>
        <w:b/>
      </w:rPr>
      <w:t xml:space="preserve"> lymphoma (SLL) </w:t>
    </w:r>
    <w:r w:rsidRPr="00E863C4">
      <w:rPr>
        <w:b/>
      </w:rPr>
      <w:t xml:space="preserve">– </w:t>
    </w:r>
    <w:r>
      <w:rPr>
        <w:b/>
      </w:rPr>
      <w:t>Factsheet</w:t>
    </w:r>
    <w:r w:rsidRPr="00E863C4">
      <w:t xml:space="preserve"> </w:t>
    </w:r>
    <w:r>
      <w:rPr>
        <w:b/>
      </w:rPr>
      <w:t xml:space="preserve"> </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3E0885" w:rsidP="00F51321">
    <w:pPr>
      <w:pStyle w:val="Footer"/>
      <w:jc w:val="left"/>
      <w:rPr>
        <w:rStyle w:val="Hyperlink"/>
        <w:szCs w:val="18"/>
      </w:rPr>
    </w:pPr>
    <w:hyperlink r:id="rId1" w:history="1">
      <w:r w:rsidR="00F51321" w:rsidRPr="00E863C4">
        <w:rPr>
          <w:rStyle w:val="Hyperlink"/>
          <w:szCs w:val="18"/>
        </w:rPr>
        <w:t>MBS Online</w:t>
      </w:r>
    </w:hyperlink>
  </w:p>
  <w:p w14:paraId="0D093570" w14:textId="5434822C" w:rsidR="00F51321" w:rsidRPr="009B32BA" w:rsidRDefault="00F51321" w:rsidP="00F51321">
    <w:pPr>
      <w:pStyle w:val="Footer"/>
      <w:jc w:val="left"/>
      <w:rPr>
        <w:szCs w:val="18"/>
      </w:rPr>
    </w:pPr>
    <w:r w:rsidRPr="00870B05">
      <w:t>Last updated</w:t>
    </w:r>
    <w:r>
      <w:t xml:space="preserve"> – </w:t>
    </w:r>
    <w:r w:rsidR="00C15230">
      <w:t>1</w:t>
    </w:r>
    <w:r w:rsidR="004F4219">
      <w:t>6</w:t>
    </w:r>
    <w:r>
      <w:t xml:space="preserve"> </w:t>
    </w:r>
    <w:r w:rsidR="00C15230">
      <w:t>June</w:t>
    </w:r>
    <w:r>
      <w:t xml:space="preserve"> 20</w:t>
    </w:r>
    <w:r w:rsidR="004F4219">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3E0885"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99859D5" w:rsidR="00064168" w:rsidRDefault="00687E44" w:rsidP="00687E44">
    <w:pPr>
      <w:pStyle w:val="Footer"/>
      <w:tabs>
        <w:tab w:val="clear" w:pos="9026"/>
        <w:tab w:val="right" w:pos="10466"/>
      </w:tabs>
      <w:jc w:val="left"/>
    </w:pPr>
    <w:r>
      <w:rPr>
        <w:b/>
      </w:rPr>
      <w:t xml:space="preserve">17p chromosomal deletion testing for chronic lymphocytic leukaemia (CLL) or </w:t>
    </w:r>
    <w:proofErr w:type="gramStart"/>
    <w:r>
      <w:rPr>
        <w:b/>
      </w:rPr>
      <w:t>small  lymphocytic</w:t>
    </w:r>
    <w:proofErr w:type="gramEnd"/>
    <w:r>
      <w:rPr>
        <w:b/>
      </w:rPr>
      <w:t xml:space="preserve"> lymphoma (SLL)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3E0885" w:rsidP="00064168">
    <w:pPr>
      <w:pStyle w:val="Footer"/>
      <w:jc w:val="left"/>
      <w:rPr>
        <w:rStyle w:val="Hyperlink"/>
        <w:szCs w:val="18"/>
      </w:rPr>
    </w:pPr>
    <w:hyperlink r:id="rId1" w:history="1">
      <w:r w:rsidR="00064168" w:rsidRPr="00E863C4">
        <w:rPr>
          <w:rStyle w:val="Hyperlink"/>
          <w:szCs w:val="18"/>
        </w:rPr>
        <w:t>MBS Online</w:t>
      </w:r>
    </w:hyperlink>
  </w:p>
  <w:p w14:paraId="03585E81" w14:textId="690D5221" w:rsidR="00064168" w:rsidRPr="009B32BA" w:rsidRDefault="00064168" w:rsidP="00064168">
    <w:pPr>
      <w:pStyle w:val="Footer"/>
      <w:jc w:val="left"/>
      <w:rPr>
        <w:szCs w:val="18"/>
      </w:rPr>
    </w:pPr>
    <w:r w:rsidRPr="00870B05">
      <w:t>Last updated</w:t>
    </w:r>
    <w:r>
      <w:t xml:space="preserve"> – </w:t>
    </w:r>
    <w:r w:rsidR="00C15230">
      <w:t>16</w:t>
    </w:r>
    <w:r>
      <w:t xml:space="preserve"> </w:t>
    </w:r>
    <w:r w:rsidR="00C15230">
      <w:t>June</w:t>
    </w:r>
    <w:r>
      <w:t xml:space="preserve"> 20</w:t>
    </w:r>
    <w:r w:rsidR="004F4219">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57B4" w14:textId="77777777" w:rsidR="00254B7C" w:rsidRDefault="00254B7C" w:rsidP="006B56BB">
      <w:r>
        <w:separator/>
      </w:r>
    </w:p>
    <w:p w14:paraId="6C57447E" w14:textId="77777777" w:rsidR="00254B7C" w:rsidRDefault="00254B7C"/>
  </w:footnote>
  <w:footnote w:type="continuationSeparator" w:id="0">
    <w:p w14:paraId="68AC432C" w14:textId="77777777" w:rsidR="00254B7C" w:rsidRDefault="00254B7C" w:rsidP="006B56BB">
      <w:r>
        <w:continuationSeparator/>
      </w:r>
    </w:p>
    <w:p w14:paraId="3399D9C2" w14:textId="77777777" w:rsidR="00254B7C" w:rsidRDefault="00254B7C"/>
  </w:footnote>
  <w:footnote w:type="continuationNotice" w:id="1">
    <w:p w14:paraId="316D7CD5" w14:textId="77777777" w:rsidR="00254B7C" w:rsidRDefault="00254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43C"/>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4267"/>
    <w:rsid w:val="00064168"/>
    <w:rsid w:val="00067456"/>
    <w:rsid w:val="00071506"/>
    <w:rsid w:val="0007154F"/>
    <w:rsid w:val="00080BAC"/>
    <w:rsid w:val="00081AB1"/>
    <w:rsid w:val="00090316"/>
    <w:rsid w:val="00093981"/>
    <w:rsid w:val="000A48FA"/>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770E"/>
    <w:rsid w:val="0010616D"/>
    <w:rsid w:val="00110478"/>
    <w:rsid w:val="0011711B"/>
    <w:rsid w:val="00117F8A"/>
    <w:rsid w:val="00121B9B"/>
    <w:rsid w:val="00122ADC"/>
    <w:rsid w:val="001245EF"/>
    <w:rsid w:val="00127924"/>
    <w:rsid w:val="00130F59"/>
    <w:rsid w:val="00133EC0"/>
    <w:rsid w:val="00141CE5"/>
    <w:rsid w:val="00144908"/>
    <w:rsid w:val="0014711C"/>
    <w:rsid w:val="00156D96"/>
    <w:rsid w:val="001571C7"/>
    <w:rsid w:val="00157AAE"/>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4B7C"/>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B7526"/>
    <w:rsid w:val="002C0CDD"/>
    <w:rsid w:val="002C38C4"/>
    <w:rsid w:val="002C46AA"/>
    <w:rsid w:val="002E1A1D"/>
    <w:rsid w:val="002E4081"/>
    <w:rsid w:val="002E5B78"/>
    <w:rsid w:val="002F191E"/>
    <w:rsid w:val="002F3AE3"/>
    <w:rsid w:val="003044A6"/>
    <w:rsid w:val="0030464B"/>
    <w:rsid w:val="0030786C"/>
    <w:rsid w:val="003233DE"/>
    <w:rsid w:val="0032466B"/>
    <w:rsid w:val="003330EB"/>
    <w:rsid w:val="003415FD"/>
    <w:rsid w:val="003429F0"/>
    <w:rsid w:val="00345A82"/>
    <w:rsid w:val="0035097A"/>
    <w:rsid w:val="003540A4"/>
    <w:rsid w:val="00357BCC"/>
    <w:rsid w:val="00360E4E"/>
    <w:rsid w:val="00370AAA"/>
    <w:rsid w:val="00374FC7"/>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3344"/>
    <w:rsid w:val="003F5F4D"/>
    <w:rsid w:val="003F646F"/>
    <w:rsid w:val="00400F00"/>
    <w:rsid w:val="00404F8B"/>
    <w:rsid w:val="00405256"/>
    <w:rsid w:val="00405ADD"/>
    <w:rsid w:val="00410031"/>
    <w:rsid w:val="00415C81"/>
    <w:rsid w:val="00432378"/>
    <w:rsid w:val="00440D65"/>
    <w:rsid w:val="004435E6"/>
    <w:rsid w:val="00447E31"/>
    <w:rsid w:val="00450AF7"/>
    <w:rsid w:val="00453923"/>
    <w:rsid w:val="00454B9B"/>
    <w:rsid w:val="00457858"/>
    <w:rsid w:val="00460B0B"/>
    <w:rsid w:val="00461023"/>
    <w:rsid w:val="00462FAC"/>
    <w:rsid w:val="00464631"/>
    <w:rsid w:val="00464B79"/>
    <w:rsid w:val="00467BBF"/>
    <w:rsid w:val="00476238"/>
    <w:rsid w:val="0048593C"/>
    <w:rsid w:val="004867E2"/>
    <w:rsid w:val="004929A9"/>
    <w:rsid w:val="004A78D9"/>
    <w:rsid w:val="004C1BCD"/>
    <w:rsid w:val="004C6BCF"/>
    <w:rsid w:val="004D255D"/>
    <w:rsid w:val="004D58BF"/>
    <w:rsid w:val="004E4335"/>
    <w:rsid w:val="004E5226"/>
    <w:rsid w:val="004E5BC9"/>
    <w:rsid w:val="004F13EE"/>
    <w:rsid w:val="004F2022"/>
    <w:rsid w:val="004F4219"/>
    <w:rsid w:val="004F7C05"/>
    <w:rsid w:val="00501C94"/>
    <w:rsid w:val="00506432"/>
    <w:rsid w:val="00506E82"/>
    <w:rsid w:val="0052051D"/>
    <w:rsid w:val="00545EE6"/>
    <w:rsid w:val="005550E7"/>
    <w:rsid w:val="005564FB"/>
    <w:rsid w:val="005572C7"/>
    <w:rsid w:val="00561965"/>
    <w:rsid w:val="005650ED"/>
    <w:rsid w:val="00573FC1"/>
    <w:rsid w:val="00575754"/>
    <w:rsid w:val="00581FBA"/>
    <w:rsid w:val="005858A4"/>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48F9"/>
    <w:rsid w:val="0063574E"/>
    <w:rsid w:val="006408AC"/>
    <w:rsid w:val="00642F20"/>
    <w:rsid w:val="006511B6"/>
    <w:rsid w:val="00657FF8"/>
    <w:rsid w:val="006622A6"/>
    <w:rsid w:val="00670D99"/>
    <w:rsid w:val="00670E2B"/>
    <w:rsid w:val="006734BB"/>
    <w:rsid w:val="00675566"/>
    <w:rsid w:val="0067697A"/>
    <w:rsid w:val="006821EB"/>
    <w:rsid w:val="00682466"/>
    <w:rsid w:val="00687E44"/>
    <w:rsid w:val="00693374"/>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2C1D"/>
    <w:rsid w:val="0076672A"/>
    <w:rsid w:val="00775E45"/>
    <w:rsid w:val="00776E74"/>
    <w:rsid w:val="00785169"/>
    <w:rsid w:val="007911DD"/>
    <w:rsid w:val="00791B39"/>
    <w:rsid w:val="007954AB"/>
    <w:rsid w:val="007A14C5"/>
    <w:rsid w:val="007A4A10"/>
    <w:rsid w:val="007A5F45"/>
    <w:rsid w:val="007B1750"/>
    <w:rsid w:val="007B1760"/>
    <w:rsid w:val="007C1FDC"/>
    <w:rsid w:val="007C31DD"/>
    <w:rsid w:val="007C6D9C"/>
    <w:rsid w:val="007C7DDB"/>
    <w:rsid w:val="007D2CC7"/>
    <w:rsid w:val="007D673D"/>
    <w:rsid w:val="007E0068"/>
    <w:rsid w:val="007E0FB8"/>
    <w:rsid w:val="007E428E"/>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0734"/>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40E4"/>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01ADD"/>
    <w:rsid w:val="00A111FA"/>
    <w:rsid w:val="00A13EB5"/>
    <w:rsid w:val="00A16E36"/>
    <w:rsid w:val="00A24961"/>
    <w:rsid w:val="00A24B10"/>
    <w:rsid w:val="00A277EF"/>
    <w:rsid w:val="00A30E9B"/>
    <w:rsid w:val="00A4512D"/>
    <w:rsid w:val="00A50244"/>
    <w:rsid w:val="00A5127A"/>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C57C2"/>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373FA"/>
    <w:rsid w:val="00B42851"/>
    <w:rsid w:val="00B45350"/>
    <w:rsid w:val="00B45AC7"/>
    <w:rsid w:val="00B5372F"/>
    <w:rsid w:val="00B53987"/>
    <w:rsid w:val="00B61129"/>
    <w:rsid w:val="00B627F7"/>
    <w:rsid w:val="00B67E7F"/>
    <w:rsid w:val="00B70CB3"/>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BF7FB2"/>
    <w:rsid w:val="00C00930"/>
    <w:rsid w:val="00C060AD"/>
    <w:rsid w:val="00C113BF"/>
    <w:rsid w:val="00C15230"/>
    <w:rsid w:val="00C2176E"/>
    <w:rsid w:val="00C23430"/>
    <w:rsid w:val="00C27D67"/>
    <w:rsid w:val="00C4354C"/>
    <w:rsid w:val="00C435AF"/>
    <w:rsid w:val="00C4607A"/>
    <w:rsid w:val="00C4631F"/>
    <w:rsid w:val="00C47CDE"/>
    <w:rsid w:val="00C50E16"/>
    <w:rsid w:val="00C55258"/>
    <w:rsid w:val="00C75FA3"/>
    <w:rsid w:val="00C82EEB"/>
    <w:rsid w:val="00C87835"/>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74383"/>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72E6"/>
    <w:rsid w:val="00E4086F"/>
    <w:rsid w:val="00E43B3C"/>
    <w:rsid w:val="00E50188"/>
    <w:rsid w:val="00E50BB3"/>
    <w:rsid w:val="00E515CB"/>
    <w:rsid w:val="00E52260"/>
    <w:rsid w:val="00E639B6"/>
    <w:rsid w:val="00E6434B"/>
    <w:rsid w:val="00E6463D"/>
    <w:rsid w:val="00E71492"/>
    <w:rsid w:val="00E72E9B"/>
    <w:rsid w:val="00E73441"/>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EF7A8D"/>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3C77"/>
    <w:rsid w:val="00F85AFE"/>
    <w:rsid w:val="00F93F08"/>
    <w:rsid w:val="00F94CED"/>
    <w:rsid w:val="00FA02BB"/>
    <w:rsid w:val="00FA2CEE"/>
    <w:rsid w:val="00FA318C"/>
    <w:rsid w:val="00FB6F92"/>
    <w:rsid w:val="00FC026E"/>
    <w:rsid w:val="00FC5124"/>
    <w:rsid w:val="00FD0C52"/>
    <w:rsid w:val="00FD0D6F"/>
    <w:rsid w:val="00FD4731"/>
    <w:rsid w:val="00FD6768"/>
    <w:rsid w:val="00FF0AB0"/>
    <w:rsid w:val="00FF28AC"/>
    <w:rsid w:val="00FF5FB1"/>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uiPriority w:val="99"/>
    <w:rsid w:val="00A719F6"/>
    <w:rPr>
      <w:rFonts w:ascii="Tahoma" w:hAnsi="Tahoma" w:cs="Tahoma"/>
      <w:sz w:val="16"/>
      <w:szCs w:val="16"/>
    </w:rPr>
  </w:style>
  <w:style w:type="character" w:customStyle="1" w:styleId="BalloonTextChar">
    <w:name w:val="Balloon Text Char"/>
    <w:basedOn w:val="DefaultParagraphFont"/>
    <w:link w:val="BalloonText"/>
    <w:uiPriority w:val="99"/>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62826545">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36928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45253767">
      <w:bodyDiv w:val="1"/>
      <w:marLeft w:val="0"/>
      <w:marRight w:val="0"/>
      <w:marTop w:val="0"/>
      <w:marBottom w:val="0"/>
      <w:divBdr>
        <w:top w:val="none" w:sz="0" w:space="0" w:color="auto"/>
        <w:left w:val="none" w:sz="0" w:space="0" w:color="auto"/>
        <w:bottom w:val="none" w:sz="0" w:space="0" w:color="auto"/>
        <w:right w:val="none" w:sz="0" w:space="0" w:color="auto"/>
      </w:divBdr>
    </w:div>
    <w:div w:id="20811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560-public"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legislation.gov.au/Details/F2022C00777"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internet/msac/publishing.nsf/Content/1544-public"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2023-06-20T05:28:00Z</dcterms:created>
  <dcterms:modified xsi:type="dcterms:W3CDTF">2023-06-27T00:35:00Z</dcterms:modified>
</cp:coreProperties>
</file>