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384D1" w14:textId="77777777" w:rsidR="00124DA1" w:rsidRDefault="0015621C" w:rsidP="00124DA1">
      <w:pPr>
        <w:pStyle w:val="Heading1"/>
        <w:spacing w:before="120"/>
        <w:rPr>
          <w:rFonts w:asciiTheme="minorHAnsi" w:hAnsiTheme="minorHAnsi" w:cstheme="minorHAnsi"/>
          <w:sz w:val="48"/>
          <w:szCs w:val="48"/>
        </w:rPr>
      </w:pPr>
      <w:r w:rsidRPr="00F605E6">
        <w:rPr>
          <w:rFonts w:asciiTheme="minorHAnsi" w:hAnsiTheme="minorHAnsi" w:cstheme="minorHAnsi"/>
          <w:sz w:val="48"/>
          <w:szCs w:val="48"/>
        </w:rPr>
        <w:t xml:space="preserve">COVID-19 </w:t>
      </w:r>
      <w:r w:rsidR="00AC3F92">
        <w:rPr>
          <w:rFonts w:asciiTheme="minorHAnsi" w:hAnsiTheme="minorHAnsi" w:cstheme="minorHAnsi"/>
          <w:sz w:val="48"/>
          <w:szCs w:val="48"/>
        </w:rPr>
        <w:t xml:space="preserve">Temporary </w:t>
      </w:r>
      <w:r w:rsidRPr="00F605E6">
        <w:rPr>
          <w:rFonts w:asciiTheme="minorHAnsi" w:hAnsiTheme="minorHAnsi" w:cstheme="minorHAnsi"/>
          <w:sz w:val="48"/>
          <w:szCs w:val="48"/>
        </w:rPr>
        <w:t>MBS Telehealth Services</w:t>
      </w:r>
    </w:p>
    <w:p w14:paraId="58F0FCAC" w14:textId="5CF90FB4" w:rsidR="009C0EBB" w:rsidRDefault="009C0EBB" w:rsidP="007219AD">
      <w:pPr>
        <w:spacing w:after="120"/>
        <w:rPr>
          <w:rFonts w:asciiTheme="majorHAnsi" w:hAnsiTheme="majorHAnsi"/>
          <w:color w:val="001A70" w:themeColor="text2"/>
          <w:sz w:val="28"/>
        </w:rPr>
      </w:pPr>
      <w:bookmarkStart w:id="0" w:name="_Hlk4568006"/>
      <w:r w:rsidRPr="009C0EBB">
        <w:rPr>
          <w:rFonts w:asciiTheme="majorHAnsi" w:hAnsiTheme="majorHAnsi"/>
          <w:color w:val="001A70" w:themeColor="text2"/>
          <w:sz w:val="28"/>
        </w:rPr>
        <w:t xml:space="preserve">Nicotine and Smoking Cessation Counselling </w:t>
      </w:r>
    </w:p>
    <w:p w14:paraId="3E03BD64" w14:textId="1FE6DC5D" w:rsidR="00907B4A" w:rsidRPr="00AB53A4" w:rsidRDefault="00907B4A" w:rsidP="007219AD">
      <w:pPr>
        <w:spacing w:after="120"/>
      </w:pPr>
      <w:r>
        <w:t xml:space="preserve">Last updated: </w:t>
      </w:r>
      <w:r w:rsidR="001F05D6">
        <w:t xml:space="preserve"> </w:t>
      </w:r>
      <w:r w:rsidR="00281ECC">
        <w:t>23</w:t>
      </w:r>
      <w:r w:rsidR="00E12C16">
        <w:t xml:space="preserve"> Ju</w:t>
      </w:r>
      <w:r w:rsidR="009C0EBB">
        <w:t>ly</w:t>
      </w:r>
      <w:r w:rsidR="00E12C16">
        <w:t xml:space="preserve"> 2021</w:t>
      </w:r>
    </w:p>
    <w:p w14:paraId="30856ADD" w14:textId="4F77E2F7" w:rsidR="00231D5C" w:rsidRPr="00122920" w:rsidRDefault="00F43D1C" w:rsidP="00231D5C">
      <w:pPr>
        <w:pStyle w:val="ListParagraph"/>
      </w:pPr>
      <w:bookmarkStart w:id="1" w:name="_Hlk535506978"/>
      <w:bookmarkEnd w:id="0"/>
      <w:r w:rsidRPr="00122920">
        <w:t xml:space="preserve">From </w:t>
      </w:r>
      <w:r w:rsidR="009C0EBB">
        <w:t>2</w:t>
      </w:r>
      <w:r w:rsidRPr="00122920">
        <w:t>1 July 2021</w:t>
      </w:r>
      <w:r w:rsidR="00CE499E">
        <w:t>,</w:t>
      </w:r>
      <w:r w:rsidR="00122920" w:rsidRPr="00122920">
        <w:t xml:space="preserve"> new items </w:t>
      </w:r>
      <w:r w:rsidR="00BF3873">
        <w:t xml:space="preserve">are available </w:t>
      </w:r>
      <w:r w:rsidR="0090637F">
        <w:t>for</w:t>
      </w:r>
      <w:r w:rsidR="00122920" w:rsidRPr="00122920">
        <w:t xml:space="preserve"> </w:t>
      </w:r>
      <w:r w:rsidR="00BF3FFF">
        <w:t>face-to-face and telehealth</w:t>
      </w:r>
      <w:r w:rsidR="00122920" w:rsidRPr="00122920">
        <w:t xml:space="preserve"> services related to</w:t>
      </w:r>
      <w:r w:rsidR="009C0EBB">
        <w:t xml:space="preserve"> n</w:t>
      </w:r>
      <w:r w:rsidR="009C0EBB" w:rsidRPr="009C0EBB">
        <w:t xml:space="preserve">icotine and </w:t>
      </w:r>
      <w:r w:rsidR="009C0EBB">
        <w:t>s</w:t>
      </w:r>
      <w:r w:rsidR="009C0EBB" w:rsidRPr="009C0EBB">
        <w:t xml:space="preserve">moking </w:t>
      </w:r>
      <w:r w:rsidR="009C0EBB">
        <w:t>c</w:t>
      </w:r>
      <w:r w:rsidR="009C0EBB" w:rsidRPr="009C0EBB">
        <w:t xml:space="preserve">essation </w:t>
      </w:r>
      <w:r w:rsidR="009C0EBB">
        <w:t>c</w:t>
      </w:r>
      <w:r w:rsidR="009C0EBB" w:rsidRPr="009C0EBB">
        <w:t>ounselling</w:t>
      </w:r>
      <w:r w:rsidR="00122920" w:rsidRPr="00122920">
        <w:t xml:space="preserve"> </w:t>
      </w:r>
      <w:r w:rsidR="00BF3873">
        <w:t>delivered by General Practitioners (GPs) and Other Medical Practitioners (OMPs)</w:t>
      </w:r>
      <w:r w:rsidRPr="00122920">
        <w:t>. These items will be in place until 3</w:t>
      </w:r>
      <w:r w:rsidR="009C0EBB">
        <w:t>0</w:t>
      </w:r>
      <w:r w:rsidRPr="00122920">
        <w:t> </w:t>
      </w:r>
      <w:r w:rsidR="009C0EBB">
        <w:t xml:space="preserve">June </w:t>
      </w:r>
      <w:r w:rsidRPr="00122920">
        <w:t>202</w:t>
      </w:r>
      <w:r w:rsidR="009C0EBB">
        <w:t>2</w:t>
      </w:r>
      <w:r w:rsidRPr="00122920">
        <w:t>.</w:t>
      </w:r>
    </w:p>
    <w:p w14:paraId="74CB23B5" w14:textId="69227840" w:rsidR="00CE499E" w:rsidRDefault="00CE499E" w:rsidP="00CE499E">
      <w:pPr>
        <w:pStyle w:val="ListParagraph"/>
      </w:pPr>
      <w:r>
        <w:t xml:space="preserve">The introduction of these items aligns with </w:t>
      </w:r>
      <w:r w:rsidRPr="00E46BDC">
        <w:t>the Therapeutic Goods Administration</w:t>
      </w:r>
      <w:r>
        <w:t>’s</w:t>
      </w:r>
      <w:r w:rsidRPr="00E46BDC">
        <w:t xml:space="preserve"> (TGA) </w:t>
      </w:r>
      <w:r>
        <w:t xml:space="preserve">decision that, from </w:t>
      </w:r>
      <w:r w:rsidRPr="00E46BDC">
        <w:t>1</w:t>
      </w:r>
      <w:r>
        <w:t> </w:t>
      </w:r>
      <w:r w:rsidRPr="00E46BDC">
        <w:t>October</w:t>
      </w:r>
      <w:r>
        <w:t> </w:t>
      </w:r>
      <w:r w:rsidRPr="00E46BDC">
        <w:t>2021</w:t>
      </w:r>
      <w:r>
        <w:t>,</w:t>
      </w:r>
      <w:r w:rsidRPr="00E46BDC">
        <w:t xml:space="preserve"> e-cigarettes containing nicotine </w:t>
      </w:r>
      <w:r w:rsidR="00D941AF">
        <w:t xml:space="preserve">will be </w:t>
      </w:r>
      <w:proofErr w:type="gramStart"/>
      <w:r w:rsidR="00D941AF">
        <w:t>up-scheduled</w:t>
      </w:r>
      <w:proofErr w:type="gramEnd"/>
      <w:r w:rsidR="00D941AF">
        <w:t xml:space="preserve"> to a prescription only </w:t>
      </w:r>
      <w:r w:rsidR="001A020A">
        <w:t xml:space="preserve">(schedule 4) </w:t>
      </w:r>
      <w:r w:rsidR="00D941AF">
        <w:t xml:space="preserve">medicine. </w:t>
      </w:r>
    </w:p>
    <w:p w14:paraId="1A8D36AC" w14:textId="3668825A" w:rsidR="00F43D1C" w:rsidRDefault="00F43D1C" w:rsidP="00F43D1C">
      <w:pPr>
        <w:pStyle w:val="ListParagraph"/>
        <w:rPr>
          <w:rFonts w:eastAsia="Times New Roman"/>
        </w:rPr>
      </w:pPr>
      <w:r>
        <w:rPr>
          <w:rFonts w:eastAsia="Times New Roman"/>
        </w:rPr>
        <w:t xml:space="preserve">The </w:t>
      </w:r>
      <w:r w:rsidR="00122920">
        <w:rPr>
          <w:rFonts w:eastAsia="Times New Roman"/>
        </w:rPr>
        <w:t xml:space="preserve">new </w:t>
      </w:r>
      <w:r w:rsidR="009C0EBB">
        <w:rPr>
          <w:rFonts w:eastAsia="Times New Roman"/>
        </w:rPr>
        <w:t xml:space="preserve">items allow </w:t>
      </w:r>
      <w:r w:rsidR="00122920">
        <w:rPr>
          <w:rFonts w:eastAsia="Times New Roman"/>
        </w:rPr>
        <w:t xml:space="preserve">Medicare-benefits to be paid for </w:t>
      </w:r>
      <w:r w:rsidR="009C0EBB">
        <w:rPr>
          <w:rFonts w:eastAsia="Times New Roman"/>
        </w:rPr>
        <w:t xml:space="preserve">telehealth </w:t>
      </w:r>
      <w:r w:rsidR="00122920">
        <w:rPr>
          <w:rFonts w:eastAsia="Times New Roman"/>
        </w:rPr>
        <w:t xml:space="preserve">health care services relating </w:t>
      </w:r>
      <w:r>
        <w:rPr>
          <w:rFonts w:eastAsia="Times New Roman"/>
        </w:rPr>
        <w:t>to</w:t>
      </w:r>
      <w:r w:rsidR="009C0EBB">
        <w:rPr>
          <w:rFonts w:eastAsia="Times New Roman"/>
        </w:rPr>
        <w:t xml:space="preserve"> n</w:t>
      </w:r>
      <w:r w:rsidR="009C0EBB" w:rsidRPr="009C0EBB">
        <w:rPr>
          <w:rFonts w:eastAsia="Times New Roman"/>
        </w:rPr>
        <w:t xml:space="preserve">icotine and </w:t>
      </w:r>
      <w:r w:rsidR="009C0EBB">
        <w:rPr>
          <w:rFonts w:eastAsia="Times New Roman"/>
        </w:rPr>
        <w:t>s</w:t>
      </w:r>
      <w:r w:rsidR="009C0EBB" w:rsidRPr="009C0EBB">
        <w:rPr>
          <w:rFonts w:eastAsia="Times New Roman"/>
        </w:rPr>
        <w:t xml:space="preserve">moking </w:t>
      </w:r>
      <w:r w:rsidR="009C0EBB">
        <w:rPr>
          <w:rFonts w:eastAsia="Times New Roman"/>
        </w:rPr>
        <w:t>c</w:t>
      </w:r>
      <w:r w:rsidR="009C0EBB" w:rsidRPr="009C0EBB">
        <w:rPr>
          <w:rFonts w:eastAsia="Times New Roman"/>
        </w:rPr>
        <w:t xml:space="preserve">essation </w:t>
      </w:r>
      <w:r w:rsidR="009C0EBB">
        <w:rPr>
          <w:rFonts w:eastAsia="Times New Roman"/>
        </w:rPr>
        <w:t>c</w:t>
      </w:r>
      <w:r w:rsidR="009C0EBB" w:rsidRPr="009C0EBB">
        <w:rPr>
          <w:rFonts w:eastAsia="Times New Roman"/>
        </w:rPr>
        <w:t xml:space="preserve">ounselling </w:t>
      </w:r>
      <w:r w:rsidRPr="00BF3FFF">
        <w:rPr>
          <w:rFonts w:eastAsia="Times New Roman"/>
          <w:u w:val="single"/>
        </w:rPr>
        <w:t>without</w:t>
      </w:r>
      <w:r>
        <w:rPr>
          <w:rFonts w:eastAsia="Times New Roman"/>
        </w:rPr>
        <w:t xml:space="preserve"> </w:t>
      </w:r>
      <w:r w:rsidRPr="005B4D37">
        <w:rPr>
          <w:rFonts w:eastAsia="Times New Roman"/>
        </w:rPr>
        <w:t>the requirement for</w:t>
      </w:r>
      <w:r>
        <w:rPr>
          <w:rFonts w:eastAsia="Times New Roman"/>
        </w:rPr>
        <w:t xml:space="preserve"> the patient to have an established</w:t>
      </w:r>
      <w:r w:rsidRPr="005B4D37">
        <w:rPr>
          <w:rFonts w:eastAsia="Times New Roman"/>
        </w:rPr>
        <w:t xml:space="preserve"> clinical relationship with the physician.</w:t>
      </w:r>
      <w:r>
        <w:rPr>
          <w:rFonts w:eastAsia="Times New Roman"/>
        </w:rPr>
        <w:t xml:space="preserve"> </w:t>
      </w:r>
    </w:p>
    <w:p w14:paraId="477716EC" w14:textId="70086512" w:rsidR="00BF3FFF" w:rsidRPr="00BF3FFF" w:rsidRDefault="00CE499E" w:rsidP="00BF3FFF">
      <w:pPr>
        <w:pStyle w:val="ListParagraph"/>
        <w:rPr>
          <w:rFonts w:eastAsia="Times New Roman"/>
        </w:rPr>
      </w:pPr>
      <w:r>
        <w:rPr>
          <w:rFonts w:eastAsia="Times New Roman"/>
        </w:rPr>
        <w:t xml:space="preserve">These </w:t>
      </w:r>
      <w:r w:rsidR="00BF3FFF" w:rsidRPr="00BF3FFF">
        <w:rPr>
          <w:rFonts w:eastAsia="Times New Roman"/>
        </w:rPr>
        <w:t xml:space="preserve">services are eligible for MBS incentive payments when provided as bulk billed services to Commonwealth concession card holders and children under 16 years of age. </w:t>
      </w:r>
    </w:p>
    <w:p w14:paraId="3EB72A2F" w14:textId="4626DC27" w:rsidR="00BF3FFF" w:rsidRPr="00BF3FFF" w:rsidRDefault="00BF3FFF" w:rsidP="00BF3FFF">
      <w:pPr>
        <w:pStyle w:val="ListParagraph"/>
        <w:rPr>
          <w:rFonts w:eastAsia="Times New Roman"/>
        </w:rPr>
      </w:pPr>
      <w:r w:rsidRPr="00BF3FFF">
        <w:rPr>
          <w:rFonts w:eastAsia="Times New Roman"/>
        </w:rPr>
        <w:t>All providers are expected to obtain informed financial consent from patients prior to charging private fees for services.</w:t>
      </w:r>
    </w:p>
    <w:bookmarkEnd w:id="1"/>
    <w:p w14:paraId="075FEB40" w14:textId="77777777" w:rsidR="00D877AE" w:rsidRPr="00122920" w:rsidRDefault="00D877AE">
      <w:pPr>
        <w:pStyle w:val="Heading2"/>
      </w:pPr>
      <w:r w:rsidRPr="00122920">
        <w:t>Who is eligible?</w:t>
      </w:r>
    </w:p>
    <w:p w14:paraId="20762601" w14:textId="48FCBE3B" w:rsidR="00B50188" w:rsidRPr="006030D4" w:rsidRDefault="00231D5C" w:rsidP="00E467B7">
      <w:pPr>
        <w:shd w:val="clear" w:color="auto" w:fill="FFFFFF"/>
        <w:spacing w:line="276" w:lineRule="auto"/>
      </w:pPr>
      <w:r w:rsidRPr="006030D4">
        <w:rPr>
          <w:szCs w:val="20"/>
          <w:lang w:eastAsia="en-AU"/>
        </w:rPr>
        <w:t xml:space="preserve">The </w:t>
      </w:r>
      <w:r w:rsidRPr="006030D4">
        <w:t xml:space="preserve">temporary MBS items </w:t>
      </w:r>
      <w:r w:rsidRPr="006030D4">
        <w:rPr>
          <w:szCs w:val="20"/>
          <w:lang w:eastAsia="en-AU"/>
        </w:rPr>
        <w:t>are available to</w:t>
      </w:r>
      <w:r w:rsidR="00BF3873">
        <w:rPr>
          <w:szCs w:val="20"/>
          <w:lang w:eastAsia="en-AU"/>
        </w:rPr>
        <w:t xml:space="preserve"> all</w:t>
      </w:r>
      <w:r w:rsidRPr="006030D4">
        <w:rPr>
          <w:szCs w:val="20"/>
          <w:lang w:eastAsia="en-AU"/>
        </w:rPr>
        <w:t xml:space="preserve"> </w:t>
      </w:r>
      <w:r w:rsidR="00BF3873">
        <w:rPr>
          <w:szCs w:val="20"/>
          <w:lang w:eastAsia="en-AU"/>
        </w:rPr>
        <w:t xml:space="preserve">Medicare eligible patients seeking GP or OMP </w:t>
      </w:r>
      <w:r w:rsidRPr="006030D4">
        <w:rPr>
          <w:szCs w:val="20"/>
          <w:lang w:eastAsia="en-AU"/>
        </w:rPr>
        <w:t xml:space="preserve">telehealth services for </w:t>
      </w:r>
      <w:r w:rsidR="009C0EBB" w:rsidRPr="009C0EBB">
        <w:rPr>
          <w:szCs w:val="20"/>
          <w:lang w:eastAsia="en-AU"/>
        </w:rPr>
        <w:t>nicotine and smoking cessation counselling</w:t>
      </w:r>
      <w:r w:rsidR="00325CF5">
        <w:t>.</w:t>
      </w:r>
    </w:p>
    <w:p w14:paraId="36E5D914" w14:textId="2BA8E3FD" w:rsidR="00D877AE" w:rsidRPr="00F43D1C" w:rsidRDefault="00D877AE">
      <w:pPr>
        <w:pStyle w:val="Heading2"/>
      </w:pPr>
      <w:r w:rsidRPr="00F43D1C">
        <w:t xml:space="preserve">What </w:t>
      </w:r>
      <w:r w:rsidR="00BF3FFF">
        <w:t>items</w:t>
      </w:r>
      <w:r w:rsidRPr="00F43D1C">
        <w:t xml:space="preserve"> are available?</w:t>
      </w:r>
    </w:p>
    <w:p w14:paraId="0B900E9B" w14:textId="2FC4BDAA" w:rsidR="00BF3FFF" w:rsidRPr="00BF3FFF" w:rsidRDefault="00BF3FFF" w:rsidP="00BF3FFF">
      <w:pPr>
        <w:shd w:val="clear" w:color="auto" w:fill="FFFFFF"/>
        <w:spacing w:line="276" w:lineRule="auto"/>
      </w:pPr>
      <w:r w:rsidRPr="00BF3FFF">
        <w:rPr>
          <w:szCs w:val="20"/>
          <w:lang w:eastAsia="en-AU"/>
        </w:rPr>
        <w:t xml:space="preserve">There are </w:t>
      </w:r>
      <w:r>
        <w:rPr>
          <w:szCs w:val="20"/>
          <w:lang w:eastAsia="en-AU"/>
        </w:rPr>
        <w:t>18</w:t>
      </w:r>
      <w:r w:rsidRPr="00BF3FFF">
        <w:rPr>
          <w:szCs w:val="20"/>
          <w:lang w:eastAsia="en-AU"/>
        </w:rPr>
        <w:t xml:space="preserve"> MBS items for the provision of services by GPs and OMPs related to nicotine and smoking cessation counselling</w:t>
      </w:r>
      <w:r w:rsidRPr="00BF3FFF">
        <w:t>:</w:t>
      </w:r>
    </w:p>
    <w:p w14:paraId="308D0728" w14:textId="009B38EC" w:rsidR="00BF3FFF" w:rsidRPr="00BF3FFF" w:rsidRDefault="00BF3FFF" w:rsidP="00BF3FFF">
      <w:pPr>
        <w:spacing w:after="120" w:line="276" w:lineRule="auto"/>
        <w:ind w:left="360" w:hanging="360"/>
      </w:pPr>
      <w:r w:rsidRPr="00BF3FFF">
        <w:rPr>
          <w:u w:val="single"/>
        </w:rPr>
        <w:t>Group A45 – Nicotine and Smoking Cessation Counselling</w:t>
      </w:r>
      <w:r w:rsidRPr="00BF3FFF">
        <w:t xml:space="preserve"> </w:t>
      </w:r>
    </w:p>
    <w:p w14:paraId="504D4E5B" w14:textId="05F2F817" w:rsidR="00BF3FFF" w:rsidRPr="00BF3FFF" w:rsidRDefault="00BF3FFF" w:rsidP="00BF3FFF">
      <w:pPr>
        <w:numPr>
          <w:ilvl w:val="0"/>
          <w:numId w:val="20"/>
        </w:numPr>
        <w:spacing w:after="120" w:line="276" w:lineRule="auto"/>
        <w:ind w:left="360"/>
      </w:pPr>
      <w:r w:rsidRPr="00BF3FFF">
        <w:t xml:space="preserve">6 new face-to-face items </w:t>
      </w:r>
      <w:r w:rsidR="00CE499E">
        <w:t xml:space="preserve">for </w:t>
      </w:r>
      <w:r w:rsidRPr="00BF3FFF">
        <w:t>nicotine and smoking cessation counselling services – MBS items 93680, 93681, 93682, 93683</w:t>
      </w:r>
      <w:r w:rsidR="00CE499E">
        <w:t>,</w:t>
      </w:r>
      <w:r w:rsidRPr="00BF3FFF">
        <w:t xml:space="preserve"> 93684</w:t>
      </w:r>
      <w:r w:rsidR="00CE499E">
        <w:t xml:space="preserve"> </w:t>
      </w:r>
      <w:r w:rsidRPr="00BF3FFF">
        <w:t xml:space="preserve">and 93685. </w:t>
      </w:r>
    </w:p>
    <w:p w14:paraId="2D5861E0" w14:textId="7214D660" w:rsidR="00BF3FFF" w:rsidRPr="00BF3FFF" w:rsidRDefault="00BF3FFF" w:rsidP="00BF3FFF">
      <w:pPr>
        <w:numPr>
          <w:ilvl w:val="0"/>
          <w:numId w:val="20"/>
        </w:numPr>
        <w:spacing w:after="120" w:line="276" w:lineRule="auto"/>
        <w:ind w:left="360"/>
      </w:pPr>
      <w:r w:rsidRPr="00BF3FFF">
        <w:t xml:space="preserve">6 new videoconference items for nicotine and smoking cessation counselling services – MBS items 93690, 93691, 93692, 93693, 93694 and 93695. </w:t>
      </w:r>
    </w:p>
    <w:p w14:paraId="32AF87C5" w14:textId="75538931" w:rsidR="00BF3FFF" w:rsidRPr="00BF3FFF" w:rsidRDefault="00BF3FFF" w:rsidP="00BF3FFF">
      <w:pPr>
        <w:numPr>
          <w:ilvl w:val="0"/>
          <w:numId w:val="20"/>
        </w:numPr>
        <w:spacing w:after="120" w:line="276" w:lineRule="auto"/>
        <w:ind w:left="360"/>
      </w:pPr>
      <w:r w:rsidRPr="00BF3FFF">
        <w:t xml:space="preserve">6 new telephone items for nicotine and smoking cessation counselling services – MBS items 93700, 93701, 93702, 93703, 93704 and 93705. </w:t>
      </w:r>
    </w:p>
    <w:p w14:paraId="2AC5A9C3" w14:textId="6C83A1B2" w:rsidR="005B124F" w:rsidRDefault="005B124F" w:rsidP="002A7B41">
      <w:pPr>
        <w:spacing w:before="120" w:after="120" w:line="276" w:lineRule="auto"/>
      </w:pPr>
      <w:r w:rsidRPr="00F43D1C">
        <w:t xml:space="preserve">Videoconference services are the preferred approach for substituting a face-to-face </w:t>
      </w:r>
      <w:r w:rsidRPr="00122920">
        <w:t xml:space="preserve">consultation. </w:t>
      </w:r>
      <w:proofErr w:type="gramStart"/>
      <w:r w:rsidRPr="00122920">
        <w:t>Howeve</w:t>
      </w:r>
      <w:r w:rsidR="00281ECC">
        <w:t>r</w:t>
      </w:r>
      <w:proofErr w:type="gramEnd"/>
      <w:r w:rsidRPr="00122920">
        <w:t xml:space="preserve"> providers </w:t>
      </w:r>
      <w:r w:rsidR="00B50188" w:rsidRPr="00122920">
        <w:t xml:space="preserve">can also </w:t>
      </w:r>
      <w:r w:rsidRPr="00122920">
        <w:t>offer audio-only services via telephone</w:t>
      </w:r>
      <w:r w:rsidR="00B50188" w:rsidRPr="00122920">
        <w:t xml:space="preserve"> in some circumstances</w:t>
      </w:r>
      <w:r w:rsidR="00B05DA5" w:rsidRPr="00122920">
        <w:t xml:space="preserve"> and where clinically appropriate</w:t>
      </w:r>
      <w:r w:rsidRPr="00122920">
        <w:t>. There are separate items available for the audio-only services.</w:t>
      </w:r>
    </w:p>
    <w:p w14:paraId="7C0E5AFA" w14:textId="3F90CB32" w:rsidR="006D41F1" w:rsidRPr="00F43D1C" w:rsidRDefault="0052108D" w:rsidP="00E467B7">
      <w:pPr>
        <w:spacing w:before="240" w:after="120" w:line="276" w:lineRule="auto"/>
      </w:pPr>
      <w:r w:rsidRPr="00E467B7">
        <w:rPr>
          <w:rFonts w:eastAsia="Times New Roman"/>
        </w:rPr>
        <w:t xml:space="preserve">No specific equipment is required to provide </w:t>
      </w:r>
      <w:r w:rsidR="00262717" w:rsidRPr="00E467B7">
        <w:rPr>
          <w:rFonts w:eastAsia="Times New Roman"/>
        </w:rPr>
        <w:t>Medicare-compl</w:t>
      </w:r>
      <w:r w:rsidR="00572B2A" w:rsidRPr="00E467B7">
        <w:rPr>
          <w:rFonts w:eastAsia="Times New Roman"/>
        </w:rPr>
        <w:t>iant</w:t>
      </w:r>
      <w:r w:rsidR="00262717" w:rsidRPr="00E467B7">
        <w:rPr>
          <w:rFonts w:eastAsia="Times New Roman"/>
        </w:rPr>
        <w:t xml:space="preserve"> </w:t>
      </w:r>
      <w:r w:rsidR="00C27A3D" w:rsidRPr="00E467B7">
        <w:rPr>
          <w:rFonts w:eastAsia="Times New Roman"/>
        </w:rPr>
        <w:t xml:space="preserve">telehealth </w:t>
      </w:r>
      <w:r w:rsidRPr="00E467B7">
        <w:rPr>
          <w:rFonts w:eastAsia="Times New Roman"/>
        </w:rPr>
        <w:t>services</w:t>
      </w:r>
      <w:r w:rsidR="00C27A3D" w:rsidRPr="00E467B7">
        <w:rPr>
          <w:rFonts w:eastAsia="Times New Roman"/>
        </w:rPr>
        <w:t>.</w:t>
      </w:r>
      <w:r w:rsidRPr="00E467B7">
        <w:rPr>
          <w:rFonts w:eastAsia="Times New Roman"/>
        </w:rPr>
        <w:t xml:space="preserve"> </w:t>
      </w:r>
      <w:r w:rsidR="006D41F1" w:rsidRPr="00E467B7">
        <w:rPr>
          <w:rFonts w:eastAsia="Times New Roman"/>
        </w:rPr>
        <w:t>Practitioners must ensure that</w:t>
      </w:r>
      <w:r w:rsidR="006D41F1" w:rsidRPr="00F43D1C">
        <w:t xml:space="preserve"> their chosen telecommunications solution meets their clinical requirements and satisfies privacy laws.</w:t>
      </w:r>
      <w:r w:rsidR="00282786" w:rsidRPr="00F43D1C">
        <w:t xml:space="preserve"> </w:t>
      </w:r>
      <w:r w:rsidR="00FF3E49" w:rsidRPr="00F43D1C">
        <w:t xml:space="preserve">To assist providers with their privacy obligations, a privacy checklist for telehealth services has been made available on </w:t>
      </w:r>
      <w:proofErr w:type="spellStart"/>
      <w:r w:rsidR="00FF3E49" w:rsidRPr="00F43D1C">
        <w:lastRenderedPageBreak/>
        <w:t>MBSOnline</w:t>
      </w:r>
      <w:proofErr w:type="spellEnd"/>
      <w:r w:rsidR="00FF3E49" w:rsidRPr="00F43D1C">
        <w:t xml:space="preserve">: </w:t>
      </w:r>
      <w:hyperlink r:id="rId7" w:tooltip="Link to privacy checklist on MBS Online website " w:history="1">
        <w:r w:rsidR="00FF3E49" w:rsidRPr="00F43D1C">
          <w:rPr>
            <w:rStyle w:val="Hyperlink"/>
          </w:rPr>
          <w:t>http://www.mbsonline.gov.au/internet/mbsonline/publishing.nsf/Content/Factsheet-TelehealthPrivChecklist</w:t>
        </w:r>
      </w:hyperlink>
      <w:r w:rsidR="00FF3E49" w:rsidRPr="00F43D1C">
        <w:t>. Further I</w:t>
      </w:r>
      <w:r w:rsidR="00282786" w:rsidRPr="00F43D1C">
        <w:t>nformation</w:t>
      </w:r>
      <w:r w:rsidR="00FF3E49" w:rsidRPr="00F43D1C">
        <w:t xml:space="preserve"> can be found</w:t>
      </w:r>
      <w:r w:rsidR="00282786" w:rsidRPr="00F43D1C">
        <w:t xml:space="preserve"> on the </w:t>
      </w:r>
      <w:hyperlink r:id="rId8" w:history="1">
        <w:r w:rsidR="00282786" w:rsidRPr="00F43D1C">
          <w:rPr>
            <w:rStyle w:val="Hyperlink"/>
          </w:rPr>
          <w:t>Australian Cyber Security Centre website</w:t>
        </w:r>
      </w:hyperlink>
      <w:r w:rsidR="00282786" w:rsidRPr="00F43D1C">
        <w:t>.</w:t>
      </w:r>
    </w:p>
    <w:p w14:paraId="4DC5316A" w14:textId="77777777" w:rsidR="005B124F" w:rsidRPr="00E556A8" w:rsidRDefault="00425089">
      <w:pPr>
        <w:pStyle w:val="Heading2"/>
      </w:pPr>
      <w:r w:rsidRPr="00E556A8">
        <w:t xml:space="preserve">What does this mean for </w:t>
      </w:r>
      <w:r w:rsidR="00135417" w:rsidRPr="00E556A8">
        <w:t>providers</w:t>
      </w:r>
      <w:r w:rsidRPr="00E556A8">
        <w:t>?</w:t>
      </w:r>
    </w:p>
    <w:p w14:paraId="21058E72" w14:textId="203E08ED" w:rsidR="00F047BC" w:rsidRPr="00E556A8" w:rsidRDefault="00F047BC" w:rsidP="00F047BC">
      <w:r w:rsidRPr="00E556A8">
        <w:t>The</w:t>
      </w:r>
      <w:r w:rsidR="00954972" w:rsidRPr="00E556A8">
        <w:t xml:space="preserve"> new</w:t>
      </w:r>
      <w:r w:rsidRPr="00E556A8">
        <w:t xml:space="preserve"> temporary MBS items allow providers </w:t>
      </w:r>
      <w:r w:rsidR="003864D1" w:rsidRPr="00E556A8">
        <w:t>to</w:t>
      </w:r>
      <w:r w:rsidRPr="00E556A8">
        <w:t xml:space="preserve"> deliver essential health care services to </w:t>
      </w:r>
      <w:r w:rsidR="00954972" w:rsidRPr="00E556A8">
        <w:t xml:space="preserve">patients </w:t>
      </w:r>
      <w:r w:rsidR="008473A6">
        <w:t xml:space="preserve">via telehealth </w:t>
      </w:r>
      <w:r w:rsidR="00954972" w:rsidRPr="00E556A8">
        <w:t>where there may be barriers due to limited service provision.</w:t>
      </w:r>
    </w:p>
    <w:p w14:paraId="6D366435" w14:textId="3F469B04" w:rsidR="003864D1" w:rsidRPr="00E556A8" w:rsidRDefault="00F047BC" w:rsidP="00F047BC">
      <w:r w:rsidRPr="00E556A8">
        <w:t>Providers do not need to be in their regular practice to provide telehealth services</w:t>
      </w:r>
      <w:r w:rsidR="00E556A8" w:rsidRPr="00E556A8">
        <w:t>, however they must have a formal agreement with a medical practice that provides onsite face</w:t>
      </w:r>
      <w:r w:rsidR="006030D4">
        <w:t>-</w:t>
      </w:r>
      <w:r w:rsidR="00E556A8" w:rsidRPr="00E556A8">
        <w:t>to</w:t>
      </w:r>
      <w:r w:rsidR="006030D4">
        <w:t>-</w:t>
      </w:r>
      <w:r w:rsidR="00E556A8" w:rsidRPr="00E556A8">
        <w:t>face services to patients.</w:t>
      </w:r>
    </w:p>
    <w:p w14:paraId="5AAF3951" w14:textId="77777777" w:rsidR="00F047BC" w:rsidRPr="00954972" w:rsidRDefault="00F047BC" w:rsidP="00F047BC">
      <w:r w:rsidRPr="00954972">
        <w:t xml:space="preserve">Providers should use their provider number for their primary location, and must provide safe services in accordance with normal professional standards. </w:t>
      </w:r>
    </w:p>
    <w:p w14:paraId="0F36C034" w14:textId="224D4B66" w:rsidR="00F047BC" w:rsidRPr="00954972" w:rsidRDefault="00F943E8" w:rsidP="00F047BC">
      <w:r w:rsidRPr="00954972">
        <w:t xml:space="preserve">The telehealth MBS items can substitute for current face-to-face consultations that </w:t>
      </w:r>
      <w:r w:rsidR="009A759F" w:rsidRPr="00954972">
        <w:t xml:space="preserve">are </w:t>
      </w:r>
      <w:r w:rsidRPr="00954972">
        <w:t xml:space="preserve">available under the MBS when the service/s cannot be provided due to </w:t>
      </w:r>
      <w:r w:rsidR="00281ECC">
        <w:t>accessibility</w:t>
      </w:r>
      <w:r w:rsidRPr="00954972">
        <w:t xml:space="preserve"> considerations</w:t>
      </w:r>
      <w:r w:rsidR="00F047BC" w:rsidRPr="00954972">
        <w:t>. The</w:t>
      </w:r>
      <w:r w:rsidR="00954972">
        <w:t>se new</w:t>
      </w:r>
      <w:r w:rsidR="00F047BC" w:rsidRPr="00954972">
        <w:t xml:space="preserve"> MBS telehealth items </w:t>
      </w:r>
      <w:r w:rsidR="00231D5C" w:rsidRPr="00954972">
        <w:t xml:space="preserve">have the same clinical </w:t>
      </w:r>
      <w:r w:rsidR="00F047BC" w:rsidRPr="00954972">
        <w:t xml:space="preserve">requirements </w:t>
      </w:r>
      <w:r w:rsidR="00231D5C" w:rsidRPr="00954972">
        <w:t>as</w:t>
      </w:r>
      <w:r w:rsidR="009C0EBB">
        <w:t xml:space="preserve"> a face-to-face service for </w:t>
      </w:r>
      <w:r w:rsidR="009C0EBB" w:rsidRPr="009C0EBB">
        <w:t xml:space="preserve">nicotine and smoking cessation counselling </w:t>
      </w:r>
    </w:p>
    <w:p w14:paraId="1D47A7EE" w14:textId="77777777" w:rsidR="00F047BC" w:rsidRPr="00954972" w:rsidRDefault="00F047BC" w:rsidP="00F047BC">
      <w:r w:rsidRPr="00954972">
        <w:t xml:space="preserve">For </w:t>
      </w:r>
      <w:r w:rsidR="0062014B" w:rsidRPr="00954972">
        <w:t xml:space="preserve">additional </w:t>
      </w:r>
      <w:r w:rsidRPr="00954972">
        <w:t xml:space="preserve">information </w:t>
      </w:r>
      <w:r w:rsidR="0062014B" w:rsidRPr="00954972">
        <w:t>on the use of telehealth items</w:t>
      </w:r>
      <w:r w:rsidRPr="00954972">
        <w:t xml:space="preserve">, please refer to the </w:t>
      </w:r>
      <w:hyperlink r:id="rId9" w:history="1">
        <w:r w:rsidRPr="00954972">
          <w:rPr>
            <w:rStyle w:val="Hyperlink"/>
          </w:rPr>
          <w:t>Provider Frequently Asked Questions</w:t>
        </w:r>
      </w:hyperlink>
      <w:r w:rsidRPr="00954972">
        <w:t xml:space="preserve"> document available on </w:t>
      </w:r>
      <w:proofErr w:type="spellStart"/>
      <w:r w:rsidRPr="00954972">
        <w:t>MBSOnline</w:t>
      </w:r>
      <w:proofErr w:type="spellEnd"/>
      <w:r w:rsidRPr="00954972">
        <w:t>.</w:t>
      </w:r>
    </w:p>
    <w:p w14:paraId="29402DCC" w14:textId="23654A05" w:rsidR="00122920" w:rsidRDefault="00122920" w:rsidP="00122920">
      <w:pPr>
        <w:pStyle w:val="Heading2"/>
      </w:pPr>
      <w:r>
        <w:t>What services can be offered using these items?</w:t>
      </w:r>
    </w:p>
    <w:p w14:paraId="619F2C11" w14:textId="35B09CA8" w:rsidR="00122920" w:rsidRDefault="00122920" w:rsidP="00122920">
      <w:pPr>
        <w:shd w:val="clear" w:color="auto" w:fill="FFFFFF"/>
        <w:spacing w:line="276" w:lineRule="auto"/>
      </w:pPr>
      <w:r>
        <w:t xml:space="preserve">These items should be used for services related to </w:t>
      </w:r>
      <w:r w:rsidR="009C0EBB">
        <w:rPr>
          <w:rFonts w:eastAsia="Times New Roman"/>
        </w:rPr>
        <w:t>n</w:t>
      </w:r>
      <w:r w:rsidR="009C0EBB" w:rsidRPr="009C0EBB">
        <w:rPr>
          <w:rFonts w:eastAsia="Times New Roman"/>
        </w:rPr>
        <w:t xml:space="preserve">icotine and </w:t>
      </w:r>
      <w:r w:rsidR="009C0EBB">
        <w:rPr>
          <w:rFonts w:eastAsia="Times New Roman"/>
        </w:rPr>
        <w:t>s</w:t>
      </w:r>
      <w:r w:rsidR="009C0EBB" w:rsidRPr="009C0EBB">
        <w:rPr>
          <w:rFonts w:eastAsia="Times New Roman"/>
        </w:rPr>
        <w:t xml:space="preserve">moking </w:t>
      </w:r>
      <w:r w:rsidR="009C0EBB">
        <w:rPr>
          <w:rFonts w:eastAsia="Times New Roman"/>
        </w:rPr>
        <w:t>c</w:t>
      </w:r>
      <w:r w:rsidR="009C0EBB" w:rsidRPr="009C0EBB">
        <w:rPr>
          <w:rFonts w:eastAsia="Times New Roman"/>
        </w:rPr>
        <w:t xml:space="preserve">essation </w:t>
      </w:r>
      <w:r w:rsidR="009C0EBB">
        <w:rPr>
          <w:rFonts w:eastAsia="Times New Roman"/>
        </w:rPr>
        <w:t>c</w:t>
      </w:r>
      <w:r w:rsidR="009C0EBB" w:rsidRPr="009C0EBB">
        <w:rPr>
          <w:rFonts w:eastAsia="Times New Roman"/>
        </w:rPr>
        <w:t>ounselling</w:t>
      </w:r>
      <w:r>
        <w:t>.</w:t>
      </w:r>
    </w:p>
    <w:p w14:paraId="799C6A9C" w14:textId="5B107F85" w:rsidR="00122920" w:rsidRDefault="00CE499E" w:rsidP="00122920">
      <w:pPr>
        <w:shd w:val="clear" w:color="auto" w:fill="FFFFFF"/>
        <w:spacing w:line="276" w:lineRule="auto"/>
      </w:pPr>
      <w:r>
        <w:t>Therapeutic i</w:t>
      </w:r>
      <w:r w:rsidR="009C0EBB" w:rsidRPr="009C0EBB">
        <w:t xml:space="preserve">nterventions for the cessation of nicotine </w:t>
      </w:r>
      <w:r w:rsidR="009C0EBB">
        <w:t xml:space="preserve">and smoking, including liquid nicotine, </w:t>
      </w:r>
      <w:r w:rsidR="00122920">
        <w:t>can be prescribed under these items if clinically relevant</w:t>
      </w:r>
      <w:r w:rsidRPr="00CE499E">
        <w:t>, subject to state and territory legislation</w:t>
      </w:r>
      <w:r w:rsidR="00122920">
        <w:t>.</w:t>
      </w:r>
    </w:p>
    <w:p w14:paraId="2D91E490" w14:textId="66659201" w:rsidR="007B7C84" w:rsidRPr="007B7C84" w:rsidRDefault="007B7C84" w:rsidP="005442BC">
      <w:pPr>
        <w:pStyle w:val="Heading2"/>
        <w:keepNext/>
        <w:keepLines/>
      </w:pPr>
      <w:r w:rsidRPr="007B7C84">
        <w:t>Do I have to have seen the patient in the last 12 months?</w:t>
      </w:r>
    </w:p>
    <w:p w14:paraId="2FAF32CF" w14:textId="24D7E435" w:rsidR="007B7C84" w:rsidRDefault="007B7C84" w:rsidP="007B7C84">
      <w:pPr>
        <w:shd w:val="clear" w:color="auto" w:fill="FFFFFF"/>
        <w:spacing w:line="276" w:lineRule="auto"/>
      </w:pPr>
      <w:r w:rsidRPr="007B7C84">
        <w:t>No, an established clinical relationship with a patient is not required to use these items, however GPs and OMPs may also use these items for consults with existing patients</w:t>
      </w:r>
      <w:r w:rsidR="009F1CBF">
        <w:t xml:space="preserve"> </w:t>
      </w:r>
      <w:r w:rsidR="00517C31">
        <w:t>when appropriate</w:t>
      </w:r>
      <w:r w:rsidRPr="007B7C84">
        <w:t>.</w:t>
      </w:r>
    </w:p>
    <w:p w14:paraId="0AC97CF2" w14:textId="4D30EBF0" w:rsidR="007B7C84" w:rsidRPr="007B7C84" w:rsidRDefault="007B7C84" w:rsidP="007B7C84">
      <w:pPr>
        <w:pStyle w:val="Heading2"/>
      </w:pPr>
      <w:r>
        <w:t>Does a telehealth consult constitute the establishment of a relationship with a patient</w:t>
      </w:r>
      <w:r w:rsidRPr="007B7C84">
        <w:t>?</w:t>
      </w:r>
    </w:p>
    <w:p w14:paraId="7ECE1A55" w14:textId="29AC0AA5" w:rsidR="00122920" w:rsidRPr="00122920" w:rsidRDefault="00F43D1C" w:rsidP="00122920">
      <w:pPr>
        <w:shd w:val="clear" w:color="auto" w:fill="FFFFFF"/>
        <w:spacing w:line="276" w:lineRule="auto"/>
      </w:pPr>
      <w:r>
        <w:t>No, to have a defined</w:t>
      </w:r>
      <w:r w:rsidR="007B7C84">
        <w:t xml:space="preserve"> established clinical relationship with a patien</w:t>
      </w:r>
      <w:r>
        <w:t>t</w:t>
      </w:r>
      <w:r w:rsidR="005159CB">
        <w:t>,</w:t>
      </w:r>
      <w:r>
        <w:t xml:space="preserve"> </w:t>
      </w:r>
      <w:r w:rsidR="00325CF5">
        <w:t>the provider, or</w:t>
      </w:r>
      <w:r w:rsidR="005159CB">
        <w:t xml:space="preserve"> another provider within</w:t>
      </w:r>
      <w:r w:rsidR="00325CF5">
        <w:t xml:space="preserve"> the</w:t>
      </w:r>
      <w:r w:rsidR="00C93D9A">
        <w:t xml:space="preserve"> </w:t>
      </w:r>
      <w:r w:rsidR="00C93D9A" w:rsidRPr="00C93D9A">
        <w:t>medical practice</w:t>
      </w:r>
      <w:r w:rsidR="00C93D9A">
        <w:t xml:space="preserve"> the provider is located,</w:t>
      </w:r>
      <w:r>
        <w:t xml:space="preserve"> </w:t>
      </w:r>
      <w:r w:rsidR="00325CF5">
        <w:t xml:space="preserve">must </w:t>
      </w:r>
      <w:r>
        <w:t xml:space="preserve">have to have seen </w:t>
      </w:r>
      <w:r w:rsidR="00325CF5">
        <w:t xml:space="preserve">the patient </w:t>
      </w:r>
      <w:r>
        <w:t>in-</w:t>
      </w:r>
      <w:r w:rsidR="007B7C84">
        <w:t xml:space="preserve">person </w:t>
      </w:r>
      <w:r>
        <w:t>for a face</w:t>
      </w:r>
      <w:r>
        <w:noBreakHyphen/>
        <w:t>to-face consultation</w:t>
      </w:r>
      <w:r w:rsidR="00325CF5">
        <w:t xml:space="preserve"> within the preceding 12 months</w:t>
      </w:r>
      <w:r>
        <w:t xml:space="preserve">. Further information on established clinical relationships can be found at </w:t>
      </w:r>
      <w:hyperlink r:id="rId10" w:history="1">
        <w:r w:rsidRPr="00F43D1C">
          <w:rPr>
            <w:rStyle w:val="Hyperlink"/>
          </w:rPr>
          <w:t>MBS Online</w:t>
        </w:r>
      </w:hyperlink>
      <w:r>
        <w:t>.</w:t>
      </w:r>
    </w:p>
    <w:p w14:paraId="7FC79210" w14:textId="55246441" w:rsidR="00595BBD" w:rsidRPr="00F43D1C" w:rsidRDefault="00595BBD">
      <w:pPr>
        <w:pStyle w:val="Heading2"/>
      </w:pPr>
      <w:r w:rsidRPr="00F43D1C">
        <w:t>How will the changes be monitored</w:t>
      </w:r>
      <w:r w:rsidR="000367AA" w:rsidRPr="00F43D1C">
        <w:t xml:space="preserve"> and reviewed</w:t>
      </w:r>
      <w:r w:rsidRPr="00F43D1C">
        <w:t>?</w:t>
      </w:r>
    </w:p>
    <w:p w14:paraId="263B6BAC" w14:textId="77777777" w:rsidR="00AF51AC" w:rsidRPr="00F43D1C" w:rsidRDefault="00AF51AC" w:rsidP="00BD55AD">
      <w:pPr>
        <w:spacing w:line="276" w:lineRule="auto"/>
      </w:pPr>
      <w:r w:rsidRPr="00F43D1C">
        <w:t xml:space="preserve">The Department of Health </w:t>
      </w:r>
      <w:r w:rsidR="00231D5C" w:rsidRPr="00F43D1C">
        <w:t>continues to mo</w:t>
      </w:r>
      <w:r w:rsidRPr="00F43D1C">
        <w:t>nitor the use of the new MBS items. Use of the items that does not seem to be in accordance with the relevant Medicare guidelines and legislation will be actioned appropriately.</w:t>
      </w:r>
    </w:p>
    <w:p w14:paraId="509E62B3" w14:textId="77777777" w:rsidR="00F93F71" w:rsidRPr="00F43D1C" w:rsidRDefault="00F93F71">
      <w:pPr>
        <w:pStyle w:val="Heading2"/>
      </w:pPr>
      <w:r w:rsidRPr="00F43D1C">
        <w:t>Where can I find more information?</w:t>
      </w:r>
    </w:p>
    <w:p w14:paraId="673D5639" w14:textId="77777777" w:rsidR="00D877AE" w:rsidRPr="00F43D1C" w:rsidRDefault="00D877AE" w:rsidP="00D877AE">
      <w:pPr>
        <w:spacing w:line="276" w:lineRule="auto"/>
      </w:pPr>
      <w:r w:rsidRPr="00F43D1C">
        <w:t xml:space="preserve">COVID-19 National Health Plan resources for the general public, health professionals and industry are available from the </w:t>
      </w:r>
      <w:hyperlink r:id="rId11" w:history="1">
        <w:r w:rsidRPr="00F43D1C">
          <w:rPr>
            <w:rStyle w:val="Hyperlink"/>
          </w:rPr>
          <w:t>Australian Government Department of Health website</w:t>
        </w:r>
      </w:hyperlink>
      <w:r w:rsidRPr="00F43D1C">
        <w:t>.</w:t>
      </w:r>
    </w:p>
    <w:p w14:paraId="3721C9CF" w14:textId="77777777" w:rsidR="00D6302E" w:rsidRPr="00F43D1C" w:rsidRDefault="00D6302E" w:rsidP="00BD55AD">
      <w:pPr>
        <w:spacing w:line="276" w:lineRule="auto"/>
      </w:pPr>
      <w:r w:rsidRPr="00F43D1C">
        <w:lastRenderedPageBreak/>
        <w:t>The full item descriptor</w:t>
      </w:r>
      <w:r w:rsidR="00AC3F92" w:rsidRPr="00F43D1C">
        <w:t xml:space="preserve">s </w:t>
      </w:r>
      <w:r w:rsidRPr="00F43D1C">
        <w:t>and information on other changes to the MBS can be found</w:t>
      </w:r>
      <w:r w:rsidR="005E1472" w:rsidRPr="00F43D1C">
        <w:t xml:space="preserve"> </w:t>
      </w:r>
      <w:r w:rsidR="00ED1055" w:rsidRPr="00F43D1C">
        <w:t>on the</w:t>
      </w:r>
      <w:r w:rsidR="0018507E" w:rsidRPr="00F43D1C">
        <w:t xml:space="preserve"> </w:t>
      </w:r>
      <w:r w:rsidR="00141BC3" w:rsidRPr="00F43D1C">
        <w:t>MBS Online</w:t>
      </w:r>
      <w:r w:rsidR="0018507E" w:rsidRPr="00F43D1C">
        <w:t xml:space="preserve"> </w:t>
      </w:r>
      <w:r w:rsidR="00ED1055" w:rsidRPr="00F43D1C">
        <w:t xml:space="preserve">website at </w:t>
      </w:r>
      <w:hyperlink r:id="rId12" w:tooltip="Link to MBS item descriptors on MBS Online website" w:history="1">
        <w:r w:rsidR="00420023" w:rsidRPr="00F43D1C">
          <w:rPr>
            <w:rStyle w:val="Hyperlink"/>
          </w:rPr>
          <w:t>www.mbsonline.gov.au</w:t>
        </w:r>
      </w:hyperlink>
      <w:r w:rsidR="00AA69A9" w:rsidRPr="00F43D1C">
        <w:rPr>
          <w:rStyle w:val="Hyperlink"/>
        </w:rPr>
        <w:t>.</w:t>
      </w:r>
      <w:r w:rsidRPr="00F43D1C">
        <w:t xml:space="preserve"> </w:t>
      </w:r>
      <w:r w:rsidR="0018507E" w:rsidRPr="00F43D1C">
        <w:t xml:space="preserve">You can also </w:t>
      </w:r>
      <w:r w:rsidR="00D16EF3" w:rsidRPr="00F43D1C">
        <w:t xml:space="preserve">subscribe to future MBS updates by visiting </w:t>
      </w:r>
      <w:hyperlink r:id="rId13" w:history="1">
        <w:r w:rsidR="00ED1055" w:rsidRPr="00F43D1C">
          <w:rPr>
            <w:rStyle w:val="Hyperlink"/>
          </w:rPr>
          <w:t>MBS Online</w:t>
        </w:r>
      </w:hyperlink>
      <w:r w:rsidR="00ED1055" w:rsidRPr="00F43D1C">
        <w:t xml:space="preserve"> a</w:t>
      </w:r>
      <w:r w:rsidR="00D62923" w:rsidRPr="00F43D1C">
        <w:t>nd clicking</w:t>
      </w:r>
      <w:r w:rsidR="00D16EF3" w:rsidRPr="00F43D1C">
        <w:t xml:space="preserve"> ‘Subscribe’.</w:t>
      </w:r>
      <w:r w:rsidRPr="00F43D1C">
        <w:t xml:space="preserve"> </w:t>
      </w:r>
    </w:p>
    <w:p w14:paraId="2647E2C4" w14:textId="77777777" w:rsidR="00606E46" w:rsidRPr="00F43D1C" w:rsidRDefault="00ED1055" w:rsidP="00BD55AD">
      <w:pPr>
        <w:spacing w:line="276" w:lineRule="auto"/>
      </w:pPr>
      <w:r w:rsidRPr="00F43D1C">
        <w:t xml:space="preserve">The Department of Health provides an email advice service for providers seeking advice on interpretation of the MBS items and rules and the Health Insurance Act and associated regulations. </w:t>
      </w:r>
      <w:r w:rsidR="00606E46" w:rsidRPr="00F43D1C">
        <w:t xml:space="preserve">If you have a query relating exclusively to interpretation of the Schedule, you should email </w:t>
      </w:r>
      <w:hyperlink r:id="rId14" w:history="1">
        <w:r w:rsidR="00606E46" w:rsidRPr="00F43D1C">
          <w:rPr>
            <w:rStyle w:val="Hyperlink"/>
          </w:rPr>
          <w:t>askMBS@health.gov.au</w:t>
        </w:r>
      </w:hyperlink>
      <w:r w:rsidR="00606E46" w:rsidRPr="00F43D1C">
        <w:t>.</w:t>
      </w:r>
    </w:p>
    <w:p w14:paraId="2ED34781" w14:textId="6CE129CA" w:rsidR="00B378D4" w:rsidRPr="00F43D1C" w:rsidRDefault="00B378D4" w:rsidP="00BD55AD">
      <w:pPr>
        <w:spacing w:line="276" w:lineRule="auto"/>
      </w:pPr>
      <w:r w:rsidRPr="00F43D1C">
        <w:t>Subscribe to ‘</w:t>
      </w:r>
      <w:hyperlink r:id="rId15" w:history="1">
        <w:r w:rsidRPr="00F43D1C">
          <w:rPr>
            <w:rStyle w:val="Hyperlink"/>
          </w:rPr>
          <w:t>News for Health Professionals</w:t>
        </w:r>
      </w:hyperlink>
      <w:r w:rsidRPr="00F43D1C">
        <w:t>’ on the</w:t>
      </w:r>
      <w:r w:rsidR="001C73B8" w:rsidRPr="00F43D1C">
        <w:t xml:space="preserve"> Services Australia </w:t>
      </w:r>
      <w:r w:rsidRPr="00F43D1C">
        <w:t>website and you will receive regular news highlights.</w:t>
      </w:r>
    </w:p>
    <w:p w14:paraId="7A6AF295" w14:textId="77777777" w:rsidR="00ED1055" w:rsidRPr="00F43D1C" w:rsidRDefault="00ED1055" w:rsidP="00BD55AD">
      <w:pPr>
        <w:spacing w:line="276" w:lineRule="auto"/>
      </w:pPr>
      <w:r w:rsidRPr="00F43D1C">
        <w:t xml:space="preserve">If you are seeking advice in relation to Medicare billing, claiming, payments, or obtaining a provider number, please </w:t>
      </w:r>
      <w:bookmarkStart w:id="2" w:name="_Hlk7773414"/>
      <w:r w:rsidR="00B378D4" w:rsidRPr="00F43D1C">
        <w:t xml:space="preserve">go to the Health Professionals page on the </w:t>
      </w:r>
      <w:r w:rsidR="001C73B8" w:rsidRPr="00F43D1C">
        <w:t>Services Australia</w:t>
      </w:r>
      <w:r w:rsidR="00B378D4" w:rsidRPr="00F43D1C">
        <w:t xml:space="preserve"> website or </w:t>
      </w:r>
      <w:bookmarkEnd w:id="2"/>
      <w:r w:rsidRPr="00F43D1C">
        <w:t xml:space="preserve">contact </w:t>
      </w:r>
      <w:r w:rsidR="001C73B8" w:rsidRPr="00F43D1C">
        <w:t>Services Australia</w:t>
      </w:r>
      <w:r w:rsidRPr="00F43D1C">
        <w:t xml:space="preserve"> on the Provider Enquiry Line </w:t>
      </w:r>
      <w:r w:rsidR="00E7460D" w:rsidRPr="00F43D1C">
        <w:t>–</w:t>
      </w:r>
      <w:r w:rsidRPr="00F43D1C">
        <w:t xml:space="preserve"> 13 21 50. </w:t>
      </w:r>
    </w:p>
    <w:p w14:paraId="73E92C58" w14:textId="77777777" w:rsidR="00656F11" w:rsidRPr="00F43D1C" w:rsidRDefault="00656F11" w:rsidP="00656F11">
      <w:pPr>
        <w:pStyle w:val="Disclaimer"/>
      </w:pPr>
      <w:r w:rsidRPr="00F43D1C">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57AEF91" w14:textId="60C6B03C" w:rsidR="00A055ED" w:rsidRDefault="00656F11" w:rsidP="007B7C84">
      <w:pPr>
        <w:pStyle w:val="Disclaimer"/>
      </w:pPr>
      <w:r w:rsidRPr="00F43D1C">
        <w:t>This sheet is current as of the Last updated date shown above, and does not account for MBS changes since that date.</w:t>
      </w:r>
    </w:p>
    <w:p w14:paraId="4163DB6B" w14:textId="77777777" w:rsidR="00A055ED" w:rsidRDefault="00A055ED">
      <w:pPr>
        <w:spacing w:line="259" w:lineRule="auto"/>
        <w:rPr>
          <w:i/>
          <w:sz w:val="16"/>
          <w:szCs w:val="16"/>
        </w:rPr>
      </w:pPr>
      <w:r>
        <w:br w:type="page"/>
      </w:r>
    </w:p>
    <w:p w14:paraId="541CCF18" w14:textId="77777777" w:rsidR="00A055ED" w:rsidRPr="00A055ED" w:rsidRDefault="00A055ED" w:rsidP="00A055ED">
      <w:pPr>
        <w:spacing w:line="259" w:lineRule="auto"/>
        <w:jc w:val="center"/>
        <w:rPr>
          <w:rFonts w:asciiTheme="majorHAnsi" w:hAnsiTheme="majorHAnsi"/>
          <w:b/>
          <w:color w:val="001A70"/>
          <w:sz w:val="28"/>
        </w:rPr>
      </w:pPr>
      <w:r w:rsidRPr="00A055ED">
        <w:rPr>
          <w:rFonts w:asciiTheme="majorHAnsi" w:hAnsiTheme="majorHAnsi"/>
          <w:b/>
          <w:color w:val="001A70"/>
          <w:sz w:val="28"/>
        </w:rPr>
        <w:lastRenderedPageBreak/>
        <w:t>COVID-19 – TEMPORARY MBS TELEHEALTH ITEMS</w:t>
      </w:r>
    </w:p>
    <w:p w14:paraId="12B54541" w14:textId="77777777" w:rsidR="00A75D99" w:rsidRPr="00A75D99" w:rsidRDefault="00A75D99" w:rsidP="00A75D99">
      <w:pPr>
        <w:spacing w:line="259" w:lineRule="auto"/>
        <w:rPr>
          <w:rFonts w:asciiTheme="majorHAnsi" w:hAnsiTheme="majorHAnsi"/>
          <w:b/>
          <w:color w:val="001A70"/>
          <w:sz w:val="22"/>
          <w:szCs w:val="18"/>
        </w:rPr>
      </w:pPr>
      <w:r w:rsidRPr="00A75D99">
        <w:rPr>
          <w:rFonts w:asciiTheme="majorHAnsi" w:hAnsiTheme="majorHAnsi"/>
          <w:b/>
          <w:color w:val="001A70"/>
          <w:sz w:val="22"/>
          <w:szCs w:val="18"/>
        </w:rPr>
        <w:t xml:space="preserve">General Practitioner (GP) Services </w:t>
      </w:r>
    </w:p>
    <w:p w14:paraId="7041B644" w14:textId="121DF447" w:rsidR="00A055ED" w:rsidRPr="00A055ED" w:rsidRDefault="00A055ED" w:rsidP="00A055ED">
      <w:pPr>
        <w:keepNext/>
        <w:spacing w:after="200" w:line="240" w:lineRule="auto"/>
        <w:rPr>
          <w:i/>
          <w:iCs/>
          <w:color w:val="001A70" w:themeColor="text2"/>
          <w:sz w:val="16"/>
          <w:szCs w:val="16"/>
        </w:rPr>
      </w:pPr>
      <w:r w:rsidRPr="00A055ED">
        <w:rPr>
          <w:i/>
          <w:iCs/>
          <w:color w:val="001A70" w:themeColor="text2"/>
          <w:sz w:val="16"/>
          <w:szCs w:val="16"/>
        </w:rPr>
        <w:t xml:space="preserve">Table </w:t>
      </w:r>
      <w:r w:rsidRPr="00A055ED">
        <w:rPr>
          <w:i/>
          <w:iCs/>
          <w:color w:val="001A70" w:themeColor="text2"/>
          <w:sz w:val="16"/>
          <w:szCs w:val="16"/>
        </w:rPr>
        <w:fldChar w:fldCharType="begin"/>
      </w:r>
      <w:r w:rsidRPr="00A055ED">
        <w:rPr>
          <w:i/>
          <w:iCs/>
          <w:color w:val="001A70" w:themeColor="text2"/>
          <w:sz w:val="16"/>
          <w:szCs w:val="16"/>
        </w:rPr>
        <w:instrText xml:space="preserve"> SEQ Table \* ARABIC </w:instrText>
      </w:r>
      <w:r w:rsidRPr="00A055ED">
        <w:rPr>
          <w:i/>
          <w:iCs/>
          <w:color w:val="001A70" w:themeColor="text2"/>
          <w:sz w:val="16"/>
          <w:szCs w:val="16"/>
        </w:rPr>
        <w:fldChar w:fldCharType="separate"/>
      </w:r>
      <w:r w:rsidR="00FB4126">
        <w:rPr>
          <w:i/>
          <w:iCs/>
          <w:noProof/>
          <w:color w:val="001A70" w:themeColor="text2"/>
          <w:sz w:val="16"/>
          <w:szCs w:val="16"/>
        </w:rPr>
        <w:t>1</w:t>
      </w:r>
      <w:r w:rsidRPr="00A055ED">
        <w:rPr>
          <w:i/>
          <w:iCs/>
          <w:noProof/>
          <w:color w:val="001A70" w:themeColor="text2"/>
          <w:sz w:val="16"/>
          <w:szCs w:val="16"/>
        </w:rPr>
        <w:fldChar w:fldCharType="end"/>
      </w:r>
      <w:r w:rsidRPr="00A055ED">
        <w:rPr>
          <w:i/>
          <w:iCs/>
          <w:color w:val="001A70" w:themeColor="text2"/>
          <w:sz w:val="16"/>
          <w:szCs w:val="16"/>
        </w:rPr>
        <w:t xml:space="preserve">. </w:t>
      </w:r>
      <w:r w:rsidR="00A75D99" w:rsidRPr="00A75D99">
        <w:rPr>
          <w:i/>
          <w:iCs/>
          <w:color w:val="001A70" w:themeColor="text2"/>
          <w:sz w:val="16"/>
          <w:szCs w:val="16"/>
        </w:rPr>
        <w:t xml:space="preserve">GP </w:t>
      </w:r>
      <w:r w:rsidRPr="00A75D99">
        <w:rPr>
          <w:i/>
          <w:iCs/>
          <w:color w:val="001A70" w:themeColor="text2"/>
          <w:sz w:val="16"/>
          <w:szCs w:val="16"/>
        </w:rPr>
        <w:t xml:space="preserve">Nicotine and Smoking Cessation Counselling MBS items </w:t>
      </w:r>
      <w:r w:rsidRPr="00A055ED">
        <w:rPr>
          <w:i/>
          <w:iCs/>
          <w:color w:val="001A70" w:themeColor="text2"/>
          <w:sz w:val="16"/>
          <w:szCs w:val="16"/>
        </w:rPr>
        <w:t xml:space="preserve">introduced </w:t>
      </w:r>
      <w:r w:rsidRPr="00A75D99">
        <w:rPr>
          <w:i/>
          <w:iCs/>
          <w:color w:val="001A70" w:themeColor="text2"/>
          <w:sz w:val="16"/>
          <w:szCs w:val="16"/>
        </w:rPr>
        <w:t>21 July 2021</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4532"/>
        <w:gridCol w:w="1842"/>
        <w:gridCol w:w="1985"/>
        <w:gridCol w:w="2097"/>
      </w:tblGrid>
      <w:tr w:rsidR="00A055ED" w:rsidRPr="00A055ED" w14:paraId="6A49D6BA" w14:textId="77777777" w:rsidTr="00084572">
        <w:trPr>
          <w:tblHeader/>
        </w:trPr>
        <w:tc>
          <w:tcPr>
            <w:tcW w:w="2167" w:type="pct"/>
            <w:shd w:val="clear" w:color="auto" w:fill="D9D9D9" w:themeFill="background1" w:themeFillShade="D9"/>
            <w:vAlign w:val="center"/>
          </w:tcPr>
          <w:p w14:paraId="23FA33C9" w14:textId="77777777" w:rsidR="00A055ED" w:rsidRPr="00A055ED" w:rsidRDefault="00A055ED" w:rsidP="00A055ED">
            <w:pPr>
              <w:spacing w:line="276" w:lineRule="auto"/>
              <w:outlineLvl w:val="1"/>
              <w:rPr>
                <w:rFonts w:asciiTheme="minorHAnsi" w:hAnsiTheme="minorHAnsi" w:cstheme="minorHAnsi"/>
                <w:b/>
                <w:color w:val="001A70"/>
                <w:sz w:val="18"/>
                <w:szCs w:val="18"/>
              </w:rPr>
            </w:pPr>
            <w:r w:rsidRPr="00A055ED">
              <w:rPr>
                <w:rFonts w:asciiTheme="minorHAnsi" w:hAnsiTheme="minorHAnsi" w:cstheme="minorHAnsi"/>
                <w:b/>
                <w:color w:val="001A70"/>
                <w:sz w:val="18"/>
                <w:szCs w:val="18"/>
              </w:rPr>
              <w:t>Service</w:t>
            </w:r>
          </w:p>
        </w:tc>
        <w:tc>
          <w:tcPr>
            <w:tcW w:w="881" w:type="pct"/>
            <w:shd w:val="clear" w:color="auto" w:fill="D9D9D9" w:themeFill="background1" w:themeFillShade="D9"/>
            <w:vAlign w:val="center"/>
          </w:tcPr>
          <w:p w14:paraId="50A15AD8" w14:textId="7F1F6F05" w:rsidR="00A055ED" w:rsidRPr="00A055ED" w:rsidRDefault="00A055ED" w:rsidP="00A055ED">
            <w:pPr>
              <w:spacing w:line="276" w:lineRule="auto"/>
              <w:outlineLvl w:val="1"/>
              <w:rPr>
                <w:rFonts w:asciiTheme="minorHAnsi" w:hAnsiTheme="minorHAnsi" w:cstheme="minorBidi"/>
                <w:i/>
                <w:color w:val="001A70"/>
                <w:sz w:val="24"/>
                <w:szCs w:val="20"/>
              </w:rPr>
            </w:pPr>
            <w:r w:rsidRPr="00A75D99">
              <w:rPr>
                <w:rFonts w:asciiTheme="minorHAnsi" w:hAnsiTheme="minorHAnsi" w:cstheme="minorBidi"/>
                <w:b/>
                <w:color w:val="001A70"/>
                <w:sz w:val="18"/>
                <w:szCs w:val="20"/>
              </w:rPr>
              <w:t xml:space="preserve">Face-to-face </w:t>
            </w:r>
            <w:r w:rsidRPr="00A055ED">
              <w:rPr>
                <w:rFonts w:asciiTheme="minorHAnsi" w:hAnsiTheme="minorHAnsi" w:cstheme="minorBidi"/>
                <w:b/>
                <w:color w:val="001A70"/>
                <w:sz w:val="18"/>
                <w:szCs w:val="20"/>
              </w:rPr>
              <w:t>Items</w:t>
            </w:r>
          </w:p>
        </w:tc>
        <w:tc>
          <w:tcPr>
            <w:tcW w:w="949" w:type="pct"/>
            <w:shd w:val="clear" w:color="auto" w:fill="D9D9D9" w:themeFill="background1" w:themeFillShade="D9"/>
            <w:vAlign w:val="center"/>
          </w:tcPr>
          <w:p w14:paraId="5926EC7B" w14:textId="236B9F63" w:rsidR="00A055ED" w:rsidRPr="00A055ED" w:rsidRDefault="00A055ED" w:rsidP="00A055ED">
            <w:pPr>
              <w:spacing w:line="276" w:lineRule="auto"/>
              <w:outlineLvl w:val="1"/>
              <w:rPr>
                <w:rFonts w:asciiTheme="minorHAnsi" w:hAnsiTheme="minorHAnsi" w:cstheme="minorBidi"/>
                <w:b/>
                <w:color w:val="001A70"/>
                <w:sz w:val="24"/>
                <w:szCs w:val="20"/>
              </w:rPr>
            </w:pPr>
            <w:r w:rsidRPr="00A055ED">
              <w:rPr>
                <w:rFonts w:asciiTheme="minorHAnsi" w:hAnsiTheme="minorHAnsi" w:cstheme="minorBidi"/>
                <w:b/>
                <w:color w:val="001A70"/>
                <w:sz w:val="18"/>
                <w:szCs w:val="20"/>
              </w:rPr>
              <w:t>Telehealth items</w:t>
            </w:r>
            <w:r w:rsidRPr="00A055ED">
              <w:rPr>
                <w:rFonts w:asciiTheme="minorHAnsi" w:hAnsiTheme="minorHAnsi" w:cstheme="minorHAnsi"/>
                <w:b/>
                <w:color w:val="001A70"/>
                <w:sz w:val="18"/>
                <w:szCs w:val="18"/>
              </w:rPr>
              <w:t xml:space="preserve"> </w:t>
            </w:r>
            <w:r w:rsidRPr="00A055ED">
              <w:rPr>
                <w:rFonts w:asciiTheme="minorHAnsi" w:hAnsiTheme="minorHAnsi" w:cstheme="minorHAnsi"/>
                <w:i/>
                <w:color w:val="001A70"/>
                <w:sz w:val="18"/>
                <w:szCs w:val="18"/>
              </w:rPr>
              <w:t>via video-conference</w:t>
            </w:r>
          </w:p>
        </w:tc>
        <w:tc>
          <w:tcPr>
            <w:tcW w:w="1003" w:type="pct"/>
            <w:shd w:val="clear" w:color="auto" w:fill="D9D9D9" w:themeFill="background1" w:themeFillShade="D9"/>
            <w:vAlign w:val="center"/>
          </w:tcPr>
          <w:p w14:paraId="454B069F" w14:textId="72CE696F" w:rsidR="00A055ED" w:rsidRPr="00A055ED" w:rsidRDefault="00A055ED" w:rsidP="00A055ED">
            <w:pPr>
              <w:spacing w:line="276" w:lineRule="auto"/>
              <w:outlineLvl w:val="1"/>
              <w:rPr>
                <w:rFonts w:asciiTheme="minorHAnsi" w:hAnsiTheme="minorHAnsi" w:cstheme="minorHAnsi"/>
                <w:i/>
                <w:color w:val="001A70"/>
                <w:sz w:val="18"/>
                <w:szCs w:val="18"/>
              </w:rPr>
            </w:pPr>
            <w:r w:rsidRPr="00A055ED">
              <w:rPr>
                <w:rFonts w:asciiTheme="minorHAnsi" w:hAnsiTheme="minorHAnsi" w:cstheme="minorHAnsi"/>
                <w:b/>
                <w:color w:val="001A70"/>
                <w:sz w:val="18"/>
                <w:szCs w:val="18"/>
              </w:rPr>
              <w:t>Telephone items</w:t>
            </w:r>
            <w:r w:rsidRPr="00A055ED">
              <w:rPr>
                <w:rFonts w:asciiTheme="minorHAnsi" w:hAnsiTheme="minorHAnsi" w:cstheme="minorHAnsi"/>
                <w:i/>
                <w:color w:val="001A70"/>
                <w:sz w:val="18"/>
                <w:szCs w:val="18"/>
              </w:rPr>
              <w:t xml:space="preserve"> – for when video-conferencing is not available</w:t>
            </w:r>
          </w:p>
        </w:tc>
      </w:tr>
      <w:tr w:rsidR="00A055ED" w:rsidRPr="00A055ED" w14:paraId="7BB65DCE" w14:textId="77777777" w:rsidTr="00084572">
        <w:tc>
          <w:tcPr>
            <w:tcW w:w="2167" w:type="pct"/>
            <w:shd w:val="clear" w:color="auto" w:fill="F2F2F2" w:themeFill="background1" w:themeFillShade="F2"/>
            <w:vAlign w:val="center"/>
          </w:tcPr>
          <w:p w14:paraId="2DBF9D06" w14:textId="6CEEB5B6" w:rsidR="00A055ED" w:rsidRPr="00A055ED" w:rsidRDefault="00A055ED" w:rsidP="00A055ED">
            <w:pPr>
              <w:spacing w:line="276" w:lineRule="auto"/>
              <w:outlineLvl w:val="1"/>
              <w:rPr>
                <w:rFonts w:asciiTheme="minorHAnsi" w:hAnsiTheme="minorHAnsi" w:cstheme="minorBidi"/>
                <w:color w:val="001A70"/>
                <w:sz w:val="24"/>
                <w:szCs w:val="20"/>
              </w:rPr>
            </w:pPr>
            <w:r w:rsidRPr="00A75D99">
              <w:rPr>
                <w:rFonts w:asciiTheme="minorHAnsi" w:hAnsiTheme="minorHAnsi" w:cstheme="minorBidi"/>
                <w:color w:val="001A70"/>
                <w:sz w:val="18"/>
                <w:szCs w:val="14"/>
              </w:rPr>
              <w:t>Professional attendance for nicotine and smoking cessation counselling, care and advice by a general practitioner at consulting rooms lasting less than 20 minutes</w:t>
            </w:r>
            <w:r w:rsidR="00F6472E">
              <w:rPr>
                <w:rFonts w:asciiTheme="minorHAnsi" w:hAnsiTheme="minorHAnsi" w:cstheme="minorBidi"/>
                <w:color w:val="001A70"/>
                <w:sz w:val="18"/>
                <w:szCs w:val="14"/>
              </w:rPr>
              <w:t>.</w:t>
            </w:r>
          </w:p>
        </w:tc>
        <w:tc>
          <w:tcPr>
            <w:tcW w:w="881" w:type="pct"/>
            <w:shd w:val="clear" w:color="auto" w:fill="auto"/>
            <w:vAlign w:val="center"/>
          </w:tcPr>
          <w:p w14:paraId="2AF7C7E5" w14:textId="45C13826" w:rsidR="00A055ED" w:rsidRPr="00A055ED" w:rsidRDefault="00A055ED" w:rsidP="00A055ED">
            <w:pPr>
              <w:spacing w:line="276" w:lineRule="auto"/>
              <w:jc w:val="center"/>
              <w:outlineLvl w:val="1"/>
              <w:rPr>
                <w:rFonts w:asciiTheme="minorHAnsi" w:hAnsiTheme="minorHAnsi" w:cstheme="minorBidi"/>
                <w:color w:val="001A70"/>
                <w:szCs w:val="16"/>
              </w:rPr>
            </w:pPr>
            <w:r w:rsidRPr="00A75D99">
              <w:rPr>
                <w:rFonts w:asciiTheme="minorHAnsi" w:hAnsiTheme="minorHAnsi" w:cstheme="minorBidi"/>
                <w:color w:val="001A70"/>
                <w:szCs w:val="16"/>
              </w:rPr>
              <w:t>93680</w:t>
            </w:r>
          </w:p>
        </w:tc>
        <w:tc>
          <w:tcPr>
            <w:tcW w:w="949" w:type="pct"/>
            <w:vAlign w:val="center"/>
          </w:tcPr>
          <w:p w14:paraId="7EBC786D" w14:textId="0B37730E" w:rsidR="00A055ED" w:rsidRPr="00A055ED" w:rsidRDefault="00A409AC" w:rsidP="00A055ED">
            <w:pPr>
              <w:spacing w:after="160" w:line="240"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93690</w:t>
            </w:r>
          </w:p>
        </w:tc>
        <w:tc>
          <w:tcPr>
            <w:tcW w:w="1003" w:type="pct"/>
            <w:vAlign w:val="center"/>
          </w:tcPr>
          <w:p w14:paraId="1F64DE71" w14:textId="091D764E" w:rsidR="00A055ED" w:rsidRPr="00A055ED" w:rsidRDefault="00A409AC" w:rsidP="00A055ED">
            <w:pPr>
              <w:spacing w:after="160" w:line="240"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93700</w:t>
            </w:r>
          </w:p>
        </w:tc>
      </w:tr>
      <w:tr w:rsidR="00A055ED" w:rsidRPr="00A055ED" w14:paraId="2D2D17E5" w14:textId="77777777" w:rsidTr="00084572">
        <w:tc>
          <w:tcPr>
            <w:tcW w:w="2167" w:type="pct"/>
            <w:shd w:val="clear" w:color="auto" w:fill="F2F2F2" w:themeFill="background1" w:themeFillShade="F2"/>
            <w:vAlign w:val="center"/>
          </w:tcPr>
          <w:p w14:paraId="1E398FFD" w14:textId="3E31E8E2" w:rsidR="00A055ED" w:rsidRPr="00A055ED" w:rsidRDefault="00A055ED" w:rsidP="00A055ED">
            <w:pPr>
              <w:spacing w:line="276" w:lineRule="auto"/>
              <w:outlineLvl w:val="1"/>
              <w:rPr>
                <w:rFonts w:asciiTheme="minorHAnsi" w:hAnsiTheme="minorHAnsi" w:cstheme="minorBidi"/>
                <w:color w:val="001A70"/>
                <w:sz w:val="24"/>
                <w:szCs w:val="20"/>
              </w:rPr>
            </w:pPr>
            <w:r w:rsidRPr="00A75D99">
              <w:rPr>
                <w:rFonts w:asciiTheme="minorHAnsi" w:hAnsiTheme="minorHAnsi" w:cstheme="minorBidi"/>
                <w:color w:val="001A70"/>
                <w:sz w:val="18"/>
                <w:szCs w:val="14"/>
              </w:rPr>
              <w:t>Professional attendance for nicotine and smoking cessation counselling, care and advice by a general practitioner at consulting rooms lasting at least 20 minutes</w:t>
            </w:r>
            <w:r w:rsidR="00F6472E">
              <w:rPr>
                <w:rFonts w:asciiTheme="minorHAnsi" w:hAnsiTheme="minorHAnsi" w:cstheme="minorBidi"/>
                <w:color w:val="001A70"/>
                <w:sz w:val="18"/>
                <w:szCs w:val="14"/>
              </w:rPr>
              <w:t>.</w:t>
            </w:r>
          </w:p>
        </w:tc>
        <w:tc>
          <w:tcPr>
            <w:tcW w:w="881" w:type="pct"/>
            <w:shd w:val="clear" w:color="auto" w:fill="auto"/>
            <w:vAlign w:val="center"/>
          </w:tcPr>
          <w:p w14:paraId="2155A2F8" w14:textId="66464865" w:rsidR="00A055ED" w:rsidRPr="00A055ED" w:rsidRDefault="00A409AC" w:rsidP="00A055ED">
            <w:pPr>
              <w:spacing w:line="276" w:lineRule="auto"/>
              <w:jc w:val="center"/>
              <w:outlineLvl w:val="1"/>
              <w:rPr>
                <w:rFonts w:asciiTheme="minorHAnsi" w:hAnsiTheme="minorHAnsi" w:cstheme="minorBidi"/>
                <w:color w:val="001A70"/>
                <w:szCs w:val="16"/>
              </w:rPr>
            </w:pPr>
            <w:r w:rsidRPr="00A75D99">
              <w:rPr>
                <w:rFonts w:asciiTheme="minorHAnsi" w:hAnsiTheme="minorHAnsi" w:cstheme="minorBidi"/>
                <w:color w:val="001A70"/>
                <w:szCs w:val="16"/>
              </w:rPr>
              <w:t>93683</w:t>
            </w:r>
          </w:p>
        </w:tc>
        <w:tc>
          <w:tcPr>
            <w:tcW w:w="949" w:type="pct"/>
            <w:vAlign w:val="center"/>
          </w:tcPr>
          <w:p w14:paraId="6D59D790" w14:textId="5DFA2B19" w:rsidR="00A055ED" w:rsidRPr="00A055ED" w:rsidRDefault="00A409AC" w:rsidP="00A055ED">
            <w:pPr>
              <w:spacing w:after="160" w:line="240"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93693</w:t>
            </w:r>
          </w:p>
        </w:tc>
        <w:tc>
          <w:tcPr>
            <w:tcW w:w="1003" w:type="pct"/>
            <w:vAlign w:val="center"/>
          </w:tcPr>
          <w:p w14:paraId="2AAF967E" w14:textId="6E8212CF" w:rsidR="00A055ED" w:rsidRPr="00A055ED" w:rsidRDefault="00A409AC" w:rsidP="00A055ED">
            <w:pPr>
              <w:spacing w:after="160" w:line="240" w:lineRule="auto"/>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93703</w:t>
            </w:r>
          </w:p>
        </w:tc>
      </w:tr>
    </w:tbl>
    <w:p w14:paraId="79C3F643" w14:textId="77777777" w:rsidR="00F6472E" w:rsidRPr="00F6472E" w:rsidRDefault="00F6472E" w:rsidP="00A75D99">
      <w:pPr>
        <w:spacing w:line="259" w:lineRule="auto"/>
        <w:rPr>
          <w:rFonts w:asciiTheme="majorHAnsi" w:hAnsiTheme="majorHAnsi"/>
          <w:b/>
          <w:color w:val="001A70"/>
          <w:sz w:val="14"/>
          <w:szCs w:val="10"/>
        </w:rPr>
      </w:pPr>
    </w:p>
    <w:p w14:paraId="44FD849B" w14:textId="2EBF3E40" w:rsidR="00A75D99" w:rsidRPr="00A75D99" w:rsidRDefault="00A75D99" w:rsidP="00A75D99">
      <w:pPr>
        <w:spacing w:line="259" w:lineRule="auto"/>
        <w:rPr>
          <w:rFonts w:asciiTheme="majorHAnsi" w:hAnsiTheme="majorHAnsi"/>
          <w:b/>
          <w:color w:val="001A70"/>
          <w:sz w:val="22"/>
          <w:szCs w:val="18"/>
        </w:rPr>
      </w:pPr>
      <w:r w:rsidRPr="00A75D99">
        <w:rPr>
          <w:rFonts w:asciiTheme="majorHAnsi" w:hAnsiTheme="majorHAnsi"/>
          <w:b/>
          <w:color w:val="001A70"/>
          <w:sz w:val="22"/>
          <w:szCs w:val="18"/>
        </w:rPr>
        <w:t>Other Medical Practitioner (OMP) Services</w:t>
      </w:r>
    </w:p>
    <w:p w14:paraId="6A8CFE6A" w14:textId="509406B9" w:rsidR="00A75D99" w:rsidRPr="00A055ED" w:rsidRDefault="00A75D99" w:rsidP="00A75D99">
      <w:pPr>
        <w:keepNext/>
        <w:spacing w:after="200" w:line="240" w:lineRule="auto"/>
        <w:rPr>
          <w:i/>
          <w:iCs/>
          <w:color w:val="001A70" w:themeColor="text2"/>
          <w:sz w:val="16"/>
          <w:szCs w:val="16"/>
        </w:rPr>
      </w:pPr>
      <w:r w:rsidRPr="00A055ED">
        <w:rPr>
          <w:i/>
          <w:iCs/>
          <w:color w:val="001A70" w:themeColor="text2"/>
          <w:sz w:val="16"/>
          <w:szCs w:val="16"/>
        </w:rPr>
        <w:t xml:space="preserve">Table </w:t>
      </w:r>
      <w:r w:rsidRPr="00A75D99">
        <w:rPr>
          <w:i/>
          <w:iCs/>
          <w:color w:val="001A70" w:themeColor="text2"/>
          <w:sz w:val="16"/>
          <w:szCs w:val="16"/>
        </w:rPr>
        <w:t>2</w:t>
      </w:r>
      <w:r w:rsidRPr="00A055ED">
        <w:rPr>
          <w:i/>
          <w:iCs/>
          <w:color w:val="001A70" w:themeColor="text2"/>
          <w:sz w:val="16"/>
          <w:szCs w:val="16"/>
        </w:rPr>
        <w:t xml:space="preserve">. </w:t>
      </w:r>
      <w:r w:rsidRPr="00A75D99">
        <w:rPr>
          <w:i/>
          <w:iCs/>
          <w:color w:val="001A70" w:themeColor="text2"/>
          <w:sz w:val="16"/>
          <w:szCs w:val="16"/>
        </w:rPr>
        <w:t xml:space="preserve">OMP Nicotine and Smoking Cessation Counselling MBS items </w:t>
      </w:r>
      <w:r w:rsidRPr="00A055ED">
        <w:rPr>
          <w:i/>
          <w:iCs/>
          <w:color w:val="001A70" w:themeColor="text2"/>
          <w:sz w:val="16"/>
          <w:szCs w:val="16"/>
        </w:rPr>
        <w:t xml:space="preserve">introduced </w:t>
      </w:r>
      <w:r w:rsidRPr="00A75D99">
        <w:rPr>
          <w:i/>
          <w:iCs/>
          <w:color w:val="001A70" w:themeColor="text2"/>
          <w:sz w:val="16"/>
          <w:szCs w:val="16"/>
        </w:rPr>
        <w:t>21 July 2021</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4532"/>
        <w:gridCol w:w="1842"/>
        <w:gridCol w:w="1985"/>
        <w:gridCol w:w="2097"/>
      </w:tblGrid>
      <w:tr w:rsidR="00A75D99" w:rsidRPr="00A055ED" w14:paraId="1ABEBA61" w14:textId="77777777" w:rsidTr="00084572">
        <w:trPr>
          <w:tblHeader/>
        </w:trPr>
        <w:tc>
          <w:tcPr>
            <w:tcW w:w="2167" w:type="pct"/>
            <w:shd w:val="clear" w:color="auto" w:fill="D9D9D9" w:themeFill="background1" w:themeFillShade="D9"/>
            <w:vAlign w:val="center"/>
          </w:tcPr>
          <w:p w14:paraId="39583985" w14:textId="77777777" w:rsidR="00A75D99" w:rsidRPr="00A055ED" w:rsidRDefault="00A75D99" w:rsidP="00084572">
            <w:pPr>
              <w:spacing w:line="276" w:lineRule="auto"/>
              <w:outlineLvl w:val="1"/>
              <w:rPr>
                <w:rFonts w:asciiTheme="minorHAnsi" w:hAnsiTheme="minorHAnsi" w:cstheme="minorHAnsi"/>
                <w:b/>
                <w:color w:val="001A70"/>
                <w:sz w:val="18"/>
                <w:szCs w:val="18"/>
              </w:rPr>
            </w:pPr>
            <w:r w:rsidRPr="00A055ED">
              <w:rPr>
                <w:rFonts w:asciiTheme="minorHAnsi" w:hAnsiTheme="minorHAnsi" w:cstheme="minorHAnsi"/>
                <w:b/>
                <w:color w:val="001A70"/>
                <w:sz w:val="18"/>
                <w:szCs w:val="18"/>
              </w:rPr>
              <w:t>Service</w:t>
            </w:r>
          </w:p>
        </w:tc>
        <w:tc>
          <w:tcPr>
            <w:tcW w:w="881" w:type="pct"/>
            <w:shd w:val="clear" w:color="auto" w:fill="D9D9D9" w:themeFill="background1" w:themeFillShade="D9"/>
            <w:vAlign w:val="center"/>
          </w:tcPr>
          <w:p w14:paraId="08A387E0" w14:textId="77777777" w:rsidR="00A75D99" w:rsidRPr="00A055ED" w:rsidRDefault="00A75D99" w:rsidP="00084572">
            <w:pPr>
              <w:spacing w:line="276" w:lineRule="auto"/>
              <w:outlineLvl w:val="1"/>
              <w:rPr>
                <w:rFonts w:asciiTheme="minorHAnsi" w:hAnsiTheme="minorHAnsi" w:cstheme="minorBidi"/>
                <w:i/>
                <w:color w:val="001A70"/>
                <w:sz w:val="24"/>
                <w:szCs w:val="20"/>
              </w:rPr>
            </w:pPr>
            <w:r w:rsidRPr="00A75D99">
              <w:rPr>
                <w:rFonts w:asciiTheme="minorHAnsi" w:hAnsiTheme="minorHAnsi" w:cstheme="minorBidi"/>
                <w:b/>
                <w:color w:val="001A70"/>
                <w:sz w:val="18"/>
                <w:szCs w:val="20"/>
              </w:rPr>
              <w:t xml:space="preserve">Face-to-face </w:t>
            </w:r>
            <w:r w:rsidRPr="00A055ED">
              <w:rPr>
                <w:rFonts w:asciiTheme="minorHAnsi" w:hAnsiTheme="minorHAnsi" w:cstheme="minorBidi"/>
                <w:b/>
                <w:color w:val="001A70"/>
                <w:sz w:val="18"/>
                <w:szCs w:val="20"/>
              </w:rPr>
              <w:t>Items</w:t>
            </w:r>
          </w:p>
        </w:tc>
        <w:tc>
          <w:tcPr>
            <w:tcW w:w="949" w:type="pct"/>
            <w:shd w:val="clear" w:color="auto" w:fill="D9D9D9" w:themeFill="background1" w:themeFillShade="D9"/>
            <w:vAlign w:val="center"/>
          </w:tcPr>
          <w:p w14:paraId="04A046B7" w14:textId="77777777" w:rsidR="00A75D99" w:rsidRPr="00A055ED" w:rsidRDefault="00A75D99" w:rsidP="00084572">
            <w:pPr>
              <w:spacing w:line="276" w:lineRule="auto"/>
              <w:outlineLvl w:val="1"/>
              <w:rPr>
                <w:rFonts w:asciiTheme="minorHAnsi" w:hAnsiTheme="minorHAnsi" w:cstheme="minorBidi"/>
                <w:b/>
                <w:color w:val="001A70"/>
                <w:sz w:val="24"/>
                <w:szCs w:val="20"/>
              </w:rPr>
            </w:pPr>
            <w:r w:rsidRPr="00A055ED">
              <w:rPr>
                <w:rFonts w:asciiTheme="minorHAnsi" w:hAnsiTheme="minorHAnsi" w:cstheme="minorBidi"/>
                <w:b/>
                <w:color w:val="001A70"/>
                <w:sz w:val="18"/>
                <w:szCs w:val="20"/>
              </w:rPr>
              <w:t>Telehealth items</w:t>
            </w:r>
            <w:r w:rsidRPr="00A055ED">
              <w:rPr>
                <w:rFonts w:asciiTheme="minorHAnsi" w:hAnsiTheme="minorHAnsi" w:cstheme="minorHAnsi"/>
                <w:b/>
                <w:color w:val="001A70"/>
                <w:sz w:val="18"/>
                <w:szCs w:val="18"/>
              </w:rPr>
              <w:t xml:space="preserve"> </w:t>
            </w:r>
            <w:r w:rsidRPr="00A055ED">
              <w:rPr>
                <w:rFonts w:asciiTheme="minorHAnsi" w:hAnsiTheme="minorHAnsi" w:cstheme="minorHAnsi"/>
                <w:i/>
                <w:color w:val="001A70"/>
                <w:sz w:val="18"/>
                <w:szCs w:val="18"/>
              </w:rPr>
              <w:t>via video-conference</w:t>
            </w:r>
          </w:p>
        </w:tc>
        <w:tc>
          <w:tcPr>
            <w:tcW w:w="1003" w:type="pct"/>
            <w:shd w:val="clear" w:color="auto" w:fill="D9D9D9" w:themeFill="background1" w:themeFillShade="D9"/>
            <w:vAlign w:val="center"/>
          </w:tcPr>
          <w:p w14:paraId="13C57FA6" w14:textId="77777777" w:rsidR="00A75D99" w:rsidRPr="00A055ED" w:rsidRDefault="00A75D99" w:rsidP="00084572">
            <w:pPr>
              <w:spacing w:line="276" w:lineRule="auto"/>
              <w:outlineLvl w:val="1"/>
              <w:rPr>
                <w:rFonts w:asciiTheme="minorHAnsi" w:hAnsiTheme="minorHAnsi" w:cstheme="minorHAnsi"/>
                <w:i/>
                <w:color w:val="001A70"/>
                <w:sz w:val="18"/>
                <w:szCs w:val="18"/>
              </w:rPr>
            </w:pPr>
            <w:r w:rsidRPr="00A055ED">
              <w:rPr>
                <w:rFonts w:asciiTheme="minorHAnsi" w:hAnsiTheme="minorHAnsi" w:cstheme="minorHAnsi"/>
                <w:b/>
                <w:color w:val="001A70"/>
                <w:sz w:val="18"/>
                <w:szCs w:val="18"/>
              </w:rPr>
              <w:t>Telephone items</w:t>
            </w:r>
            <w:r w:rsidRPr="00A055ED">
              <w:rPr>
                <w:rFonts w:asciiTheme="minorHAnsi" w:hAnsiTheme="minorHAnsi" w:cstheme="minorHAnsi"/>
                <w:i/>
                <w:color w:val="001A70"/>
                <w:sz w:val="18"/>
                <w:szCs w:val="18"/>
              </w:rPr>
              <w:t xml:space="preserve"> – for when video-conferencing is not available</w:t>
            </w:r>
          </w:p>
        </w:tc>
      </w:tr>
      <w:tr w:rsidR="00A75D99" w:rsidRPr="00A055ED" w14:paraId="2795A020" w14:textId="77777777" w:rsidTr="00084572">
        <w:tc>
          <w:tcPr>
            <w:tcW w:w="2167" w:type="pct"/>
            <w:shd w:val="clear" w:color="auto" w:fill="F2F2F2" w:themeFill="background1" w:themeFillShade="F2"/>
            <w:vAlign w:val="center"/>
          </w:tcPr>
          <w:p w14:paraId="538F2021" w14:textId="1CBDF377" w:rsidR="00A75D99" w:rsidRPr="00A055ED" w:rsidRDefault="00A75D99" w:rsidP="00084572">
            <w:pPr>
              <w:spacing w:line="276" w:lineRule="auto"/>
              <w:outlineLvl w:val="1"/>
              <w:rPr>
                <w:rFonts w:asciiTheme="minorHAnsi" w:hAnsiTheme="minorHAnsi" w:cstheme="minorBidi"/>
                <w:color w:val="001A70"/>
                <w:sz w:val="24"/>
                <w:szCs w:val="20"/>
              </w:rPr>
            </w:pPr>
            <w:r w:rsidRPr="00A75D99">
              <w:rPr>
                <w:rFonts w:asciiTheme="minorHAnsi" w:hAnsiTheme="minorHAnsi" w:cstheme="minorBidi"/>
                <w:color w:val="001A70"/>
                <w:sz w:val="18"/>
                <w:szCs w:val="14"/>
              </w:rPr>
              <w:t>Professional attendance for nicotine and smoking cessation counselling, care and advice by a medical practitioner (not including a general practitioner, specialist or consultant physician) at consulting rooms lasting less than 20 minutes</w:t>
            </w:r>
            <w:r w:rsidR="00F6472E">
              <w:rPr>
                <w:rFonts w:asciiTheme="minorHAnsi" w:hAnsiTheme="minorHAnsi" w:cstheme="minorBidi"/>
                <w:color w:val="001A70"/>
                <w:sz w:val="18"/>
                <w:szCs w:val="14"/>
              </w:rPr>
              <w:t>.</w:t>
            </w:r>
          </w:p>
        </w:tc>
        <w:tc>
          <w:tcPr>
            <w:tcW w:w="881" w:type="pct"/>
            <w:shd w:val="clear" w:color="auto" w:fill="auto"/>
            <w:vAlign w:val="center"/>
          </w:tcPr>
          <w:p w14:paraId="34D08108" w14:textId="77777777" w:rsidR="00A75D99" w:rsidRPr="00A055ED" w:rsidRDefault="00A75D99" w:rsidP="00084572">
            <w:pPr>
              <w:spacing w:line="276" w:lineRule="auto"/>
              <w:jc w:val="center"/>
              <w:outlineLvl w:val="1"/>
              <w:rPr>
                <w:rFonts w:asciiTheme="minorHAnsi" w:hAnsiTheme="minorHAnsi" w:cstheme="minorBidi"/>
                <w:color w:val="001A70"/>
                <w:szCs w:val="16"/>
              </w:rPr>
            </w:pPr>
            <w:r w:rsidRPr="00A75D99">
              <w:rPr>
                <w:rFonts w:asciiTheme="minorHAnsi" w:hAnsiTheme="minorHAnsi" w:cstheme="minorBidi"/>
                <w:color w:val="001A70"/>
                <w:szCs w:val="16"/>
              </w:rPr>
              <w:t>93681</w:t>
            </w:r>
          </w:p>
        </w:tc>
        <w:tc>
          <w:tcPr>
            <w:tcW w:w="949" w:type="pct"/>
            <w:vAlign w:val="center"/>
          </w:tcPr>
          <w:p w14:paraId="3DF2F117" w14:textId="77777777" w:rsidR="00A75D99" w:rsidRPr="00A055ED" w:rsidRDefault="00A75D99" w:rsidP="00084572">
            <w:pPr>
              <w:spacing w:after="160"/>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93691</w:t>
            </w:r>
          </w:p>
        </w:tc>
        <w:tc>
          <w:tcPr>
            <w:tcW w:w="1003" w:type="pct"/>
            <w:vAlign w:val="center"/>
          </w:tcPr>
          <w:p w14:paraId="2C17C963" w14:textId="77777777" w:rsidR="00A75D99" w:rsidRPr="00A055ED" w:rsidRDefault="00A75D99" w:rsidP="00084572">
            <w:pPr>
              <w:spacing w:after="160"/>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93701</w:t>
            </w:r>
          </w:p>
        </w:tc>
      </w:tr>
      <w:tr w:rsidR="00A75D99" w:rsidRPr="00A75D99" w14:paraId="177F7D8A" w14:textId="77777777" w:rsidTr="00084572">
        <w:tc>
          <w:tcPr>
            <w:tcW w:w="2167" w:type="pct"/>
            <w:shd w:val="clear" w:color="auto" w:fill="F2F2F2" w:themeFill="background1" w:themeFillShade="F2"/>
            <w:vAlign w:val="center"/>
          </w:tcPr>
          <w:p w14:paraId="322CB834" w14:textId="1BBFF8FA" w:rsidR="00A75D99" w:rsidRPr="00A75D99" w:rsidRDefault="00A75D99" w:rsidP="00084572">
            <w:pPr>
              <w:spacing w:line="276" w:lineRule="auto"/>
              <w:outlineLvl w:val="1"/>
              <w:rPr>
                <w:rFonts w:asciiTheme="minorHAnsi" w:hAnsiTheme="minorHAnsi" w:cstheme="minorHAnsi"/>
                <w:color w:val="001A70"/>
                <w:sz w:val="18"/>
                <w:szCs w:val="18"/>
              </w:rPr>
            </w:pPr>
            <w:r w:rsidRPr="00A75D99">
              <w:rPr>
                <w:rFonts w:asciiTheme="minorHAnsi" w:hAnsiTheme="minorHAnsi" w:cstheme="minorHAnsi"/>
                <w:color w:val="001A70"/>
                <w:sz w:val="18"/>
                <w:szCs w:val="18"/>
              </w:rPr>
              <w:t>Professional attendance for nicotine and smoking cessation counselling, care and advice by a general practitioner by a medical practitioner (not including a general practitioner, specialist or consultant physician) at consulting rooms, in an eligible area, lasting less than 20 minutes</w:t>
            </w:r>
            <w:r w:rsidR="00F6472E">
              <w:rPr>
                <w:rFonts w:asciiTheme="minorHAnsi" w:hAnsiTheme="minorHAnsi" w:cstheme="minorHAnsi"/>
                <w:color w:val="001A70"/>
                <w:sz w:val="18"/>
                <w:szCs w:val="18"/>
              </w:rPr>
              <w:t xml:space="preserve">. </w:t>
            </w:r>
            <w:r w:rsidR="00F6472E" w:rsidRPr="00F6472E">
              <w:rPr>
                <w:rFonts w:asciiTheme="minorHAnsi" w:hAnsiTheme="minorHAnsi" w:cstheme="minorHAnsi"/>
                <w:color w:val="001A70"/>
                <w:sz w:val="18"/>
                <w:szCs w:val="18"/>
              </w:rPr>
              <w:t>Modified Monash 2-7 area</w:t>
            </w:r>
            <w:r w:rsidR="00F6472E">
              <w:rPr>
                <w:rFonts w:asciiTheme="minorHAnsi" w:hAnsiTheme="minorHAnsi" w:cstheme="minorHAnsi"/>
                <w:color w:val="001A70"/>
                <w:sz w:val="18"/>
                <w:szCs w:val="18"/>
              </w:rPr>
              <w:t>.</w:t>
            </w:r>
          </w:p>
        </w:tc>
        <w:tc>
          <w:tcPr>
            <w:tcW w:w="881" w:type="pct"/>
            <w:shd w:val="clear" w:color="auto" w:fill="auto"/>
            <w:vAlign w:val="center"/>
          </w:tcPr>
          <w:p w14:paraId="78A36ECA" w14:textId="77777777" w:rsidR="00A75D99" w:rsidRPr="00A75D99" w:rsidRDefault="00A75D99" w:rsidP="00084572">
            <w:pPr>
              <w:spacing w:line="276" w:lineRule="auto"/>
              <w:jc w:val="center"/>
              <w:outlineLvl w:val="1"/>
              <w:rPr>
                <w:rFonts w:asciiTheme="minorHAnsi" w:hAnsiTheme="minorHAnsi"/>
                <w:color w:val="001A70"/>
                <w:sz w:val="18"/>
                <w:szCs w:val="20"/>
              </w:rPr>
            </w:pPr>
            <w:r w:rsidRPr="00A75D99">
              <w:rPr>
                <w:rFonts w:asciiTheme="minorHAnsi" w:hAnsiTheme="minorHAnsi"/>
                <w:color w:val="001A70"/>
                <w:sz w:val="18"/>
                <w:szCs w:val="20"/>
              </w:rPr>
              <w:t>93682</w:t>
            </w:r>
          </w:p>
        </w:tc>
        <w:tc>
          <w:tcPr>
            <w:tcW w:w="949" w:type="pct"/>
            <w:vAlign w:val="center"/>
          </w:tcPr>
          <w:p w14:paraId="30DE3BA9" w14:textId="77777777" w:rsidR="00A75D99" w:rsidRPr="00A75D99" w:rsidRDefault="00A75D99" w:rsidP="00084572">
            <w:pPr>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93692</w:t>
            </w:r>
          </w:p>
        </w:tc>
        <w:tc>
          <w:tcPr>
            <w:tcW w:w="1003" w:type="pct"/>
            <w:vAlign w:val="center"/>
          </w:tcPr>
          <w:p w14:paraId="58A39B09" w14:textId="77777777" w:rsidR="00A75D99" w:rsidRPr="00A75D99" w:rsidRDefault="00A75D99" w:rsidP="00084572">
            <w:pPr>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93702</w:t>
            </w:r>
          </w:p>
        </w:tc>
      </w:tr>
      <w:tr w:rsidR="00A75D99" w:rsidRPr="00A75D99" w14:paraId="0C9E07A3" w14:textId="77777777" w:rsidTr="00084572">
        <w:tc>
          <w:tcPr>
            <w:tcW w:w="2167" w:type="pct"/>
            <w:shd w:val="clear" w:color="auto" w:fill="F2F2F2" w:themeFill="background1" w:themeFillShade="F2"/>
            <w:vAlign w:val="center"/>
          </w:tcPr>
          <w:p w14:paraId="10FFE5BC" w14:textId="1B138149" w:rsidR="00A75D99" w:rsidRPr="00A75D99" w:rsidRDefault="00A75D99" w:rsidP="00084572">
            <w:pPr>
              <w:spacing w:line="276" w:lineRule="auto"/>
              <w:outlineLvl w:val="1"/>
              <w:rPr>
                <w:rFonts w:asciiTheme="minorHAnsi" w:hAnsiTheme="minorHAnsi" w:cstheme="minorHAnsi"/>
                <w:color w:val="001A70"/>
                <w:sz w:val="18"/>
                <w:szCs w:val="18"/>
              </w:rPr>
            </w:pPr>
            <w:r w:rsidRPr="00A75D99">
              <w:rPr>
                <w:rFonts w:asciiTheme="minorHAnsi" w:hAnsiTheme="minorHAnsi" w:cstheme="minorHAnsi"/>
                <w:color w:val="001A70"/>
                <w:sz w:val="18"/>
                <w:szCs w:val="18"/>
              </w:rPr>
              <w:t>Professional attendance for nicotine and smoking cessation counselling, care and advice by a medical practitioner (not including a general practitioner, specialist or consultant physician) at consulting rooms lasting at least 20 minutes</w:t>
            </w:r>
            <w:r w:rsidR="00F6472E">
              <w:rPr>
                <w:rFonts w:asciiTheme="minorHAnsi" w:hAnsiTheme="minorHAnsi" w:cstheme="minorHAnsi"/>
                <w:color w:val="001A70"/>
                <w:sz w:val="18"/>
                <w:szCs w:val="18"/>
              </w:rPr>
              <w:t>.</w:t>
            </w:r>
          </w:p>
        </w:tc>
        <w:tc>
          <w:tcPr>
            <w:tcW w:w="881" w:type="pct"/>
            <w:shd w:val="clear" w:color="auto" w:fill="auto"/>
            <w:vAlign w:val="center"/>
          </w:tcPr>
          <w:p w14:paraId="441D2587" w14:textId="77777777" w:rsidR="00A75D99" w:rsidRPr="00A75D99" w:rsidRDefault="00A75D99" w:rsidP="00084572">
            <w:pPr>
              <w:spacing w:line="276" w:lineRule="auto"/>
              <w:jc w:val="center"/>
              <w:outlineLvl w:val="1"/>
              <w:rPr>
                <w:rFonts w:asciiTheme="minorHAnsi" w:hAnsiTheme="minorHAnsi"/>
                <w:color w:val="001A70"/>
                <w:sz w:val="18"/>
                <w:szCs w:val="20"/>
              </w:rPr>
            </w:pPr>
            <w:r w:rsidRPr="00A75D99">
              <w:rPr>
                <w:rFonts w:asciiTheme="minorHAnsi" w:hAnsiTheme="minorHAnsi"/>
                <w:color w:val="001A70"/>
                <w:sz w:val="18"/>
                <w:szCs w:val="20"/>
              </w:rPr>
              <w:t>93684</w:t>
            </w:r>
          </w:p>
        </w:tc>
        <w:tc>
          <w:tcPr>
            <w:tcW w:w="949" w:type="pct"/>
            <w:vAlign w:val="center"/>
          </w:tcPr>
          <w:p w14:paraId="2D3589C8" w14:textId="77777777" w:rsidR="00A75D99" w:rsidRPr="00A75D99" w:rsidRDefault="00A75D99" w:rsidP="00084572">
            <w:pPr>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93694</w:t>
            </w:r>
          </w:p>
        </w:tc>
        <w:tc>
          <w:tcPr>
            <w:tcW w:w="1003" w:type="pct"/>
            <w:vAlign w:val="center"/>
          </w:tcPr>
          <w:p w14:paraId="79F37A0C" w14:textId="77777777" w:rsidR="00A75D99" w:rsidRPr="00A75D99" w:rsidRDefault="00A75D99" w:rsidP="00084572">
            <w:pPr>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93704</w:t>
            </w:r>
          </w:p>
        </w:tc>
      </w:tr>
      <w:tr w:rsidR="00A75D99" w:rsidRPr="00A75D99" w14:paraId="7C74DE50" w14:textId="77777777" w:rsidTr="00084572">
        <w:tc>
          <w:tcPr>
            <w:tcW w:w="2167" w:type="pct"/>
            <w:shd w:val="clear" w:color="auto" w:fill="F2F2F2" w:themeFill="background1" w:themeFillShade="F2"/>
            <w:vAlign w:val="center"/>
          </w:tcPr>
          <w:p w14:paraId="2597B3A3" w14:textId="4A48FBBF" w:rsidR="00A75D99" w:rsidRPr="00A75D99" w:rsidRDefault="00A75D99" w:rsidP="00084572">
            <w:pPr>
              <w:spacing w:line="276" w:lineRule="auto"/>
              <w:outlineLvl w:val="1"/>
              <w:rPr>
                <w:rFonts w:asciiTheme="minorHAnsi" w:hAnsiTheme="minorHAnsi" w:cstheme="minorHAnsi"/>
                <w:color w:val="001A70"/>
                <w:sz w:val="18"/>
                <w:szCs w:val="18"/>
              </w:rPr>
            </w:pPr>
            <w:r w:rsidRPr="00A75D99">
              <w:rPr>
                <w:rFonts w:asciiTheme="minorHAnsi" w:hAnsiTheme="minorHAnsi" w:cstheme="minorHAnsi"/>
                <w:color w:val="001A70"/>
                <w:sz w:val="18"/>
                <w:szCs w:val="18"/>
              </w:rPr>
              <w:t>Professional attendance for nicotine and smoking cessation counselling, care and advice by a medical practitioner (not including a general practitioner, specialist or consultant physician) at consulting rooms, in an eligible area, lasting at least 20 minutes</w:t>
            </w:r>
            <w:r w:rsidR="00F6472E">
              <w:rPr>
                <w:rFonts w:asciiTheme="minorHAnsi" w:hAnsiTheme="minorHAnsi" w:cstheme="minorHAnsi"/>
                <w:color w:val="001A70"/>
                <w:sz w:val="18"/>
                <w:szCs w:val="18"/>
              </w:rPr>
              <w:t xml:space="preserve">. </w:t>
            </w:r>
            <w:r w:rsidR="00F6472E" w:rsidRPr="00F6472E">
              <w:rPr>
                <w:rFonts w:asciiTheme="minorHAnsi" w:hAnsiTheme="minorHAnsi" w:cstheme="minorHAnsi"/>
                <w:color w:val="001A70"/>
                <w:sz w:val="18"/>
                <w:szCs w:val="18"/>
              </w:rPr>
              <w:t>Modified Monash 2-7 area</w:t>
            </w:r>
            <w:r w:rsidR="00F6472E">
              <w:rPr>
                <w:rFonts w:asciiTheme="minorHAnsi" w:hAnsiTheme="minorHAnsi" w:cstheme="minorHAnsi"/>
                <w:color w:val="001A70"/>
                <w:sz w:val="18"/>
                <w:szCs w:val="18"/>
              </w:rPr>
              <w:t>.</w:t>
            </w:r>
          </w:p>
        </w:tc>
        <w:tc>
          <w:tcPr>
            <w:tcW w:w="881" w:type="pct"/>
            <w:shd w:val="clear" w:color="auto" w:fill="auto"/>
            <w:vAlign w:val="center"/>
          </w:tcPr>
          <w:p w14:paraId="47D32944" w14:textId="77777777" w:rsidR="00A75D99" w:rsidRPr="00A75D99" w:rsidRDefault="00A75D99" w:rsidP="00084572">
            <w:pPr>
              <w:spacing w:line="276" w:lineRule="auto"/>
              <w:jc w:val="center"/>
              <w:outlineLvl w:val="1"/>
              <w:rPr>
                <w:rFonts w:asciiTheme="minorHAnsi" w:hAnsiTheme="minorHAnsi"/>
                <w:color w:val="001A70"/>
                <w:sz w:val="18"/>
                <w:szCs w:val="20"/>
              </w:rPr>
            </w:pPr>
            <w:r w:rsidRPr="00A75D99">
              <w:rPr>
                <w:rFonts w:asciiTheme="minorHAnsi" w:hAnsiTheme="minorHAnsi"/>
                <w:color w:val="001A70"/>
                <w:sz w:val="18"/>
                <w:szCs w:val="20"/>
              </w:rPr>
              <w:t>93685</w:t>
            </w:r>
          </w:p>
        </w:tc>
        <w:tc>
          <w:tcPr>
            <w:tcW w:w="949" w:type="pct"/>
            <w:vAlign w:val="center"/>
          </w:tcPr>
          <w:p w14:paraId="0AE2E043" w14:textId="77777777" w:rsidR="00A75D99" w:rsidRPr="00A75D99" w:rsidRDefault="00A75D99" w:rsidP="00084572">
            <w:pPr>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93695</w:t>
            </w:r>
          </w:p>
        </w:tc>
        <w:tc>
          <w:tcPr>
            <w:tcW w:w="1003" w:type="pct"/>
            <w:vAlign w:val="center"/>
          </w:tcPr>
          <w:p w14:paraId="3CC2138D" w14:textId="77777777" w:rsidR="00A75D99" w:rsidRPr="00A75D99" w:rsidRDefault="00A75D99" w:rsidP="00084572">
            <w:pPr>
              <w:jc w:val="center"/>
              <w:rPr>
                <w:rFonts w:asciiTheme="minorHAnsi" w:hAnsiTheme="minorHAnsi" w:cstheme="minorHAnsi"/>
                <w:color w:val="001A70"/>
                <w:sz w:val="18"/>
                <w:szCs w:val="18"/>
              </w:rPr>
            </w:pPr>
            <w:r w:rsidRPr="00A75D99">
              <w:rPr>
                <w:rFonts w:asciiTheme="minorHAnsi" w:hAnsiTheme="minorHAnsi" w:cstheme="minorHAnsi"/>
                <w:color w:val="001A70"/>
                <w:sz w:val="18"/>
                <w:szCs w:val="18"/>
              </w:rPr>
              <w:t>93705</w:t>
            </w:r>
          </w:p>
        </w:tc>
      </w:tr>
    </w:tbl>
    <w:p w14:paraId="2161C59A" w14:textId="77777777" w:rsidR="00A75D99" w:rsidRPr="00F50994" w:rsidRDefault="00A75D99" w:rsidP="00A75D99">
      <w:pPr>
        <w:pStyle w:val="Disclaimer"/>
        <w:ind w:left="0"/>
        <w:rPr>
          <w:szCs w:val="20"/>
        </w:rPr>
      </w:pPr>
    </w:p>
    <w:sectPr w:rsidR="00A75D99" w:rsidRPr="00F50994" w:rsidSect="002A7B41">
      <w:headerReference w:type="default" r:id="rId16"/>
      <w:footerReference w:type="default" r:id="rId17"/>
      <w:type w:val="continuous"/>
      <w:pgSz w:w="11906" w:h="16838"/>
      <w:pgMar w:top="3260" w:right="720" w:bottom="697" w:left="720"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D19F4" w14:textId="77777777" w:rsidR="000C3D66" w:rsidRDefault="000C3D66" w:rsidP="006D1088">
      <w:pPr>
        <w:spacing w:after="0" w:line="240" w:lineRule="auto"/>
      </w:pPr>
      <w:r>
        <w:separator/>
      </w:r>
    </w:p>
  </w:endnote>
  <w:endnote w:type="continuationSeparator" w:id="0">
    <w:p w14:paraId="648D458E" w14:textId="77777777" w:rsidR="000C3D66" w:rsidRDefault="000C3D66" w:rsidP="006D1088">
      <w:pPr>
        <w:spacing w:after="0" w:line="240" w:lineRule="auto"/>
      </w:pPr>
      <w:r>
        <w:continuationSeparator/>
      </w:r>
    </w:p>
  </w:endnote>
  <w:endnote w:type="continuationNotice" w:id="1">
    <w:p w14:paraId="466CB5E9" w14:textId="77777777" w:rsidR="000C3D66" w:rsidRDefault="000C3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083AB" w14:textId="77777777" w:rsidR="00F10572" w:rsidRPr="003E19EE" w:rsidRDefault="00FB4126" w:rsidP="00670DFE">
    <w:pPr>
      <w:pStyle w:val="Footer"/>
    </w:pPr>
    <w:r>
      <w:rPr>
        <w:rStyle w:val="BookTitle"/>
        <w:noProof/>
      </w:rPr>
      <w:pict w14:anchorId="3ECCB00A">
        <v:rect id="_x0000_i1025" style="width:523.3pt;height:1.9pt" o:hralign="center" o:hrstd="t" o:hr="t" fillcolor="#a0a0a0" stroked="f"/>
      </w:pict>
    </w:r>
    <w:r w:rsidR="00F10572" w:rsidRPr="003E19EE">
      <w:t>Medicare Benefits Schedule</w:t>
    </w:r>
    <w:r w:rsidR="00F10572" w:rsidRPr="003E19EE">
      <w:tab/>
    </w:r>
  </w:p>
  <w:p w14:paraId="57F81036" w14:textId="32924B65" w:rsidR="00F10572" w:rsidRPr="003E19EE" w:rsidRDefault="00F10572" w:rsidP="00670DFE">
    <w:pPr>
      <w:pStyle w:val="Heading1"/>
      <w:spacing w:before="0" w:after="0"/>
      <w:rPr>
        <w:sz w:val="16"/>
        <w:szCs w:val="16"/>
      </w:rPr>
    </w:pPr>
    <w:r w:rsidRPr="003E19EE">
      <w:rPr>
        <w:rFonts w:ascii="Arial" w:hAnsi="Arial"/>
        <w:sz w:val="16"/>
      </w:rPr>
      <w:t>Temporary COVID-19 MBS Telehealth Services</w:t>
    </w:r>
    <w:r w:rsidRPr="003E19EE">
      <w:rPr>
        <w:rFonts w:ascii="Arial" w:hAnsi="Arial" w:cs="Arial"/>
        <w:sz w:val="16"/>
        <w:szCs w:val="16"/>
      </w:rPr>
      <w:t xml:space="preserve"> </w:t>
    </w:r>
    <w:r w:rsidRPr="003E19EE">
      <w:rPr>
        <w:b/>
        <w:sz w:val="16"/>
        <w:szCs w:val="16"/>
      </w:rPr>
      <w:t>– Factsheet</w:t>
    </w:r>
    <w:r w:rsidRPr="003E19EE">
      <w:rPr>
        <w:sz w:val="16"/>
        <w:szCs w:val="16"/>
      </w:rPr>
      <w:t xml:space="preserve"> </w:t>
    </w:r>
    <w:sdt>
      <w:sdtPr>
        <w:rPr>
          <w:sz w:val="16"/>
          <w:szCs w:val="16"/>
        </w:rPr>
        <w:id w:val="960607005"/>
        <w:docPartObj>
          <w:docPartGallery w:val="Page Numbers (Bottom of Page)"/>
          <w:docPartUnique/>
        </w:docPartObj>
      </w:sdtPr>
      <w:sdtEndPr>
        <w:rPr>
          <w:noProof/>
        </w:rPr>
      </w:sdtEndPr>
      <w:sdtContent>
        <w:r w:rsidRPr="003E19EE">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Pr="003E19EE">
                  <w:rPr>
                    <w:sz w:val="16"/>
                    <w:szCs w:val="16"/>
                  </w:rPr>
                  <w:tab/>
                </w:r>
                <w:r w:rsidRPr="003E19EE">
                  <w:rPr>
                    <w:sz w:val="16"/>
                    <w:szCs w:val="16"/>
                  </w:rPr>
                  <w:tab/>
                </w:r>
                <w:r w:rsidRPr="003E19EE">
                  <w:rPr>
                    <w:sz w:val="16"/>
                    <w:szCs w:val="16"/>
                  </w:rPr>
                  <w:tab/>
                </w:r>
                <w:r w:rsidRPr="003E19EE">
                  <w:rPr>
                    <w:sz w:val="16"/>
                    <w:szCs w:val="16"/>
                  </w:rPr>
                  <w:tab/>
                </w:r>
                <w:r w:rsidRPr="003E19EE">
                  <w:rPr>
                    <w:sz w:val="16"/>
                    <w:szCs w:val="16"/>
                  </w:rPr>
                  <w:tab/>
                  <w:t xml:space="preserve">Page </w:t>
                </w:r>
                <w:r w:rsidRPr="003E19EE">
                  <w:rPr>
                    <w:bCs/>
                    <w:sz w:val="16"/>
                    <w:szCs w:val="16"/>
                  </w:rPr>
                  <w:fldChar w:fldCharType="begin"/>
                </w:r>
                <w:r w:rsidRPr="003E19EE">
                  <w:rPr>
                    <w:bCs/>
                    <w:sz w:val="16"/>
                    <w:szCs w:val="16"/>
                  </w:rPr>
                  <w:instrText xml:space="preserve"> PAGE </w:instrText>
                </w:r>
                <w:r w:rsidRPr="003E19EE">
                  <w:rPr>
                    <w:bCs/>
                    <w:sz w:val="16"/>
                    <w:szCs w:val="16"/>
                  </w:rPr>
                  <w:fldChar w:fldCharType="separate"/>
                </w:r>
                <w:r w:rsidR="001A020A">
                  <w:rPr>
                    <w:bCs/>
                    <w:noProof/>
                    <w:sz w:val="16"/>
                    <w:szCs w:val="16"/>
                  </w:rPr>
                  <w:t>4</w:t>
                </w:r>
                <w:r w:rsidRPr="003E19EE">
                  <w:rPr>
                    <w:bCs/>
                    <w:sz w:val="16"/>
                    <w:szCs w:val="16"/>
                  </w:rPr>
                  <w:fldChar w:fldCharType="end"/>
                </w:r>
                <w:r w:rsidRPr="003E19EE">
                  <w:rPr>
                    <w:sz w:val="16"/>
                    <w:szCs w:val="16"/>
                  </w:rPr>
                  <w:t xml:space="preserve"> of </w:t>
                </w:r>
                <w:r w:rsidRPr="003E19EE">
                  <w:rPr>
                    <w:bCs/>
                    <w:sz w:val="16"/>
                    <w:szCs w:val="16"/>
                  </w:rPr>
                  <w:fldChar w:fldCharType="begin"/>
                </w:r>
                <w:r w:rsidRPr="003E19EE">
                  <w:rPr>
                    <w:bCs/>
                    <w:sz w:val="16"/>
                    <w:szCs w:val="16"/>
                  </w:rPr>
                  <w:instrText xml:space="preserve"> NUMPAGES  </w:instrText>
                </w:r>
                <w:r w:rsidRPr="003E19EE">
                  <w:rPr>
                    <w:bCs/>
                    <w:sz w:val="16"/>
                    <w:szCs w:val="16"/>
                  </w:rPr>
                  <w:fldChar w:fldCharType="separate"/>
                </w:r>
                <w:r w:rsidR="001A020A">
                  <w:rPr>
                    <w:bCs/>
                    <w:noProof/>
                    <w:sz w:val="16"/>
                    <w:szCs w:val="16"/>
                  </w:rPr>
                  <w:t>4</w:t>
                </w:r>
                <w:r w:rsidRPr="003E19EE">
                  <w:rPr>
                    <w:bCs/>
                    <w:sz w:val="16"/>
                    <w:szCs w:val="16"/>
                  </w:rPr>
                  <w:fldChar w:fldCharType="end"/>
                </w:r>
              </w:sdtContent>
            </w:sdt>
          </w:sdtContent>
        </w:sdt>
        <w:r w:rsidRPr="003E19EE">
          <w:rPr>
            <w:sz w:val="16"/>
            <w:szCs w:val="16"/>
          </w:rPr>
          <w:t xml:space="preserve"> </w:t>
        </w:r>
      </w:sdtContent>
    </w:sdt>
  </w:p>
  <w:p w14:paraId="6292C055" w14:textId="77777777" w:rsidR="00F10572" w:rsidRPr="00B94693" w:rsidRDefault="00FB4126" w:rsidP="003E19EE">
    <w:pPr>
      <w:pStyle w:val="Footer"/>
      <w:tabs>
        <w:tab w:val="clear" w:pos="4513"/>
        <w:tab w:val="clear" w:pos="9026"/>
        <w:tab w:val="left" w:pos="1244"/>
      </w:tabs>
    </w:pPr>
    <w:hyperlink r:id="rId1" w:history="1">
      <w:r w:rsidR="00F10572" w:rsidRPr="00B94693">
        <w:t>MBS Online</w:t>
      </w:r>
    </w:hyperlink>
    <w:r w:rsidR="00F10572" w:rsidRPr="00B94693">
      <w:tab/>
    </w:r>
  </w:p>
  <w:p w14:paraId="32E9591E" w14:textId="082C9DB9" w:rsidR="00F10572" w:rsidRPr="003E19EE" w:rsidRDefault="00F10572" w:rsidP="00670DFE">
    <w:pPr>
      <w:pStyle w:val="Footer"/>
      <w:rPr>
        <w:szCs w:val="16"/>
      </w:rPr>
    </w:pPr>
    <w:r w:rsidRPr="003E19EE">
      <w:rPr>
        <w:szCs w:val="16"/>
      </w:rPr>
      <w:t xml:space="preserve">Last updated – </w:t>
    </w:r>
    <w:r w:rsidR="00281ECC">
      <w:rPr>
        <w:szCs w:val="16"/>
      </w:rPr>
      <w:t>23</w:t>
    </w:r>
    <w:r w:rsidR="00E46BDC">
      <w:rPr>
        <w:szCs w:val="16"/>
      </w:rPr>
      <w:t xml:space="preserve"> July</w:t>
    </w:r>
    <w:r>
      <w:rPr>
        <w:szCs w:val="16"/>
      </w:rPr>
      <w:t xml:space="preserve"> </w:t>
    </w:r>
    <w:r w:rsidRPr="003E19EE">
      <w:rPr>
        <w:szCs w:val="16"/>
      </w:rPr>
      <w:t>202</w:t>
    </w:r>
    <w:r>
      <w:rPr>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8D48D" w14:textId="77777777" w:rsidR="000C3D66" w:rsidRDefault="000C3D66" w:rsidP="006D1088">
      <w:pPr>
        <w:spacing w:after="0" w:line="240" w:lineRule="auto"/>
      </w:pPr>
      <w:r>
        <w:separator/>
      </w:r>
    </w:p>
  </w:footnote>
  <w:footnote w:type="continuationSeparator" w:id="0">
    <w:p w14:paraId="2461C5BD" w14:textId="77777777" w:rsidR="000C3D66" w:rsidRDefault="000C3D66" w:rsidP="006D1088">
      <w:pPr>
        <w:spacing w:after="0" w:line="240" w:lineRule="auto"/>
      </w:pPr>
      <w:r>
        <w:continuationSeparator/>
      </w:r>
    </w:p>
  </w:footnote>
  <w:footnote w:type="continuationNotice" w:id="1">
    <w:p w14:paraId="4BFD7546" w14:textId="77777777" w:rsidR="000C3D66" w:rsidRDefault="000C3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E9EB" w14:textId="77777777" w:rsidR="00F10572" w:rsidRDefault="00F10572">
    <w:pPr>
      <w:pStyle w:val="Header"/>
    </w:pPr>
    <w:r w:rsidRPr="00113A85">
      <w:rPr>
        <w:noProof/>
        <w:lang w:eastAsia="en-AU"/>
      </w:rPr>
      <mc:AlternateContent>
        <mc:Choice Requires="wps">
          <w:drawing>
            <wp:anchor distT="0" distB="0" distL="114300" distR="114300" simplePos="0" relativeHeight="251660288" behindDoc="0" locked="0" layoutInCell="1" allowOverlap="1" wp14:anchorId="23ADB3AF" wp14:editId="59D30EB9">
              <wp:simplePos x="0" y="0"/>
              <wp:positionH relativeFrom="column">
                <wp:posOffset>3595255</wp:posOffset>
              </wp:positionH>
              <wp:positionV relativeFrom="paragraph">
                <wp:posOffset>-283960</wp:posOffset>
              </wp:positionV>
              <wp:extent cx="3045806"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45806" cy="1285200"/>
                      </a:xfrm>
                      <a:prstGeom prst="rect">
                        <a:avLst/>
                      </a:prstGeom>
                    </wps:spPr>
                    <wps:txbx>
                      <w:txbxContent>
                        <w:p w14:paraId="4D8A47AC" w14:textId="77777777" w:rsidR="00F10572" w:rsidRDefault="000D3DF6"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23ADB3AF" id="Title 3" o:spid="_x0000_s1026" style="position:absolute;margin-left:283.1pt;margin-top:-22.35pt;width:239.85pt;height:10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" filled="f" stroked="f">
              <o:lock v:ext="edit" grouping="t"/>
              <v:textbox>
                <w:txbxContent>
                  <w:p w14:paraId="4D8A47AC" w14:textId="77777777" w:rsidR="00F10572" w:rsidRDefault="000D3DF6"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10E8BA5C" wp14:editId="4B420528">
          <wp:simplePos x="0" y="0"/>
          <wp:positionH relativeFrom="page">
            <wp:align>left</wp:align>
          </wp:positionH>
          <wp:positionV relativeFrom="paragraph">
            <wp:posOffset>-449580</wp:posOffset>
          </wp:positionV>
          <wp:extent cx="7643250" cy="1611213"/>
          <wp:effectExtent l="0" t="0" r="0" b="8255"/>
          <wp:wrapNone/>
          <wp:docPr id="3" name="Picture 3"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586"/>
    <w:multiLevelType w:val="hybridMultilevel"/>
    <w:tmpl w:val="3550C4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BEE5238"/>
    <w:multiLevelType w:val="hybridMultilevel"/>
    <w:tmpl w:val="E99E100E"/>
    <w:lvl w:ilvl="0" w:tplc="0248EE72">
      <w:start w:val="1"/>
      <w:numFmt w:val="bullet"/>
      <w:lvlText w:val="-"/>
      <w:lvlJc w:val="left"/>
      <w:pPr>
        <w:ind w:left="1440" w:hanging="360"/>
      </w:pPr>
      <w:rPr>
        <w:rFonts w:ascii="Times New Roman" w:hAnsi="Times New Roman"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3" w15:restartNumberingAfterBreak="0">
    <w:nsid w:val="14372AEB"/>
    <w:multiLevelType w:val="hybridMultilevel"/>
    <w:tmpl w:val="52867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4436BA"/>
    <w:multiLevelType w:val="hybridMultilevel"/>
    <w:tmpl w:val="71D09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4D3EA4"/>
    <w:multiLevelType w:val="hybridMultilevel"/>
    <w:tmpl w:val="BADE5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844161"/>
    <w:multiLevelType w:val="hybridMultilevel"/>
    <w:tmpl w:val="8A647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F406F0"/>
    <w:multiLevelType w:val="hybridMultilevel"/>
    <w:tmpl w:val="A0F8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692F2B"/>
    <w:multiLevelType w:val="hybridMultilevel"/>
    <w:tmpl w:val="96C8E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E06F4A"/>
    <w:multiLevelType w:val="hybridMultilevel"/>
    <w:tmpl w:val="8662F4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F61898"/>
    <w:multiLevelType w:val="hybridMultilevel"/>
    <w:tmpl w:val="616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E2813F7"/>
    <w:multiLevelType w:val="hybridMultilevel"/>
    <w:tmpl w:val="C8F855D4"/>
    <w:lvl w:ilvl="0" w:tplc="B0F091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A164B0"/>
    <w:multiLevelType w:val="hybridMultilevel"/>
    <w:tmpl w:val="60A4E3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B322680"/>
    <w:multiLevelType w:val="hybridMultilevel"/>
    <w:tmpl w:val="87543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8"/>
  </w:num>
  <w:num w:numId="14">
    <w:abstractNumId w:val="16"/>
  </w:num>
  <w:num w:numId="15">
    <w:abstractNumId w:val="15"/>
  </w:num>
  <w:num w:numId="16">
    <w:abstractNumId w:val="25"/>
  </w:num>
  <w:num w:numId="17">
    <w:abstractNumId w:val="14"/>
  </w:num>
  <w:num w:numId="18">
    <w:abstractNumId w:val="11"/>
  </w:num>
  <w:num w:numId="19">
    <w:abstractNumId w:val="12"/>
  </w:num>
  <w:num w:numId="20">
    <w:abstractNumId w:val="17"/>
  </w:num>
  <w:num w:numId="21">
    <w:abstractNumId w:val="20"/>
  </w:num>
  <w:num w:numId="22">
    <w:abstractNumId w:val="16"/>
  </w:num>
  <w:num w:numId="23">
    <w:abstractNumId w:val="12"/>
  </w:num>
  <w:num w:numId="24">
    <w:abstractNumId w:val="12"/>
  </w:num>
  <w:num w:numId="25">
    <w:abstractNumId w:val="16"/>
  </w:num>
  <w:num w:numId="26">
    <w:abstractNumId w:val="16"/>
  </w:num>
  <w:num w:numId="27">
    <w:abstractNumId w:val="16"/>
  </w:num>
  <w:num w:numId="28">
    <w:abstractNumId w:val="26"/>
  </w:num>
  <w:num w:numId="29">
    <w:abstractNumId w:val="13"/>
  </w:num>
  <w:num w:numId="30">
    <w:abstractNumId w:val="24"/>
  </w:num>
  <w:num w:numId="31">
    <w:abstractNumId w:val="10"/>
  </w:num>
  <w:num w:numId="32">
    <w:abstractNumId w:val="23"/>
  </w:num>
  <w:num w:numId="33">
    <w:abstractNumId w:val="29"/>
  </w:num>
  <w:num w:numId="34">
    <w:abstractNumId w:val="21"/>
  </w:num>
  <w:num w:numId="35">
    <w:abstractNumId w:val="30"/>
  </w:num>
  <w:num w:numId="36">
    <w:abstractNumId w:val="19"/>
  </w:num>
  <w:num w:numId="37">
    <w:abstractNumId w:val="18"/>
  </w:num>
  <w:num w:numId="38">
    <w:abstractNumId w:val="16"/>
  </w:num>
  <w:num w:numId="39">
    <w:abstractNumId w:val="27"/>
  </w:num>
  <w:num w:numId="40">
    <w:abstractNumId w:val="22"/>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09C7"/>
    <w:rsid w:val="0000125C"/>
    <w:rsid w:val="00002ECA"/>
    <w:rsid w:val="00003AAD"/>
    <w:rsid w:val="000074DD"/>
    <w:rsid w:val="00010148"/>
    <w:rsid w:val="00012249"/>
    <w:rsid w:val="00024DBA"/>
    <w:rsid w:val="000367AA"/>
    <w:rsid w:val="00037534"/>
    <w:rsid w:val="00040C3D"/>
    <w:rsid w:val="000411E0"/>
    <w:rsid w:val="00043A63"/>
    <w:rsid w:val="00045810"/>
    <w:rsid w:val="00045FB6"/>
    <w:rsid w:val="00064797"/>
    <w:rsid w:val="00075CE0"/>
    <w:rsid w:val="00081B97"/>
    <w:rsid w:val="00084105"/>
    <w:rsid w:val="00085277"/>
    <w:rsid w:val="0009181A"/>
    <w:rsid w:val="000919E5"/>
    <w:rsid w:val="0009351A"/>
    <w:rsid w:val="0009610B"/>
    <w:rsid w:val="000A16D4"/>
    <w:rsid w:val="000A2F0A"/>
    <w:rsid w:val="000B01AE"/>
    <w:rsid w:val="000B2A1B"/>
    <w:rsid w:val="000B6CF7"/>
    <w:rsid w:val="000C2143"/>
    <w:rsid w:val="000C3B83"/>
    <w:rsid w:val="000C3D66"/>
    <w:rsid w:val="000D15FA"/>
    <w:rsid w:val="000D1778"/>
    <w:rsid w:val="000D3DF6"/>
    <w:rsid w:val="001014EB"/>
    <w:rsid w:val="00102885"/>
    <w:rsid w:val="00105214"/>
    <w:rsid w:val="00114FEA"/>
    <w:rsid w:val="00121100"/>
    <w:rsid w:val="00122920"/>
    <w:rsid w:val="00124DA1"/>
    <w:rsid w:val="00124E0B"/>
    <w:rsid w:val="001266AF"/>
    <w:rsid w:val="001278F2"/>
    <w:rsid w:val="00130343"/>
    <w:rsid w:val="001353D6"/>
    <w:rsid w:val="00135417"/>
    <w:rsid w:val="00141BC3"/>
    <w:rsid w:val="001432AF"/>
    <w:rsid w:val="00151636"/>
    <w:rsid w:val="00155BD4"/>
    <w:rsid w:val="0015621C"/>
    <w:rsid w:val="0016607B"/>
    <w:rsid w:val="00167446"/>
    <w:rsid w:val="0017279A"/>
    <w:rsid w:val="00172B1A"/>
    <w:rsid w:val="0017470E"/>
    <w:rsid w:val="0018054B"/>
    <w:rsid w:val="00181B52"/>
    <w:rsid w:val="00184077"/>
    <w:rsid w:val="0018507E"/>
    <w:rsid w:val="00190754"/>
    <w:rsid w:val="0019170A"/>
    <w:rsid w:val="001A020A"/>
    <w:rsid w:val="001A6FE6"/>
    <w:rsid w:val="001A7FB7"/>
    <w:rsid w:val="001C5C56"/>
    <w:rsid w:val="001C73B8"/>
    <w:rsid w:val="001D4530"/>
    <w:rsid w:val="001E5FE3"/>
    <w:rsid w:val="001E6F63"/>
    <w:rsid w:val="001F05D6"/>
    <w:rsid w:val="001F0C83"/>
    <w:rsid w:val="001F49E8"/>
    <w:rsid w:val="001F6455"/>
    <w:rsid w:val="00200902"/>
    <w:rsid w:val="00203F3E"/>
    <w:rsid w:val="00206D6E"/>
    <w:rsid w:val="0021035A"/>
    <w:rsid w:val="00211BC5"/>
    <w:rsid w:val="00220CD3"/>
    <w:rsid w:val="00220ED4"/>
    <w:rsid w:val="00221334"/>
    <w:rsid w:val="00231D5C"/>
    <w:rsid w:val="002427E0"/>
    <w:rsid w:val="00243D1C"/>
    <w:rsid w:val="00262717"/>
    <w:rsid w:val="0026502E"/>
    <w:rsid w:val="00276A29"/>
    <w:rsid w:val="00281820"/>
    <w:rsid w:val="00281DBF"/>
    <w:rsid w:val="00281ECC"/>
    <w:rsid w:val="00282786"/>
    <w:rsid w:val="002941FE"/>
    <w:rsid w:val="002A3C7C"/>
    <w:rsid w:val="002A5A70"/>
    <w:rsid w:val="002A7B41"/>
    <w:rsid w:val="002B446A"/>
    <w:rsid w:val="002B4D5C"/>
    <w:rsid w:val="002B70AC"/>
    <w:rsid w:val="002C1774"/>
    <w:rsid w:val="002C22F6"/>
    <w:rsid w:val="002C3EC0"/>
    <w:rsid w:val="002D2CC5"/>
    <w:rsid w:val="002E02CB"/>
    <w:rsid w:val="002E030C"/>
    <w:rsid w:val="002E0B42"/>
    <w:rsid w:val="002F1F1D"/>
    <w:rsid w:val="00300D87"/>
    <w:rsid w:val="003059DE"/>
    <w:rsid w:val="003122B4"/>
    <w:rsid w:val="00325A15"/>
    <w:rsid w:val="00325CF5"/>
    <w:rsid w:val="00337919"/>
    <w:rsid w:val="00345DC5"/>
    <w:rsid w:val="0035078F"/>
    <w:rsid w:val="00350C0D"/>
    <w:rsid w:val="00352174"/>
    <w:rsid w:val="00355E8A"/>
    <w:rsid w:val="00363819"/>
    <w:rsid w:val="0036706D"/>
    <w:rsid w:val="00374AE3"/>
    <w:rsid w:val="00383F53"/>
    <w:rsid w:val="00384C65"/>
    <w:rsid w:val="003864D1"/>
    <w:rsid w:val="00394DC9"/>
    <w:rsid w:val="003A06B7"/>
    <w:rsid w:val="003A097E"/>
    <w:rsid w:val="003A0CEC"/>
    <w:rsid w:val="003A52BA"/>
    <w:rsid w:val="003A69C6"/>
    <w:rsid w:val="003B07FB"/>
    <w:rsid w:val="003B2FE2"/>
    <w:rsid w:val="003B56AD"/>
    <w:rsid w:val="003D00AA"/>
    <w:rsid w:val="003D1DAF"/>
    <w:rsid w:val="003D5CEF"/>
    <w:rsid w:val="003E0945"/>
    <w:rsid w:val="003E19EE"/>
    <w:rsid w:val="003E6457"/>
    <w:rsid w:val="003F03C0"/>
    <w:rsid w:val="003F6682"/>
    <w:rsid w:val="00404756"/>
    <w:rsid w:val="00405506"/>
    <w:rsid w:val="0040634C"/>
    <w:rsid w:val="00420023"/>
    <w:rsid w:val="00422FF7"/>
    <w:rsid w:val="00425089"/>
    <w:rsid w:val="00427D7F"/>
    <w:rsid w:val="004324B6"/>
    <w:rsid w:val="00433682"/>
    <w:rsid w:val="0043744D"/>
    <w:rsid w:val="00445086"/>
    <w:rsid w:val="00447A96"/>
    <w:rsid w:val="004511F2"/>
    <w:rsid w:val="0045781D"/>
    <w:rsid w:val="00464B24"/>
    <w:rsid w:val="004666C3"/>
    <w:rsid w:val="00467CD7"/>
    <w:rsid w:val="00472BDA"/>
    <w:rsid w:val="00474A92"/>
    <w:rsid w:val="00475E53"/>
    <w:rsid w:val="0048041A"/>
    <w:rsid w:val="004826F7"/>
    <w:rsid w:val="004835F0"/>
    <w:rsid w:val="00494B72"/>
    <w:rsid w:val="00496081"/>
    <w:rsid w:val="004A1348"/>
    <w:rsid w:val="004B0FA1"/>
    <w:rsid w:val="004B243F"/>
    <w:rsid w:val="004C2B08"/>
    <w:rsid w:val="004D2C7C"/>
    <w:rsid w:val="004D4873"/>
    <w:rsid w:val="004D71C4"/>
    <w:rsid w:val="004E0425"/>
    <w:rsid w:val="004E0DDC"/>
    <w:rsid w:val="004E1559"/>
    <w:rsid w:val="004E52A2"/>
    <w:rsid w:val="004F0AA6"/>
    <w:rsid w:val="004F2B84"/>
    <w:rsid w:val="004F2E8D"/>
    <w:rsid w:val="004F435F"/>
    <w:rsid w:val="00501D76"/>
    <w:rsid w:val="005045B0"/>
    <w:rsid w:val="00510063"/>
    <w:rsid w:val="005159CB"/>
    <w:rsid w:val="00517C31"/>
    <w:rsid w:val="0052108D"/>
    <w:rsid w:val="0052126F"/>
    <w:rsid w:val="005231C6"/>
    <w:rsid w:val="005261D0"/>
    <w:rsid w:val="005316FD"/>
    <w:rsid w:val="00541287"/>
    <w:rsid w:val="0054242B"/>
    <w:rsid w:val="00542F07"/>
    <w:rsid w:val="00543427"/>
    <w:rsid w:val="005442BC"/>
    <w:rsid w:val="00550525"/>
    <w:rsid w:val="00570567"/>
    <w:rsid w:val="00570B62"/>
    <w:rsid w:val="00570E34"/>
    <w:rsid w:val="00572B2A"/>
    <w:rsid w:val="00595BBD"/>
    <w:rsid w:val="0059641E"/>
    <w:rsid w:val="005A426D"/>
    <w:rsid w:val="005B0C46"/>
    <w:rsid w:val="005B124F"/>
    <w:rsid w:val="005B399E"/>
    <w:rsid w:val="005B5122"/>
    <w:rsid w:val="005D0F63"/>
    <w:rsid w:val="005E1472"/>
    <w:rsid w:val="005E3303"/>
    <w:rsid w:val="005F0FEE"/>
    <w:rsid w:val="005F2E83"/>
    <w:rsid w:val="0060087B"/>
    <w:rsid w:val="006030D4"/>
    <w:rsid w:val="00606E46"/>
    <w:rsid w:val="00607047"/>
    <w:rsid w:val="006173AC"/>
    <w:rsid w:val="0062014B"/>
    <w:rsid w:val="00620986"/>
    <w:rsid w:val="0062100F"/>
    <w:rsid w:val="00634880"/>
    <w:rsid w:val="006425BA"/>
    <w:rsid w:val="00650B9A"/>
    <w:rsid w:val="006516D4"/>
    <w:rsid w:val="00653345"/>
    <w:rsid w:val="00655D74"/>
    <w:rsid w:val="00656D3A"/>
    <w:rsid w:val="00656F11"/>
    <w:rsid w:val="00664E1C"/>
    <w:rsid w:val="00670DFE"/>
    <w:rsid w:val="0067371D"/>
    <w:rsid w:val="00682A5C"/>
    <w:rsid w:val="00684D37"/>
    <w:rsid w:val="00684E10"/>
    <w:rsid w:val="00694030"/>
    <w:rsid w:val="006961D6"/>
    <w:rsid w:val="006A175B"/>
    <w:rsid w:val="006A44CE"/>
    <w:rsid w:val="006A788C"/>
    <w:rsid w:val="006C7ABA"/>
    <w:rsid w:val="006D04CC"/>
    <w:rsid w:val="006D09B7"/>
    <w:rsid w:val="006D1088"/>
    <w:rsid w:val="006D26B3"/>
    <w:rsid w:val="006D2A35"/>
    <w:rsid w:val="006D33F8"/>
    <w:rsid w:val="006D41F1"/>
    <w:rsid w:val="006E3573"/>
    <w:rsid w:val="006E6E56"/>
    <w:rsid w:val="006F5785"/>
    <w:rsid w:val="00701659"/>
    <w:rsid w:val="0070325B"/>
    <w:rsid w:val="00716BC7"/>
    <w:rsid w:val="007219AD"/>
    <w:rsid w:val="00726103"/>
    <w:rsid w:val="00727F4C"/>
    <w:rsid w:val="00734F6B"/>
    <w:rsid w:val="00736D31"/>
    <w:rsid w:val="007430C1"/>
    <w:rsid w:val="007561BB"/>
    <w:rsid w:val="00762561"/>
    <w:rsid w:val="00773CCB"/>
    <w:rsid w:val="0078040F"/>
    <w:rsid w:val="00781867"/>
    <w:rsid w:val="00785ABB"/>
    <w:rsid w:val="007A413A"/>
    <w:rsid w:val="007B4A1D"/>
    <w:rsid w:val="007B7C84"/>
    <w:rsid w:val="007C4686"/>
    <w:rsid w:val="007C6E9D"/>
    <w:rsid w:val="007D1D3A"/>
    <w:rsid w:val="007D406B"/>
    <w:rsid w:val="007D4F1A"/>
    <w:rsid w:val="007D734C"/>
    <w:rsid w:val="007E2604"/>
    <w:rsid w:val="007E33D2"/>
    <w:rsid w:val="007E7ABB"/>
    <w:rsid w:val="007F3009"/>
    <w:rsid w:val="00801CF3"/>
    <w:rsid w:val="00822F4B"/>
    <w:rsid w:val="0083199F"/>
    <w:rsid w:val="00832CC2"/>
    <w:rsid w:val="00834903"/>
    <w:rsid w:val="008352AC"/>
    <w:rsid w:val="008438AB"/>
    <w:rsid w:val="00847384"/>
    <w:rsid w:val="008473A6"/>
    <w:rsid w:val="00852651"/>
    <w:rsid w:val="008553F7"/>
    <w:rsid w:val="00860A5A"/>
    <w:rsid w:val="00864E28"/>
    <w:rsid w:val="00866E0C"/>
    <w:rsid w:val="00867EF8"/>
    <w:rsid w:val="00870A95"/>
    <w:rsid w:val="008766AD"/>
    <w:rsid w:val="00881219"/>
    <w:rsid w:val="0088144D"/>
    <w:rsid w:val="00885D94"/>
    <w:rsid w:val="008870EE"/>
    <w:rsid w:val="008957B9"/>
    <w:rsid w:val="008A6107"/>
    <w:rsid w:val="008A6F4F"/>
    <w:rsid w:val="008E1DFD"/>
    <w:rsid w:val="008E258C"/>
    <w:rsid w:val="008E4C9B"/>
    <w:rsid w:val="008E7B7C"/>
    <w:rsid w:val="008F1594"/>
    <w:rsid w:val="008F4B45"/>
    <w:rsid w:val="009000AA"/>
    <w:rsid w:val="0090637F"/>
    <w:rsid w:val="00907B4A"/>
    <w:rsid w:val="00914ABB"/>
    <w:rsid w:val="0091706C"/>
    <w:rsid w:val="00917E49"/>
    <w:rsid w:val="009244FC"/>
    <w:rsid w:val="009364C1"/>
    <w:rsid w:val="00942A31"/>
    <w:rsid w:val="009522B3"/>
    <w:rsid w:val="009542F2"/>
    <w:rsid w:val="00954972"/>
    <w:rsid w:val="00955863"/>
    <w:rsid w:val="009562F4"/>
    <w:rsid w:val="00977405"/>
    <w:rsid w:val="009858E2"/>
    <w:rsid w:val="009942F6"/>
    <w:rsid w:val="00995AEE"/>
    <w:rsid w:val="009A23F3"/>
    <w:rsid w:val="009A6B88"/>
    <w:rsid w:val="009A759F"/>
    <w:rsid w:val="009B0D01"/>
    <w:rsid w:val="009B32BA"/>
    <w:rsid w:val="009B51E7"/>
    <w:rsid w:val="009B5206"/>
    <w:rsid w:val="009B644E"/>
    <w:rsid w:val="009B7859"/>
    <w:rsid w:val="009C0EBB"/>
    <w:rsid w:val="009C5CAF"/>
    <w:rsid w:val="009C645A"/>
    <w:rsid w:val="009C742B"/>
    <w:rsid w:val="009D0B98"/>
    <w:rsid w:val="009D47BA"/>
    <w:rsid w:val="009E4A9E"/>
    <w:rsid w:val="009E66EE"/>
    <w:rsid w:val="009E6DE2"/>
    <w:rsid w:val="009F1CBF"/>
    <w:rsid w:val="009F4573"/>
    <w:rsid w:val="009F52D4"/>
    <w:rsid w:val="009F7801"/>
    <w:rsid w:val="00A049A0"/>
    <w:rsid w:val="00A04A27"/>
    <w:rsid w:val="00A055ED"/>
    <w:rsid w:val="00A06384"/>
    <w:rsid w:val="00A13837"/>
    <w:rsid w:val="00A16A3C"/>
    <w:rsid w:val="00A26321"/>
    <w:rsid w:val="00A3287F"/>
    <w:rsid w:val="00A35595"/>
    <w:rsid w:val="00A37CE3"/>
    <w:rsid w:val="00A37FE6"/>
    <w:rsid w:val="00A409AC"/>
    <w:rsid w:val="00A51FC5"/>
    <w:rsid w:val="00A53651"/>
    <w:rsid w:val="00A5641C"/>
    <w:rsid w:val="00A60FB7"/>
    <w:rsid w:val="00A64177"/>
    <w:rsid w:val="00A7172E"/>
    <w:rsid w:val="00A75D99"/>
    <w:rsid w:val="00A75DC5"/>
    <w:rsid w:val="00A76DA3"/>
    <w:rsid w:val="00A8308E"/>
    <w:rsid w:val="00A91196"/>
    <w:rsid w:val="00A95BBB"/>
    <w:rsid w:val="00AA41CD"/>
    <w:rsid w:val="00AA5232"/>
    <w:rsid w:val="00AA69A9"/>
    <w:rsid w:val="00AB48B3"/>
    <w:rsid w:val="00AB53A4"/>
    <w:rsid w:val="00AB6E9A"/>
    <w:rsid w:val="00AB7B9A"/>
    <w:rsid w:val="00AC3F92"/>
    <w:rsid w:val="00AD3EAC"/>
    <w:rsid w:val="00AD48B2"/>
    <w:rsid w:val="00AE2F7E"/>
    <w:rsid w:val="00AF51AC"/>
    <w:rsid w:val="00B05DA5"/>
    <w:rsid w:val="00B06E28"/>
    <w:rsid w:val="00B15CE8"/>
    <w:rsid w:val="00B2044B"/>
    <w:rsid w:val="00B21224"/>
    <w:rsid w:val="00B23A4C"/>
    <w:rsid w:val="00B253E2"/>
    <w:rsid w:val="00B31FBA"/>
    <w:rsid w:val="00B378D4"/>
    <w:rsid w:val="00B3793F"/>
    <w:rsid w:val="00B50188"/>
    <w:rsid w:val="00B542FB"/>
    <w:rsid w:val="00B6573B"/>
    <w:rsid w:val="00B65C4B"/>
    <w:rsid w:val="00B65D2B"/>
    <w:rsid w:val="00B714E8"/>
    <w:rsid w:val="00B83E3D"/>
    <w:rsid w:val="00B90DB5"/>
    <w:rsid w:val="00B94693"/>
    <w:rsid w:val="00B94817"/>
    <w:rsid w:val="00BA0109"/>
    <w:rsid w:val="00BA2BCF"/>
    <w:rsid w:val="00BA7CA8"/>
    <w:rsid w:val="00BA7E22"/>
    <w:rsid w:val="00BB25DE"/>
    <w:rsid w:val="00BC50C1"/>
    <w:rsid w:val="00BC7811"/>
    <w:rsid w:val="00BD1C20"/>
    <w:rsid w:val="00BD205A"/>
    <w:rsid w:val="00BD2649"/>
    <w:rsid w:val="00BD55AD"/>
    <w:rsid w:val="00BE2018"/>
    <w:rsid w:val="00BE505F"/>
    <w:rsid w:val="00BF00A9"/>
    <w:rsid w:val="00BF3873"/>
    <w:rsid w:val="00BF3FFF"/>
    <w:rsid w:val="00BF426F"/>
    <w:rsid w:val="00C006E7"/>
    <w:rsid w:val="00C00B47"/>
    <w:rsid w:val="00C0126E"/>
    <w:rsid w:val="00C05423"/>
    <w:rsid w:val="00C11326"/>
    <w:rsid w:val="00C131D7"/>
    <w:rsid w:val="00C13ABA"/>
    <w:rsid w:val="00C2224B"/>
    <w:rsid w:val="00C2264F"/>
    <w:rsid w:val="00C27A3D"/>
    <w:rsid w:val="00C4491F"/>
    <w:rsid w:val="00C44A7C"/>
    <w:rsid w:val="00C47D60"/>
    <w:rsid w:val="00C52E15"/>
    <w:rsid w:val="00C55B57"/>
    <w:rsid w:val="00C61A31"/>
    <w:rsid w:val="00C66700"/>
    <w:rsid w:val="00C70F2D"/>
    <w:rsid w:val="00C72B5D"/>
    <w:rsid w:val="00C73719"/>
    <w:rsid w:val="00C93D9A"/>
    <w:rsid w:val="00CA5F76"/>
    <w:rsid w:val="00CA7EAA"/>
    <w:rsid w:val="00CB0DFF"/>
    <w:rsid w:val="00CC39C8"/>
    <w:rsid w:val="00CE499E"/>
    <w:rsid w:val="00CE6A40"/>
    <w:rsid w:val="00CF1A42"/>
    <w:rsid w:val="00CF45CC"/>
    <w:rsid w:val="00D07875"/>
    <w:rsid w:val="00D07EC2"/>
    <w:rsid w:val="00D10AF1"/>
    <w:rsid w:val="00D11EDB"/>
    <w:rsid w:val="00D13181"/>
    <w:rsid w:val="00D16EF3"/>
    <w:rsid w:val="00D20B6F"/>
    <w:rsid w:val="00D3244E"/>
    <w:rsid w:val="00D3673A"/>
    <w:rsid w:val="00D37294"/>
    <w:rsid w:val="00D3741F"/>
    <w:rsid w:val="00D40067"/>
    <w:rsid w:val="00D40D8D"/>
    <w:rsid w:val="00D422E5"/>
    <w:rsid w:val="00D45610"/>
    <w:rsid w:val="00D471A6"/>
    <w:rsid w:val="00D62923"/>
    <w:rsid w:val="00D6302E"/>
    <w:rsid w:val="00D65B74"/>
    <w:rsid w:val="00D67E9A"/>
    <w:rsid w:val="00D76659"/>
    <w:rsid w:val="00D827C2"/>
    <w:rsid w:val="00D877AE"/>
    <w:rsid w:val="00D92D77"/>
    <w:rsid w:val="00D941AF"/>
    <w:rsid w:val="00DA1412"/>
    <w:rsid w:val="00DA2432"/>
    <w:rsid w:val="00DA50D6"/>
    <w:rsid w:val="00DB0E1E"/>
    <w:rsid w:val="00DB54A4"/>
    <w:rsid w:val="00DC127A"/>
    <w:rsid w:val="00DC1E33"/>
    <w:rsid w:val="00DC2A79"/>
    <w:rsid w:val="00DC356C"/>
    <w:rsid w:val="00DC7F3D"/>
    <w:rsid w:val="00DD2E79"/>
    <w:rsid w:val="00DE22E2"/>
    <w:rsid w:val="00DE23BF"/>
    <w:rsid w:val="00DE40EB"/>
    <w:rsid w:val="00DF04E6"/>
    <w:rsid w:val="00DF7606"/>
    <w:rsid w:val="00DF7C32"/>
    <w:rsid w:val="00DF7FD3"/>
    <w:rsid w:val="00E00F9B"/>
    <w:rsid w:val="00E0423D"/>
    <w:rsid w:val="00E11D68"/>
    <w:rsid w:val="00E12C16"/>
    <w:rsid w:val="00E15169"/>
    <w:rsid w:val="00E16CC1"/>
    <w:rsid w:val="00E1788A"/>
    <w:rsid w:val="00E226A2"/>
    <w:rsid w:val="00E326F9"/>
    <w:rsid w:val="00E35AAA"/>
    <w:rsid w:val="00E418AA"/>
    <w:rsid w:val="00E43F82"/>
    <w:rsid w:val="00E45440"/>
    <w:rsid w:val="00E467B7"/>
    <w:rsid w:val="00E46BDC"/>
    <w:rsid w:val="00E556A8"/>
    <w:rsid w:val="00E704D4"/>
    <w:rsid w:val="00E7460D"/>
    <w:rsid w:val="00E82C89"/>
    <w:rsid w:val="00E91760"/>
    <w:rsid w:val="00EA2CDC"/>
    <w:rsid w:val="00EC2DBE"/>
    <w:rsid w:val="00ED1011"/>
    <w:rsid w:val="00ED1055"/>
    <w:rsid w:val="00ED2B70"/>
    <w:rsid w:val="00ED60EE"/>
    <w:rsid w:val="00EE0868"/>
    <w:rsid w:val="00EE2456"/>
    <w:rsid w:val="00EF7D89"/>
    <w:rsid w:val="00F047BC"/>
    <w:rsid w:val="00F074CE"/>
    <w:rsid w:val="00F07E89"/>
    <w:rsid w:val="00F10572"/>
    <w:rsid w:val="00F162F1"/>
    <w:rsid w:val="00F17C53"/>
    <w:rsid w:val="00F21CD8"/>
    <w:rsid w:val="00F2545E"/>
    <w:rsid w:val="00F33D07"/>
    <w:rsid w:val="00F361F5"/>
    <w:rsid w:val="00F43D1C"/>
    <w:rsid w:val="00F50491"/>
    <w:rsid w:val="00F50994"/>
    <w:rsid w:val="00F53D5A"/>
    <w:rsid w:val="00F5726A"/>
    <w:rsid w:val="00F57484"/>
    <w:rsid w:val="00F605E6"/>
    <w:rsid w:val="00F6472E"/>
    <w:rsid w:val="00F74AD4"/>
    <w:rsid w:val="00F74C48"/>
    <w:rsid w:val="00F74DFC"/>
    <w:rsid w:val="00F77042"/>
    <w:rsid w:val="00F93F71"/>
    <w:rsid w:val="00F943E8"/>
    <w:rsid w:val="00F96D13"/>
    <w:rsid w:val="00F96FDB"/>
    <w:rsid w:val="00F9790C"/>
    <w:rsid w:val="00FA100E"/>
    <w:rsid w:val="00FA25B8"/>
    <w:rsid w:val="00FB4126"/>
    <w:rsid w:val="00FB4DEF"/>
    <w:rsid w:val="00FB7C67"/>
    <w:rsid w:val="00FC4D56"/>
    <w:rsid w:val="00FC690D"/>
    <w:rsid w:val="00FC7B9B"/>
    <w:rsid w:val="00FD1E77"/>
    <w:rsid w:val="00FD4323"/>
    <w:rsid w:val="00FD5201"/>
    <w:rsid w:val="00FE50B6"/>
    <w:rsid w:val="00FF3B72"/>
    <w:rsid w:val="00FF3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3FE90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47B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1F05D6"/>
    <w:rPr>
      <w:rFonts w:ascii="Arial" w:eastAsiaTheme="minorEastAsia" w:hAnsi="Arial"/>
      <w:sz w:val="20"/>
      <w:szCs w:val="21"/>
    </w:rPr>
  </w:style>
  <w:style w:type="character" w:customStyle="1" w:styleId="hgkelc">
    <w:name w:val="hgkelc"/>
    <w:basedOn w:val="DefaultParagraphFont"/>
    <w:rsid w:val="00231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500037">
      <w:bodyDiv w:val="1"/>
      <w:marLeft w:val="0"/>
      <w:marRight w:val="0"/>
      <w:marTop w:val="0"/>
      <w:marBottom w:val="0"/>
      <w:divBdr>
        <w:top w:val="none" w:sz="0" w:space="0" w:color="auto"/>
        <w:left w:val="none" w:sz="0" w:space="0" w:color="auto"/>
        <w:bottom w:val="none" w:sz="0" w:space="0" w:color="auto"/>
        <w:right w:val="none" w:sz="0" w:space="0" w:color="auto"/>
      </w:divBdr>
    </w:div>
    <w:div w:id="326910684">
      <w:bodyDiv w:val="1"/>
      <w:marLeft w:val="0"/>
      <w:marRight w:val="0"/>
      <w:marTop w:val="0"/>
      <w:marBottom w:val="0"/>
      <w:divBdr>
        <w:top w:val="none" w:sz="0" w:space="0" w:color="auto"/>
        <w:left w:val="none" w:sz="0" w:space="0" w:color="auto"/>
        <w:bottom w:val="none" w:sz="0" w:space="0" w:color="auto"/>
        <w:right w:val="none" w:sz="0" w:space="0" w:color="auto"/>
      </w:divBdr>
    </w:div>
    <w:div w:id="353501961">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15858324">
      <w:bodyDiv w:val="1"/>
      <w:marLeft w:val="0"/>
      <w:marRight w:val="0"/>
      <w:marTop w:val="0"/>
      <w:marBottom w:val="0"/>
      <w:divBdr>
        <w:top w:val="none" w:sz="0" w:space="0" w:color="auto"/>
        <w:left w:val="none" w:sz="0" w:space="0" w:color="auto"/>
        <w:bottom w:val="none" w:sz="0" w:space="0" w:color="auto"/>
        <w:right w:val="none" w:sz="0" w:space="0" w:color="auto"/>
      </w:divBdr>
    </w:div>
    <w:div w:id="727143037">
      <w:bodyDiv w:val="1"/>
      <w:marLeft w:val="0"/>
      <w:marRight w:val="0"/>
      <w:marTop w:val="0"/>
      <w:marBottom w:val="0"/>
      <w:divBdr>
        <w:top w:val="none" w:sz="0" w:space="0" w:color="auto"/>
        <w:left w:val="none" w:sz="0" w:space="0" w:color="auto"/>
        <w:bottom w:val="none" w:sz="0" w:space="0" w:color="auto"/>
        <w:right w:val="none" w:sz="0" w:space="0" w:color="auto"/>
      </w:divBdr>
    </w:div>
    <w:div w:id="791946600">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969163376">
      <w:bodyDiv w:val="1"/>
      <w:marLeft w:val="0"/>
      <w:marRight w:val="0"/>
      <w:marTop w:val="0"/>
      <w:marBottom w:val="0"/>
      <w:divBdr>
        <w:top w:val="none" w:sz="0" w:space="0" w:color="auto"/>
        <w:left w:val="none" w:sz="0" w:space="0" w:color="auto"/>
        <w:bottom w:val="none" w:sz="0" w:space="0" w:color="auto"/>
        <w:right w:val="none" w:sz="0" w:space="0" w:color="auto"/>
      </w:divBdr>
    </w:div>
    <w:div w:id="1044987029">
      <w:bodyDiv w:val="1"/>
      <w:marLeft w:val="0"/>
      <w:marRight w:val="0"/>
      <w:marTop w:val="0"/>
      <w:marBottom w:val="0"/>
      <w:divBdr>
        <w:top w:val="none" w:sz="0" w:space="0" w:color="auto"/>
        <w:left w:val="none" w:sz="0" w:space="0" w:color="auto"/>
        <w:bottom w:val="none" w:sz="0" w:space="0" w:color="auto"/>
        <w:right w:val="none" w:sz="0" w:space="0" w:color="auto"/>
      </w:divBdr>
    </w:div>
    <w:div w:id="1411001576">
      <w:bodyDiv w:val="1"/>
      <w:marLeft w:val="0"/>
      <w:marRight w:val="0"/>
      <w:marTop w:val="0"/>
      <w:marBottom w:val="0"/>
      <w:divBdr>
        <w:top w:val="none" w:sz="0" w:space="0" w:color="auto"/>
        <w:left w:val="none" w:sz="0" w:space="0" w:color="auto"/>
        <w:bottom w:val="none" w:sz="0" w:space="0" w:color="auto"/>
        <w:right w:val="none" w:sz="0" w:space="0" w:color="auto"/>
      </w:divBdr>
    </w:div>
    <w:div w:id="1412267884">
      <w:bodyDiv w:val="1"/>
      <w:marLeft w:val="0"/>
      <w:marRight w:val="0"/>
      <w:marTop w:val="0"/>
      <w:marBottom w:val="0"/>
      <w:divBdr>
        <w:top w:val="none" w:sz="0" w:space="0" w:color="auto"/>
        <w:left w:val="none" w:sz="0" w:space="0" w:color="auto"/>
        <w:bottom w:val="none" w:sz="0" w:space="0" w:color="auto"/>
        <w:right w:val="none" w:sz="0" w:space="0" w:color="auto"/>
      </w:divBdr>
    </w:div>
    <w:div w:id="1808427457">
      <w:bodyDiv w:val="1"/>
      <w:marLeft w:val="0"/>
      <w:marRight w:val="0"/>
      <w:marTop w:val="0"/>
      <w:marBottom w:val="0"/>
      <w:divBdr>
        <w:top w:val="none" w:sz="0" w:space="0" w:color="auto"/>
        <w:left w:val="none" w:sz="0" w:space="0" w:color="auto"/>
        <w:bottom w:val="none" w:sz="0" w:space="0" w:color="auto"/>
        <w:right w:val="none" w:sz="0" w:space="0" w:color="auto"/>
      </w:divBdr>
    </w:div>
    <w:div w:id="1812213334">
      <w:bodyDiv w:val="1"/>
      <w:marLeft w:val="0"/>
      <w:marRight w:val="0"/>
      <w:marTop w:val="0"/>
      <w:marBottom w:val="0"/>
      <w:divBdr>
        <w:top w:val="none" w:sz="0" w:space="0" w:color="auto"/>
        <w:left w:val="none" w:sz="0" w:space="0" w:color="auto"/>
        <w:bottom w:val="none" w:sz="0" w:space="0" w:color="auto"/>
        <w:right w:val="none" w:sz="0" w:space="0" w:color="auto"/>
      </w:divBdr>
    </w:div>
    <w:div w:id="1936134713">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2718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gov.au/" TargetMode="External"/><Relationship Id="rId13" Type="http://schemas.openxmlformats.org/officeDocument/2006/relationships/hyperlink" Target="http://www.mbsonline.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bsonline.gov.au/internet/mbsonline/publishing.nsf/Content/Factsheet-TelehealthPrivChecklist" TargetMode="External"/><Relationship Id="rId12" Type="http://schemas.openxmlformats.org/officeDocument/2006/relationships/hyperlink" Target="http://www.mbsonline.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resources/collections/coronavirus-covid-19-national-health-plan-resources"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http://www.mbsonline.gov.au/internet/mbsonline/publishing.nsf/Content/Factsheet-TempB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mpBB" TargetMode="Externa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2021-07-23T03:30:00Z</dcterms:created>
  <dcterms:modified xsi:type="dcterms:W3CDTF">2021-07-23T03:38:00Z</dcterms:modified>
</cp:coreProperties>
</file>