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15" w14:textId="1E2C246B" w:rsidR="007666EA" w:rsidRDefault="00C667BD" w:rsidP="001C6907">
      <w:pPr>
        <w:tabs>
          <w:tab w:val="left" w:pos="3940"/>
        </w:tabs>
        <w:rPr>
          <w:rFonts w:eastAsiaTheme="majorEastAsia" w:cstheme="majorBidi"/>
          <w:b/>
          <w:color w:val="3F4A75"/>
          <w:kern w:val="28"/>
          <w:sz w:val="48"/>
          <w:szCs w:val="52"/>
        </w:rPr>
      </w:pPr>
      <w:bookmarkStart w:id="0" w:name="_Hlk138318391"/>
      <w:r>
        <w:rPr>
          <w:rFonts w:eastAsiaTheme="majorEastAsia" w:cstheme="majorBidi"/>
          <w:b/>
          <w:color w:val="3F4A75"/>
          <w:kern w:val="28"/>
          <w:sz w:val="48"/>
          <w:szCs w:val="52"/>
        </w:rPr>
        <w:t xml:space="preserve">New pathology MBS item for </w:t>
      </w:r>
      <w:r w:rsidR="00F6532F">
        <w:rPr>
          <w:rFonts w:eastAsiaTheme="majorEastAsia" w:cstheme="majorBidi"/>
          <w:b/>
          <w:color w:val="3F4A75"/>
          <w:kern w:val="28"/>
          <w:sz w:val="48"/>
          <w:szCs w:val="52"/>
        </w:rPr>
        <w:t xml:space="preserve">antimicrobial </w:t>
      </w:r>
      <w:r w:rsidR="00320BEB" w:rsidRPr="00320BEB">
        <w:rPr>
          <w:rFonts w:eastAsiaTheme="majorEastAsia" w:cstheme="majorBidi"/>
          <w:b/>
          <w:color w:val="3F4A75"/>
          <w:kern w:val="28"/>
          <w:sz w:val="48"/>
          <w:szCs w:val="52"/>
        </w:rPr>
        <w:t xml:space="preserve">drug susceptibility testing </w:t>
      </w:r>
      <w:r w:rsidR="00F6532F">
        <w:rPr>
          <w:rFonts w:eastAsiaTheme="majorEastAsia" w:cstheme="majorBidi"/>
          <w:b/>
          <w:color w:val="3F4A75"/>
          <w:kern w:val="28"/>
          <w:sz w:val="48"/>
          <w:szCs w:val="52"/>
        </w:rPr>
        <w:t xml:space="preserve">for </w:t>
      </w:r>
      <w:r w:rsidR="00F6532F" w:rsidRPr="00F6532F">
        <w:rPr>
          <w:rFonts w:eastAsiaTheme="majorEastAsia" w:cstheme="majorBidi"/>
          <w:b/>
          <w:color w:val="3F4A75"/>
          <w:kern w:val="28"/>
          <w:sz w:val="48"/>
          <w:szCs w:val="52"/>
        </w:rPr>
        <w:t>Mycobacterium tuberculosis complex (MTBC)</w:t>
      </w:r>
    </w:p>
    <w:bookmarkEnd w:id="0"/>
    <w:p w14:paraId="33B84A7C" w14:textId="6B9A34ED" w:rsidR="00DA6794" w:rsidRDefault="001C6907" w:rsidP="001C6907">
      <w:pPr>
        <w:tabs>
          <w:tab w:val="left" w:pos="3940"/>
        </w:tabs>
      </w:pPr>
      <w:r>
        <w:t xml:space="preserve">Last </w:t>
      </w:r>
      <w:r w:rsidRPr="001220D0">
        <w:t xml:space="preserve">updated: </w:t>
      </w:r>
      <w:r w:rsidR="00CB0FF3">
        <w:t>4</w:t>
      </w:r>
      <w:r w:rsidR="002E066E">
        <w:t xml:space="preserve"> </w:t>
      </w:r>
      <w:r w:rsidR="00DA6794">
        <w:t>Ma</w:t>
      </w:r>
      <w:r w:rsidR="00CB0FF3">
        <w:t>y</w:t>
      </w:r>
      <w:r w:rsidR="002E066E">
        <w:t xml:space="preserve"> 202</w:t>
      </w:r>
      <w:r w:rsidR="00DA6794">
        <w:t>3</w:t>
      </w:r>
    </w:p>
    <w:p w14:paraId="4226512C" w14:textId="0E8D9D27" w:rsidR="00DA6794" w:rsidRPr="002513C5" w:rsidRDefault="00DA6794" w:rsidP="00DA6794">
      <w:pPr>
        <w:pStyle w:val="ListBullet"/>
        <w:numPr>
          <w:ilvl w:val="0"/>
          <w:numId w:val="17"/>
        </w:numPr>
        <w:tabs>
          <w:tab w:val="clear" w:pos="340"/>
          <w:tab w:val="clear" w:pos="680"/>
        </w:tabs>
        <w:spacing w:before="0" w:line="280" w:lineRule="exact"/>
        <w:rPr>
          <w:szCs w:val="22"/>
        </w:rPr>
      </w:pPr>
      <w:r w:rsidRPr="00602327">
        <w:t xml:space="preserve">From 1 July 2023, </w:t>
      </w:r>
      <w:r>
        <w:t>one</w:t>
      </w:r>
      <w:r w:rsidRPr="00602327">
        <w:t xml:space="preserve"> new item</w:t>
      </w:r>
      <w:r w:rsidR="00EA7DB5">
        <w:t xml:space="preserve"> </w:t>
      </w:r>
      <w:r w:rsidR="00EA7DB5" w:rsidRPr="00206AF4">
        <w:t>(</w:t>
      </w:r>
      <w:r w:rsidR="00EA7DB5">
        <w:t>69505</w:t>
      </w:r>
      <w:r w:rsidR="00EA7DB5" w:rsidRPr="00206AF4">
        <w:t xml:space="preserve">) </w:t>
      </w:r>
      <w:r w:rsidRPr="000E22D6">
        <w:t>will be listed on the Medicare Benefits Schedule (MBS)</w:t>
      </w:r>
      <w:r>
        <w:t xml:space="preserve"> for the whole genome sequencing</w:t>
      </w:r>
      <w:r w:rsidR="00EA7DB5">
        <w:t xml:space="preserve"> (WGS)</w:t>
      </w:r>
      <w:r>
        <w:t xml:space="preserve"> of MTBC </w:t>
      </w:r>
      <w:r w:rsidRPr="002513C5">
        <w:rPr>
          <w:szCs w:val="22"/>
        </w:rPr>
        <w:t xml:space="preserve">to ensure patients </w:t>
      </w:r>
      <w:r>
        <w:t>with tuberculosis</w:t>
      </w:r>
      <w:r w:rsidRPr="002513C5">
        <w:rPr>
          <w:szCs w:val="22"/>
        </w:rPr>
        <w:t xml:space="preserve"> are more </w:t>
      </w:r>
      <w:r>
        <w:rPr>
          <w:szCs w:val="22"/>
        </w:rPr>
        <w:t>effectively</w:t>
      </w:r>
      <w:r w:rsidRPr="002513C5">
        <w:rPr>
          <w:szCs w:val="22"/>
        </w:rPr>
        <w:t xml:space="preserve"> </w:t>
      </w:r>
      <w:r>
        <w:rPr>
          <w:szCs w:val="22"/>
        </w:rPr>
        <w:t>treated</w:t>
      </w:r>
      <w:r w:rsidRPr="002513C5">
        <w:rPr>
          <w:szCs w:val="22"/>
        </w:rPr>
        <w:t>.</w:t>
      </w:r>
    </w:p>
    <w:p w14:paraId="5304E185" w14:textId="0E444096" w:rsidR="00DA6794" w:rsidRPr="002513C5" w:rsidRDefault="00DA6794" w:rsidP="00DA6794">
      <w:pPr>
        <w:pStyle w:val="ListBullet"/>
        <w:numPr>
          <w:ilvl w:val="0"/>
          <w:numId w:val="17"/>
        </w:numPr>
        <w:tabs>
          <w:tab w:val="clear" w:pos="340"/>
          <w:tab w:val="clear" w:pos="680"/>
        </w:tabs>
        <w:spacing w:before="0" w:line="280" w:lineRule="exact"/>
        <w:rPr>
          <w:szCs w:val="22"/>
        </w:rPr>
      </w:pPr>
      <w:r w:rsidRPr="002513C5">
        <w:rPr>
          <w:szCs w:val="22"/>
        </w:rPr>
        <w:t>These changes are relevant for</w:t>
      </w:r>
      <w:r>
        <w:rPr>
          <w:szCs w:val="22"/>
        </w:rPr>
        <w:t xml:space="preserve"> medical practitioners that specialise in or consult on microbiology, and </w:t>
      </w:r>
      <w:r w:rsidRPr="00834C1C">
        <w:t>who manage patients with diagnosed MTBC</w:t>
      </w:r>
      <w:r w:rsidRPr="002513C5">
        <w:rPr>
          <w:szCs w:val="22"/>
        </w:rPr>
        <w:t>.</w:t>
      </w:r>
      <w:r>
        <w:rPr>
          <w:szCs w:val="22"/>
        </w:rPr>
        <w:t xml:space="preserve"> </w:t>
      </w:r>
    </w:p>
    <w:p w14:paraId="2B615DF9" w14:textId="77777777" w:rsidR="001C6907" w:rsidRPr="00AB53A4" w:rsidRDefault="001C6907" w:rsidP="001C6907">
      <w:pPr>
        <w:pStyle w:val="Heading2"/>
      </w:pPr>
      <w:r w:rsidRPr="00AB53A4">
        <w:t>What are the changes?</w:t>
      </w:r>
    </w:p>
    <w:p w14:paraId="55D0983D" w14:textId="579C7BB2" w:rsidR="00206AF4" w:rsidRDefault="00C667BD" w:rsidP="00B53C73">
      <w:pPr>
        <w:spacing w:before="0" w:after="60" w:line="280" w:lineRule="exact"/>
      </w:pPr>
      <w:r w:rsidRPr="00206AF4">
        <w:t xml:space="preserve">From 1 </w:t>
      </w:r>
      <w:r w:rsidR="0085526F" w:rsidRPr="00206AF4">
        <w:t>July</w:t>
      </w:r>
      <w:r w:rsidRPr="00206AF4">
        <w:t xml:space="preserve"> 202</w:t>
      </w:r>
      <w:r w:rsidR="0085526F" w:rsidRPr="00206AF4">
        <w:t>3</w:t>
      </w:r>
      <w:r w:rsidRPr="00206AF4">
        <w:t xml:space="preserve">, </w:t>
      </w:r>
      <w:r w:rsidR="00320BEB">
        <w:t>one</w:t>
      </w:r>
      <w:r w:rsidR="00206AF4" w:rsidRPr="00206AF4">
        <w:t xml:space="preserve"> </w:t>
      </w:r>
      <w:r w:rsidRPr="00206AF4">
        <w:t>new item</w:t>
      </w:r>
      <w:r w:rsidR="0005346B" w:rsidRPr="00206AF4">
        <w:t xml:space="preserve"> (</w:t>
      </w:r>
      <w:r w:rsidR="00320BEB">
        <w:t>69505</w:t>
      </w:r>
      <w:r w:rsidR="0005346B" w:rsidRPr="00206AF4">
        <w:t>)</w:t>
      </w:r>
      <w:r w:rsidRPr="00206AF4">
        <w:t xml:space="preserve"> </w:t>
      </w:r>
      <w:r w:rsidR="00206AF4">
        <w:t xml:space="preserve">for </w:t>
      </w:r>
      <w:r w:rsidR="00320BEB">
        <w:t xml:space="preserve">WGS for </w:t>
      </w:r>
      <w:r w:rsidR="00320BEB" w:rsidRPr="00320BEB">
        <w:t xml:space="preserve">antimicrobial </w:t>
      </w:r>
      <w:bookmarkStart w:id="1" w:name="_Hlk120284884"/>
      <w:r w:rsidR="00320BEB" w:rsidRPr="00320BEB">
        <w:t>drug susceptibility testing</w:t>
      </w:r>
      <w:r w:rsidR="00320BEB">
        <w:t xml:space="preserve"> </w:t>
      </w:r>
      <w:bookmarkEnd w:id="1"/>
      <w:r w:rsidR="00320BEB">
        <w:t xml:space="preserve">in patients who have </w:t>
      </w:r>
      <w:r w:rsidR="00320BEB" w:rsidRPr="00320BEB">
        <w:t xml:space="preserve">an infection caused by a pathogen in the </w:t>
      </w:r>
      <w:bookmarkStart w:id="2" w:name="_Hlk120525567"/>
      <w:r w:rsidR="00320BEB" w:rsidRPr="00320BEB">
        <w:t>MTBC</w:t>
      </w:r>
      <w:r w:rsidR="00320BEB">
        <w:t xml:space="preserve"> </w:t>
      </w:r>
      <w:bookmarkEnd w:id="2"/>
      <w:r w:rsidR="000E22D6" w:rsidRPr="000E22D6">
        <w:t xml:space="preserve">will be listed on the MBS. </w:t>
      </w:r>
      <w:r w:rsidR="000E22D6" w:rsidRPr="000E22D6">
        <w:rPr>
          <w:b/>
          <w:bCs/>
        </w:rPr>
        <w:t>Attachment A</w:t>
      </w:r>
      <w:r w:rsidR="000E22D6" w:rsidRPr="000E22D6">
        <w:t xml:space="preserve"> to this factsheet lists the new item</w:t>
      </w:r>
      <w:r w:rsidR="00206AF4" w:rsidRPr="000E22D6">
        <w:t>.</w:t>
      </w:r>
      <w:r w:rsidR="000E22D6">
        <w:t xml:space="preserve"> </w:t>
      </w:r>
      <w:r w:rsidR="00206AF4">
        <w:t xml:space="preserve"> </w:t>
      </w:r>
    </w:p>
    <w:p w14:paraId="024F868D" w14:textId="29423056" w:rsidR="00206AF4" w:rsidRDefault="000E22D6" w:rsidP="00B53C73">
      <w:pPr>
        <w:spacing w:before="0" w:after="60" w:line="280" w:lineRule="exact"/>
        <w:rPr>
          <w:highlight w:val="yellow"/>
        </w:rPr>
      </w:pPr>
      <w:r>
        <w:t xml:space="preserve">The new MBS item will be available for </w:t>
      </w:r>
      <w:r w:rsidR="00320BEB">
        <w:t xml:space="preserve">patients who have been diagnosed with MTBC or if the infection recurs. </w:t>
      </w:r>
      <w:r w:rsidR="00320BEB" w:rsidRPr="00320BEB">
        <w:t>The purpose of the test is to detect and characterise antimicrobial resistance in the pathogen genome so that appropriate treatment can be provided.</w:t>
      </w:r>
      <w:r w:rsidR="00320BEB">
        <w:t xml:space="preserve"> </w:t>
      </w:r>
    </w:p>
    <w:p w14:paraId="7B9DAA2E" w14:textId="51BC6739" w:rsidR="0005346B" w:rsidRPr="00320BEB" w:rsidRDefault="0005346B" w:rsidP="0005346B">
      <w:r w:rsidRPr="00320BEB">
        <w:t>For private health insurance purposes, the new items will be listed under the following clinical category and procedure type:</w:t>
      </w:r>
    </w:p>
    <w:p w14:paraId="0D04D6DD" w14:textId="7D833505" w:rsidR="0005346B" w:rsidRPr="00320BEB" w:rsidRDefault="0005346B" w:rsidP="0005346B">
      <w:pPr>
        <w:pStyle w:val="ListParagraph"/>
        <w:numPr>
          <w:ilvl w:val="0"/>
          <w:numId w:val="28"/>
        </w:numPr>
        <w:spacing w:before="0" w:after="60" w:line="280" w:lineRule="exact"/>
        <w:contextualSpacing w:val="0"/>
      </w:pPr>
      <w:r w:rsidRPr="00320BEB">
        <w:t>Item</w:t>
      </w:r>
      <w:r w:rsidR="00320BEB" w:rsidRPr="00320BEB">
        <w:t xml:space="preserve"> 69505</w:t>
      </w:r>
      <w:r w:rsidRPr="00320BEB">
        <w:t>:</w:t>
      </w:r>
    </w:p>
    <w:p w14:paraId="4931678D" w14:textId="77777777" w:rsidR="00DA6794" w:rsidRPr="00B87989" w:rsidRDefault="00DA6794" w:rsidP="00DA6794">
      <w:pPr>
        <w:pStyle w:val="ListParagraph"/>
        <w:numPr>
          <w:ilvl w:val="1"/>
          <w:numId w:val="28"/>
        </w:numPr>
        <w:spacing w:before="0" w:after="60" w:line="280" w:lineRule="exact"/>
        <w:contextualSpacing w:val="0"/>
      </w:pPr>
      <w:r w:rsidRPr="00B87989">
        <w:t xml:space="preserve">Clinical category: </w:t>
      </w:r>
      <w:r>
        <w:t>Support List (pathology)</w:t>
      </w:r>
    </w:p>
    <w:p w14:paraId="075E71FB" w14:textId="77777777" w:rsidR="00DA6794" w:rsidRPr="00B87989" w:rsidRDefault="00DA6794" w:rsidP="00DA6794">
      <w:pPr>
        <w:pStyle w:val="ListParagraph"/>
        <w:numPr>
          <w:ilvl w:val="1"/>
          <w:numId w:val="28"/>
        </w:numPr>
        <w:spacing w:before="0" w:after="60" w:line="280" w:lineRule="exact"/>
        <w:contextualSpacing w:val="0"/>
      </w:pPr>
      <w:r w:rsidRPr="00B87989">
        <w:t xml:space="preserve">Procedure type: </w:t>
      </w:r>
      <w:r>
        <w:t>Type C</w:t>
      </w:r>
    </w:p>
    <w:p w14:paraId="25D82AF2" w14:textId="68FB25EB" w:rsidR="001C6907" w:rsidRDefault="001C6907" w:rsidP="001C6907">
      <w:pPr>
        <w:pStyle w:val="Heading2"/>
      </w:pPr>
      <w:r>
        <w:t>Why are the changes being made?</w:t>
      </w:r>
    </w:p>
    <w:p w14:paraId="3270381F" w14:textId="0C55B254" w:rsidR="00320BEB" w:rsidRDefault="00320BEB" w:rsidP="00745599">
      <w:pPr>
        <w:rPr>
          <w:highlight w:val="yellow"/>
        </w:rPr>
      </w:pPr>
      <w:r w:rsidRPr="00320BEB">
        <w:t>Currently, usual care in patients with a MTBC infection uses phenotypic antimicrobial drug susceptibility testing, which can take several weeks. W</w:t>
      </w:r>
      <w:r w:rsidR="00874320">
        <w:t>GS</w:t>
      </w:r>
      <w:r w:rsidRPr="00320BEB">
        <w:t xml:space="preserve"> of MTBC gives faster and more accurate results compared to the testing currently used.</w:t>
      </w:r>
      <w:r w:rsidR="00E833ED" w:rsidRPr="0085526F">
        <w:rPr>
          <w:highlight w:val="yellow"/>
        </w:rPr>
        <w:t xml:space="preserve"> </w:t>
      </w:r>
    </w:p>
    <w:p w14:paraId="494AEA71" w14:textId="2E373246" w:rsidR="00320BEB" w:rsidRPr="00320BEB" w:rsidRDefault="00D358E6" w:rsidP="00745599">
      <w:pPr>
        <w:rPr>
          <w:highlight w:val="yellow"/>
        </w:rPr>
      </w:pPr>
      <w:r>
        <w:t>At its</w:t>
      </w:r>
      <w:r w:rsidR="00AC4551">
        <w:t xml:space="preserve"> March – April 2022</w:t>
      </w:r>
      <w:r w:rsidR="00285472">
        <w:t xml:space="preserve"> meeting</w:t>
      </w:r>
      <w:r w:rsidR="00320BEB">
        <w:t xml:space="preserve">, the </w:t>
      </w:r>
      <w:r w:rsidR="00320BEB" w:rsidRPr="00320BEB">
        <w:t xml:space="preserve">Medical Services Advisory Committee (MSAC) supported the creation of </w:t>
      </w:r>
      <w:r w:rsidR="00EA7DB5">
        <w:t xml:space="preserve">a </w:t>
      </w:r>
      <w:r w:rsidR="00320BEB" w:rsidRPr="00320BEB">
        <w:t>new MBS item for</w:t>
      </w:r>
      <w:r w:rsidR="00874320">
        <w:t xml:space="preserve"> WGS testing for patients </w:t>
      </w:r>
      <w:r w:rsidR="00F260CA">
        <w:t xml:space="preserve">at the time of </w:t>
      </w:r>
      <w:r w:rsidR="00874320">
        <w:t>initial diagnosis of MTBC and patients who have</w:t>
      </w:r>
      <w:r w:rsidR="00F260CA">
        <w:t xml:space="preserve"> recurring symptoms or who fail to respond to treatment within the expected timeframe</w:t>
      </w:r>
      <w:r w:rsidR="00CB0FF3">
        <w:t xml:space="preserve"> under MSAC application </w:t>
      </w:r>
      <w:hyperlink r:id="rId7" w:history="1">
        <w:r w:rsidR="00F260CA" w:rsidRPr="00F260CA">
          <w:rPr>
            <w:rStyle w:val="Hyperlink"/>
          </w:rPr>
          <w:t xml:space="preserve">1646 – Whole genome sequencing of antimicrobial-resistant pathogens.    </w:t>
        </w:r>
        <w:r w:rsidR="00874320" w:rsidRPr="00F260CA">
          <w:rPr>
            <w:rStyle w:val="Hyperlink"/>
          </w:rPr>
          <w:t xml:space="preserve">   </w:t>
        </w:r>
      </w:hyperlink>
      <w:r w:rsidR="00320BEB">
        <w:t xml:space="preserve"> </w:t>
      </w:r>
    </w:p>
    <w:p w14:paraId="56ECC97C" w14:textId="47B09058" w:rsidR="001C6907" w:rsidRDefault="001C6907" w:rsidP="001C6907">
      <w:pPr>
        <w:pStyle w:val="Heading2"/>
      </w:pPr>
      <w:r>
        <w:lastRenderedPageBreak/>
        <w:t xml:space="preserve">What does this mean for </w:t>
      </w:r>
      <w:r w:rsidR="005D282C">
        <w:t>request</w:t>
      </w:r>
      <w:r w:rsidR="004810A3">
        <w:t>er</w:t>
      </w:r>
      <w:r w:rsidR="00064231">
        <w:t>s</w:t>
      </w:r>
      <w:r w:rsidR="004810A3">
        <w:t xml:space="preserve"> and</w:t>
      </w:r>
      <w:r w:rsidR="005D282C">
        <w:t xml:space="preserve"> </w:t>
      </w:r>
      <w:r>
        <w:t>providers?</w:t>
      </w:r>
    </w:p>
    <w:p w14:paraId="2ABD124C" w14:textId="70E38194" w:rsidR="00F71522" w:rsidRPr="00834C1C" w:rsidRDefault="00F71522" w:rsidP="00F71522">
      <w:r w:rsidRPr="00834C1C">
        <w:t xml:space="preserve">Specialists who manage patients with </w:t>
      </w:r>
      <w:r w:rsidR="00834C1C" w:rsidRPr="00834C1C">
        <w:t xml:space="preserve">diagnosed MTBC can request WGS drug susceptibility testing to </w:t>
      </w:r>
      <w:proofErr w:type="gramStart"/>
      <w:r w:rsidR="00834C1C" w:rsidRPr="00834C1C">
        <w:t xml:space="preserve">more accurately and </w:t>
      </w:r>
      <w:r w:rsidR="00DA6794">
        <w:t>effectively treat</w:t>
      </w:r>
      <w:r w:rsidR="00834C1C" w:rsidRPr="00834C1C">
        <w:t xml:space="preserve"> the infection</w:t>
      </w:r>
      <w:proofErr w:type="gramEnd"/>
      <w:r w:rsidR="00834C1C" w:rsidRPr="00834C1C">
        <w:t xml:space="preserve">.    </w:t>
      </w:r>
    </w:p>
    <w:p w14:paraId="30AE5344" w14:textId="52E64BDA" w:rsidR="00F71522" w:rsidRPr="00F71522" w:rsidRDefault="00F71522" w:rsidP="00F71522">
      <w:r w:rsidRPr="00406ED3">
        <w:t xml:space="preserve">To be eligible for Medicare </w:t>
      </w:r>
      <w:r w:rsidR="004349E8">
        <w:t>benefit</w:t>
      </w:r>
      <w:r w:rsidRPr="00406ED3">
        <w:t>s, laboratories providing this service must be accredited according to the pathology accreditation standards specified in the</w:t>
      </w:r>
      <w:r w:rsidRPr="00406ED3">
        <w:rPr>
          <w:i/>
          <w:iCs/>
        </w:rPr>
        <w:t xml:space="preserve"> </w:t>
      </w:r>
      <w:hyperlink r:id="rId8" w:history="1">
        <w:r w:rsidRPr="00406ED3">
          <w:rPr>
            <w:rStyle w:val="Hyperlink"/>
            <w:i/>
            <w:iCs/>
          </w:rPr>
          <w:t>Health Insurance (Accredited Pathology Laboratories-Approval) Principles 2017</w:t>
        </w:r>
      </w:hyperlink>
      <w:r w:rsidRPr="00406ED3">
        <w:t>.</w:t>
      </w:r>
    </w:p>
    <w:p w14:paraId="2A20149A" w14:textId="5FA0508C" w:rsidR="001C6907" w:rsidRDefault="001C6907" w:rsidP="00C44236">
      <w:pPr>
        <w:pStyle w:val="Heading2"/>
      </w:pPr>
      <w:r>
        <w:t>How will these changes affect patients</w:t>
      </w:r>
      <w:r w:rsidRPr="001A7FB7">
        <w:t>?</w:t>
      </w:r>
    </w:p>
    <w:p w14:paraId="4D0D75A0" w14:textId="2E79A1F5" w:rsidR="007666EA" w:rsidRDefault="00E5433C" w:rsidP="00F71522">
      <w:r w:rsidRPr="00406ED3">
        <w:t xml:space="preserve">The </w:t>
      </w:r>
      <w:r w:rsidR="00F71522" w:rsidRPr="00406ED3">
        <w:t xml:space="preserve">listing of this service will lead to more rapid </w:t>
      </w:r>
      <w:r w:rsidR="00406ED3">
        <w:t>identification of antimicrobial resistance markers (</w:t>
      </w:r>
      <w:proofErr w:type="spellStart"/>
      <w:r w:rsidR="00406ED3">
        <w:t>resistome</w:t>
      </w:r>
      <w:proofErr w:type="spellEnd"/>
      <w:r w:rsidR="00406ED3">
        <w:t xml:space="preserve">) </w:t>
      </w:r>
      <w:r w:rsidR="00F71522" w:rsidRPr="00406ED3">
        <w:t>and better targeted treatment, in order to improve patient outcomes.</w:t>
      </w:r>
    </w:p>
    <w:p w14:paraId="12CED92F" w14:textId="77777777" w:rsidR="00EA7DB5" w:rsidRDefault="00EA7DB5" w:rsidP="00EA7DB5">
      <w:pPr>
        <w:pStyle w:val="Heading2"/>
      </w:pPr>
      <w:r w:rsidRPr="001A7FB7">
        <w:t>Who was consulted on the changes?</w:t>
      </w:r>
    </w:p>
    <w:p w14:paraId="246E95F3" w14:textId="4A41C4B7" w:rsidR="00EA7DB5" w:rsidRDefault="00EA7DB5" w:rsidP="00EA7DB5">
      <w:r>
        <w:t>Consultation was undertaken with the National Aboriginal Community Controlled Health Organisation (NACCHO), as amongst Australian-born people tuberculosis occurs at higher rates in Aboriginal and Torres Strait Islander populations than in the non-indigenous population. Through the MSAC public consultation process</w:t>
      </w:r>
      <w:r w:rsidR="00CB0FF3">
        <w:t>,</w:t>
      </w:r>
      <w:r>
        <w:t xml:space="preserve"> input was also received from the Australian Commission on Safety and Quality in Health Care (ACSQHC) and the Thoracic Society of Australia and New Zealand (TSANZ).</w:t>
      </w:r>
    </w:p>
    <w:p w14:paraId="11536E73" w14:textId="77777777" w:rsidR="001C6907" w:rsidRDefault="001C6907" w:rsidP="001C6907">
      <w:pPr>
        <w:pStyle w:val="Heading2"/>
      </w:pPr>
      <w:r w:rsidRPr="001A7FB7">
        <w:t>How will the changes be monitored</w:t>
      </w:r>
      <w:r>
        <w:t xml:space="preserve"> and reviewed</w:t>
      </w:r>
      <w:r w:rsidRPr="001A7FB7">
        <w:t>?</w:t>
      </w:r>
    </w:p>
    <w:p w14:paraId="48C0E7E0" w14:textId="77777777" w:rsidR="001C6907" w:rsidRDefault="001C6907" w:rsidP="001C6907">
      <w:r w:rsidRPr="00BD1F94">
        <w:t>All MBS items are subject to compliance processes and activities, including random and targeted audits which may require a provider to submit evidence about the services claimed.</w:t>
      </w:r>
      <w:r w:rsidRPr="00644250">
        <w:t xml:space="preserve"> </w:t>
      </w:r>
    </w:p>
    <w:p w14:paraId="42A90415" w14:textId="77777777" w:rsidR="001C6907" w:rsidRDefault="001C6907" w:rsidP="001C6907">
      <w:pPr>
        <w:pStyle w:val="Heading2"/>
      </w:pPr>
      <w:r>
        <w:t>Where can I find more information?</w:t>
      </w:r>
    </w:p>
    <w:p w14:paraId="6AAA11AD" w14:textId="363DAFF5" w:rsidR="001C6907" w:rsidRPr="0085526F" w:rsidRDefault="001C6907" w:rsidP="001C6907">
      <w:pPr>
        <w:rPr>
          <w:highlight w:val="yellow"/>
        </w:rPr>
      </w:pPr>
      <w:r w:rsidRPr="00BD1F94">
        <w:t xml:space="preserve">The </w:t>
      </w:r>
      <w:r w:rsidR="00F71522" w:rsidRPr="00BD1F94">
        <w:t>full</w:t>
      </w:r>
      <w:r w:rsidRPr="00BD1F94">
        <w:t xml:space="preserve"> item descriptors and information on other changes to the MBS </w:t>
      </w:r>
      <w:r w:rsidR="00AA2A83" w:rsidRPr="00BD1F94">
        <w:t>will be available</w:t>
      </w:r>
      <w:r w:rsidRPr="00BD1F94">
        <w:t xml:space="preserve"> on the MBS Online website at </w:t>
      </w:r>
      <w:hyperlink r:id="rId9" w:history="1">
        <w:r w:rsidRPr="00BD1F94">
          <w:rPr>
            <w:rStyle w:val="Hyperlink"/>
          </w:rPr>
          <w:t>www.mbsonline.gov.au</w:t>
        </w:r>
      </w:hyperlink>
      <w:r w:rsidRPr="00BD1F94">
        <w:rPr>
          <w:rStyle w:val="Hyperlink"/>
        </w:rPr>
        <w:t>.</w:t>
      </w:r>
      <w:r w:rsidRPr="00BD1F94">
        <w:t xml:space="preserve"> You can also subscribe to future updates by visiting </w:t>
      </w:r>
      <w:hyperlink r:id="rId10" w:history="1">
        <w:r w:rsidRPr="00BD1F94">
          <w:rPr>
            <w:rStyle w:val="Hyperlink"/>
          </w:rPr>
          <w:t>MBS Online</w:t>
        </w:r>
      </w:hyperlink>
      <w:r w:rsidRPr="00BD1F94">
        <w:t xml:space="preserve"> and clicking ‘Subscribe’. </w:t>
      </w:r>
    </w:p>
    <w:p w14:paraId="197513E9" w14:textId="32AE8B29" w:rsidR="001C6907" w:rsidRPr="0085526F" w:rsidRDefault="001C6907" w:rsidP="001C6907">
      <w:pPr>
        <w:rPr>
          <w:highlight w:val="yellow"/>
        </w:rPr>
      </w:pPr>
      <w:r w:rsidRPr="00BD1F94">
        <w:t xml:space="preserve">The Department of Health and Aged Care provides an email advice service for providers seeking advice on interpretation of the MBS items and rules and the </w:t>
      </w:r>
      <w:r w:rsidRPr="00BD1F94">
        <w:rPr>
          <w:i/>
          <w:iCs/>
        </w:rPr>
        <w:t xml:space="preserve">Health Insurance Act </w:t>
      </w:r>
      <w:r w:rsidR="00266857" w:rsidRPr="00BD1F94">
        <w:rPr>
          <w:i/>
          <w:iCs/>
        </w:rPr>
        <w:t>1973</w:t>
      </w:r>
      <w:r w:rsidR="00266857" w:rsidRPr="00BD1F94">
        <w:t xml:space="preserve"> </w:t>
      </w:r>
      <w:r w:rsidRPr="00BD1F94">
        <w:t>and associated regulation</w:t>
      </w:r>
      <w:r w:rsidRPr="00411A0A">
        <w:t>s. If you have a query relating exclusively to interpretation of the Schedule</w:t>
      </w:r>
      <w:r w:rsidR="00075C7F" w:rsidRPr="00411A0A">
        <w:t xml:space="preserve">, or to these changes after they come into effect on 1 </w:t>
      </w:r>
      <w:r w:rsidR="00DA6794">
        <w:t>July</w:t>
      </w:r>
      <w:r w:rsidR="00075C7F" w:rsidRPr="00411A0A">
        <w:t xml:space="preserve"> 202</w:t>
      </w:r>
      <w:r w:rsidR="00DA6794">
        <w:t>3</w:t>
      </w:r>
      <w:r w:rsidR="00075C7F" w:rsidRPr="00411A0A">
        <w:t>,</w:t>
      </w:r>
      <w:r w:rsidR="001667FD" w:rsidRPr="00411A0A">
        <w:t xml:space="preserve"> please</w:t>
      </w:r>
      <w:r w:rsidRPr="00411A0A">
        <w:t xml:space="preserve"> email </w:t>
      </w:r>
      <w:hyperlink r:id="rId11" w:history="1">
        <w:r w:rsidRPr="00411A0A">
          <w:rPr>
            <w:rStyle w:val="Hyperlink"/>
          </w:rPr>
          <w:t>askMBS@health.gov.au</w:t>
        </w:r>
      </w:hyperlink>
      <w:r w:rsidRPr="00411A0A">
        <w:t>.</w:t>
      </w:r>
    </w:p>
    <w:p w14:paraId="3B898100" w14:textId="1C7A2652" w:rsidR="001C6907" w:rsidRPr="00BD1F94" w:rsidRDefault="001C6907" w:rsidP="001C6907">
      <w:r w:rsidRPr="00BD1F94">
        <w:t>Subscribe to ‘</w:t>
      </w:r>
      <w:hyperlink r:id="rId12" w:history="1">
        <w:r w:rsidRPr="00BD1F94">
          <w:rPr>
            <w:rStyle w:val="Hyperlink"/>
          </w:rPr>
          <w:t>News for Health Professionals</w:t>
        </w:r>
      </w:hyperlink>
      <w:r w:rsidRPr="00BD1F94">
        <w:t>’ on the Services Australia website to receive regular news highlights.</w:t>
      </w:r>
    </w:p>
    <w:p w14:paraId="2526AF0C" w14:textId="77777777" w:rsidR="001C6907" w:rsidRPr="00BD1F94" w:rsidRDefault="001C6907" w:rsidP="001C6907">
      <w:r w:rsidRPr="00BD1F94">
        <w:t xml:space="preserve">If you are seeking advice in relation to Medicare billing, claiming, payments, or obtaining a provider number, please </w:t>
      </w:r>
      <w:bookmarkStart w:id="3" w:name="_Hlk7773414"/>
      <w:r w:rsidRPr="00BD1F94">
        <w:t xml:space="preserve">go to the Health Professionals page on the Services Australia website or </w:t>
      </w:r>
      <w:bookmarkEnd w:id="3"/>
      <w:r w:rsidRPr="00BD1F94">
        <w:t xml:space="preserve">contact Services Australia on the Provider Enquiry Line – 13 21 50. </w:t>
      </w:r>
    </w:p>
    <w:p w14:paraId="24ECFC65" w14:textId="35EDFF97" w:rsidR="00CB0FF3" w:rsidRDefault="001C6907" w:rsidP="00CB0FF3">
      <w:r w:rsidRPr="00BD1F94">
        <w:t xml:space="preserve">The data file for software vendors will be available via the MBS Online website under the </w:t>
      </w:r>
      <w:hyperlink r:id="rId13" w:history="1">
        <w:r w:rsidRPr="00BD1F94">
          <w:rPr>
            <w:rStyle w:val="Hyperlink"/>
          </w:rPr>
          <w:t>Downloads</w:t>
        </w:r>
      </w:hyperlink>
      <w:r w:rsidRPr="00BD1F94">
        <w:t xml:space="preserve"> page.</w:t>
      </w:r>
    </w:p>
    <w:p w14:paraId="6EA81AC0" w14:textId="36F59FC3" w:rsidR="00EA7DB5" w:rsidRPr="00B72C84" w:rsidRDefault="00CB0FF3" w:rsidP="00EA7DB5">
      <w:pPr>
        <w:pStyle w:val="Tabletextleft"/>
        <w:rPr>
          <w:rFonts w:cs="Arial"/>
          <w:b/>
          <w:bCs/>
          <w:iCs/>
          <w:color w:val="358189"/>
          <w:sz w:val="36"/>
          <w:szCs w:val="28"/>
        </w:rPr>
      </w:pPr>
      <w:r>
        <w:rPr>
          <w:rFonts w:cs="Arial"/>
          <w:b/>
          <w:bCs/>
          <w:iCs/>
          <w:color w:val="358189"/>
          <w:sz w:val="36"/>
          <w:szCs w:val="28"/>
        </w:rPr>
        <w:lastRenderedPageBreak/>
        <w:t xml:space="preserve">Attachment A: </w:t>
      </w:r>
      <w:r w:rsidR="007F4082">
        <w:rPr>
          <w:rFonts w:cs="Arial"/>
          <w:b/>
          <w:bCs/>
          <w:iCs/>
          <w:color w:val="358189"/>
          <w:sz w:val="36"/>
          <w:szCs w:val="28"/>
        </w:rPr>
        <w:t>New i</w:t>
      </w:r>
      <w:r w:rsidR="00EA7DB5" w:rsidRPr="00B72C84">
        <w:rPr>
          <w:rFonts w:cs="Arial"/>
          <w:b/>
          <w:bCs/>
          <w:iCs/>
          <w:color w:val="358189"/>
          <w:sz w:val="36"/>
          <w:szCs w:val="28"/>
        </w:rPr>
        <w:t>tem</w:t>
      </w:r>
      <w:r w:rsidR="00EA7DB5">
        <w:t xml:space="preserve"> </w:t>
      </w:r>
      <w:r w:rsidR="00EA7DB5" w:rsidRPr="00B72C84">
        <w:rPr>
          <w:rFonts w:cs="Arial"/>
          <w:b/>
          <w:bCs/>
          <w:iCs/>
          <w:color w:val="358189"/>
          <w:sz w:val="36"/>
          <w:szCs w:val="28"/>
        </w:rPr>
        <w:t>descriptor</w:t>
      </w:r>
      <w:r w:rsidR="0006372D">
        <w:rPr>
          <w:rFonts w:cs="Arial"/>
          <w:b/>
          <w:bCs/>
          <w:iCs/>
          <w:color w:val="358189"/>
          <w:sz w:val="36"/>
          <w:szCs w:val="28"/>
        </w:rPr>
        <w:t xml:space="preserve"> </w:t>
      </w:r>
      <w:r w:rsidR="00EA7DB5">
        <w:rPr>
          <w:rFonts w:cs="Arial"/>
          <w:b/>
          <w:bCs/>
          <w:iCs/>
          <w:color w:val="358189"/>
          <w:sz w:val="36"/>
          <w:szCs w:val="28"/>
        </w:rPr>
        <w:t>(</w:t>
      </w:r>
      <w:r w:rsidR="00092B22">
        <w:rPr>
          <w:rFonts w:cs="Arial"/>
          <w:b/>
          <w:bCs/>
          <w:iCs/>
          <w:color w:val="358189"/>
          <w:sz w:val="36"/>
          <w:szCs w:val="28"/>
        </w:rPr>
        <w:t xml:space="preserve">to take </w:t>
      </w:r>
      <w:r w:rsidR="00EA7DB5">
        <w:rPr>
          <w:rFonts w:cs="Arial"/>
          <w:b/>
          <w:bCs/>
          <w:iCs/>
          <w:color w:val="358189"/>
          <w:sz w:val="36"/>
          <w:szCs w:val="28"/>
        </w:rPr>
        <w:t>effect 1 July 2023)</w:t>
      </w:r>
    </w:p>
    <w:tbl>
      <w:tblPr>
        <w:tblStyle w:val="GridTable4-Accent2"/>
        <w:tblW w:w="0" w:type="auto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EA7DB5" w14:paraId="10967449" w14:textId="77777777" w:rsidTr="00554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hideMark/>
          </w:tcPr>
          <w:p w14:paraId="42173D46" w14:textId="77777777" w:rsidR="00EA7DB5" w:rsidRDefault="00EA7DB5" w:rsidP="00554D68">
            <w:pPr>
              <w:rPr>
                <w:b w:val="0"/>
                <w:bCs w:val="0"/>
                <w:lang w:eastAsia="en-AU"/>
              </w:rPr>
            </w:pPr>
            <w:bookmarkStart w:id="4" w:name="_Hlk118987208"/>
            <w:r>
              <w:rPr>
                <w:lang w:eastAsia="en-AU"/>
              </w:rPr>
              <w:t xml:space="preserve">Category 6 </w:t>
            </w:r>
            <w:r>
              <w:rPr>
                <w:lang w:eastAsia="en-AU"/>
              </w:rPr>
              <w:softHyphen/>
              <w:t>– Pathology Services</w:t>
            </w:r>
          </w:p>
        </w:tc>
      </w:tr>
      <w:tr w:rsidR="00EA7DB5" w14:paraId="192B058C" w14:textId="77777777" w:rsidTr="00554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74C1C9" w:themeColor="accent2" w:themeTint="99"/>
              <w:left w:val="single" w:sz="4" w:space="0" w:color="74C1C9" w:themeColor="accent2" w:themeTint="99"/>
              <w:bottom w:val="single" w:sz="4" w:space="0" w:color="74C1C9" w:themeColor="accent2" w:themeTint="99"/>
              <w:right w:val="single" w:sz="4" w:space="0" w:color="74C1C9" w:themeColor="accent2" w:themeTint="99"/>
            </w:tcBorders>
            <w:hideMark/>
          </w:tcPr>
          <w:p w14:paraId="76F7BD6D" w14:textId="1CE81D50" w:rsidR="00EA7DB5" w:rsidRDefault="00EA7DB5" w:rsidP="00554D68">
            <w:pPr>
              <w:rPr>
                <w:b w:val="0"/>
                <w:bCs w:val="0"/>
                <w:lang w:eastAsia="en-AU"/>
              </w:rPr>
            </w:pPr>
            <w:r>
              <w:rPr>
                <w:lang w:eastAsia="en-AU"/>
              </w:rPr>
              <w:t>Group P3 - Microbiology</w:t>
            </w:r>
          </w:p>
        </w:tc>
      </w:tr>
      <w:tr w:rsidR="00EA7DB5" w14:paraId="3118E44B" w14:textId="77777777" w:rsidTr="00554D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0" w:type="dxa"/>
            <w:tcBorders>
              <w:top w:val="single" w:sz="4" w:space="0" w:color="74C1C9" w:themeColor="accent2" w:themeTint="99"/>
              <w:left w:val="single" w:sz="4" w:space="0" w:color="74C1C9" w:themeColor="accent2" w:themeTint="99"/>
              <w:bottom w:val="single" w:sz="4" w:space="0" w:color="74C1C9" w:themeColor="accent2" w:themeTint="99"/>
              <w:right w:val="single" w:sz="4" w:space="0" w:color="74C1C9" w:themeColor="accent2" w:themeTint="99"/>
            </w:tcBorders>
          </w:tcPr>
          <w:p w14:paraId="22808495" w14:textId="6955CB30" w:rsidR="00EA7DB5" w:rsidRDefault="00EA7DB5" w:rsidP="00554D68">
            <w:pPr>
              <w:spacing w:after="0" w:line="221" w:lineRule="atLeast"/>
              <w:rPr>
                <w:rFonts w:cstheme="minorHAnsi"/>
                <w:szCs w:val="22"/>
              </w:rPr>
            </w:pPr>
            <w:r>
              <w:rPr>
                <w:rFonts w:cstheme="minorHAnsi"/>
                <w:b w:val="0"/>
                <w:bCs w:val="0"/>
                <w:szCs w:val="22"/>
              </w:rPr>
              <w:t>69505</w:t>
            </w:r>
          </w:p>
          <w:p w14:paraId="4E63E60B" w14:textId="77777777" w:rsidR="00EA7DB5" w:rsidRPr="00EA7DB5" w:rsidRDefault="00EA7DB5" w:rsidP="00EA7DB5">
            <w:pPr>
              <w:pStyle w:val="tabletext0"/>
              <w:shd w:val="clear" w:color="auto" w:fill="FFFFFF"/>
              <w:spacing w:before="60" w:after="0" w:line="240" w:lineRule="atLeast"/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</w:pPr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Sequencing and analysis of the genome of mycobacterium tuberculosis complex from an isolate or nucleic acid extract:</w:t>
            </w:r>
          </w:p>
          <w:p w14:paraId="697D1E9E" w14:textId="77777777" w:rsidR="00EA7DB5" w:rsidRPr="00EA7DB5" w:rsidRDefault="00EA7DB5" w:rsidP="00EA7DB5">
            <w:pPr>
              <w:pStyle w:val="tabletext0"/>
              <w:shd w:val="clear" w:color="auto" w:fill="FFFFFF"/>
              <w:spacing w:before="60" w:after="0" w:line="240" w:lineRule="atLeast"/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</w:pPr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(a) to speciate the organism:</w:t>
            </w:r>
          </w:p>
          <w:p w14:paraId="000C7F73" w14:textId="77777777" w:rsidR="00EA7DB5" w:rsidRPr="00EA7DB5" w:rsidRDefault="00EA7DB5" w:rsidP="00EA7DB5">
            <w:pPr>
              <w:pStyle w:val="tabletext0"/>
              <w:shd w:val="clear" w:color="auto" w:fill="FFFFFF"/>
              <w:spacing w:before="60" w:after="0" w:line="240" w:lineRule="atLeast"/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</w:pPr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(</w:t>
            </w:r>
            <w:proofErr w:type="spellStart"/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i</w:t>
            </w:r>
            <w:proofErr w:type="spellEnd"/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) at the time of a patient’s initial diagnosis and commencement of initial empiric therapy; or</w:t>
            </w:r>
          </w:p>
          <w:p w14:paraId="7A820F67" w14:textId="77777777" w:rsidR="00EA7DB5" w:rsidRPr="00EA7DB5" w:rsidRDefault="00EA7DB5" w:rsidP="00EA7DB5">
            <w:pPr>
              <w:pStyle w:val="tabletext0"/>
              <w:shd w:val="clear" w:color="auto" w:fill="FFFFFF"/>
              <w:spacing w:before="60" w:after="0" w:line="240" w:lineRule="atLeast"/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</w:pPr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(ii) following recurrence of a patient’s symptoms or a patient’s failure to respond to treatment within the expected timeframe; and</w:t>
            </w:r>
          </w:p>
          <w:p w14:paraId="6A95DE33" w14:textId="77777777" w:rsidR="00EA7DB5" w:rsidRPr="00EA7DB5" w:rsidRDefault="00EA7DB5" w:rsidP="00EA7DB5">
            <w:pPr>
              <w:pStyle w:val="tabletext0"/>
              <w:shd w:val="clear" w:color="auto" w:fill="FFFFFF"/>
              <w:spacing w:before="60" w:after="0" w:line="240" w:lineRule="atLeast"/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</w:pPr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(b) for the purpose of:</w:t>
            </w:r>
          </w:p>
          <w:p w14:paraId="127A34DB" w14:textId="77777777" w:rsidR="00EA7DB5" w:rsidRPr="00EA7DB5" w:rsidRDefault="00EA7DB5" w:rsidP="00EA7DB5">
            <w:pPr>
              <w:pStyle w:val="tabletext0"/>
              <w:shd w:val="clear" w:color="auto" w:fill="FFFFFF"/>
              <w:spacing w:before="60" w:after="0" w:line="240" w:lineRule="atLeast"/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</w:pPr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(</w:t>
            </w:r>
            <w:proofErr w:type="spellStart"/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i</w:t>
            </w:r>
            <w:proofErr w:type="spellEnd"/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) genome wide determination of the antimicrobial resistance markers (</w:t>
            </w:r>
            <w:proofErr w:type="spellStart"/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resistome</w:t>
            </w:r>
            <w:proofErr w:type="spellEnd"/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) of the isolate; and</w:t>
            </w:r>
          </w:p>
          <w:p w14:paraId="754A5F5E" w14:textId="77777777" w:rsidR="00EA7DB5" w:rsidRPr="00EA7DB5" w:rsidRDefault="00EA7DB5" w:rsidP="00EA7DB5">
            <w:pPr>
              <w:pStyle w:val="tabletext0"/>
              <w:shd w:val="clear" w:color="auto" w:fill="FFFFFF"/>
              <w:spacing w:before="60" w:after="0" w:line="240" w:lineRule="atLeast"/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</w:pPr>
            <w:r w:rsidRPr="00EA7DB5">
              <w:rPr>
                <w:rFonts w:ascii="Arial" w:hAnsi="Arial"/>
                <w:b w:val="0"/>
                <w:bCs w:val="0"/>
                <w:color w:val="000000" w:themeColor="text1"/>
                <w:sz w:val="22"/>
                <w:lang w:eastAsia="en-US"/>
              </w:rPr>
              <w:t>(ii) individualising the patient’s treatment</w:t>
            </w:r>
          </w:p>
          <w:p w14:paraId="7EAC303C" w14:textId="45630C3C" w:rsidR="00EA7DB5" w:rsidRPr="00C56865" w:rsidRDefault="00EA7DB5" w:rsidP="00EA7DB5">
            <w:pPr>
              <w:pStyle w:val="Tabletextleft"/>
              <w:spacing w:after="240"/>
              <w:rPr>
                <w:sz w:val="22"/>
              </w:rPr>
            </w:pPr>
            <w:r w:rsidRPr="00EA7DB5">
              <w:rPr>
                <w:b w:val="0"/>
                <w:bCs w:val="0"/>
                <w:sz w:val="22"/>
              </w:rPr>
              <w:t>Applicable once at initial diagnosis and once per episode of disease recurrence</w:t>
            </w:r>
          </w:p>
          <w:p w14:paraId="492FE275" w14:textId="2A118F1E" w:rsidR="00EA7DB5" w:rsidRDefault="00EA7DB5" w:rsidP="00EA7DB5">
            <w:pPr>
              <w:pStyle w:val="Tabletextleft"/>
              <w:spacing w:after="240"/>
            </w:pPr>
            <w:r w:rsidRPr="009F0F5E">
              <w:t>MBS Fee</w:t>
            </w:r>
            <w:r w:rsidRPr="00247680">
              <w:t>:</w:t>
            </w:r>
            <w:r>
              <w:t xml:space="preserve"> </w:t>
            </w:r>
            <w:r w:rsidRPr="005C7ED3">
              <w:rPr>
                <w:b w:val="0"/>
                <w:bCs w:val="0"/>
                <w:sz w:val="22"/>
              </w:rPr>
              <w:t>$</w:t>
            </w:r>
            <w:r>
              <w:rPr>
                <w:b w:val="0"/>
                <w:bCs w:val="0"/>
                <w:sz w:val="22"/>
              </w:rPr>
              <w:t>150.00</w:t>
            </w:r>
          </w:p>
          <w:p w14:paraId="2FECF8FE" w14:textId="5DB0593B" w:rsidR="00EA7DB5" w:rsidRPr="003F38C3" w:rsidRDefault="00EA7DB5" w:rsidP="003F38C3">
            <w:r w:rsidRPr="009F0F5E">
              <w:t>Benefit</w:t>
            </w:r>
            <w:r w:rsidRPr="00247680">
              <w:t xml:space="preserve">: </w:t>
            </w:r>
            <w:r w:rsidRPr="005C7ED3">
              <w:rPr>
                <w:b w:val="0"/>
                <w:bCs w:val="0"/>
              </w:rPr>
              <w:t>75% = $</w:t>
            </w:r>
            <w:r>
              <w:rPr>
                <w:b w:val="0"/>
                <w:bCs w:val="0"/>
              </w:rPr>
              <w:t>112.50</w:t>
            </w:r>
            <w:r w:rsidR="003F38C3">
              <w:rPr>
                <w:b w:val="0"/>
                <w:bCs w:val="0"/>
              </w:rPr>
              <w:t xml:space="preserve">  </w:t>
            </w:r>
            <w:r w:rsidRPr="005C7ED3">
              <w:rPr>
                <w:b w:val="0"/>
                <w:bCs w:val="0"/>
              </w:rPr>
              <w:t>85% = $</w:t>
            </w:r>
            <w:r>
              <w:rPr>
                <w:b w:val="0"/>
                <w:bCs w:val="0"/>
              </w:rPr>
              <w:t>127.50</w:t>
            </w:r>
          </w:p>
        </w:tc>
        <w:bookmarkEnd w:id="4"/>
      </w:tr>
    </w:tbl>
    <w:p w14:paraId="567B7330" w14:textId="3B9636E9" w:rsidR="00CB0FF3" w:rsidRPr="009040E9" w:rsidRDefault="00CB0FF3" w:rsidP="009040E9">
      <w:pPr>
        <w:pStyle w:val="Tabletext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5C56DB" wp14:editId="7AF80CCA">
            <wp:simplePos x="0" y="0"/>
            <wp:positionH relativeFrom="page">
              <wp:posOffset>885190</wp:posOffset>
            </wp:positionH>
            <wp:positionV relativeFrom="paragraph">
              <wp:posOffset>306705</wp:posOffset>
            </wp:positionV>
            <wp:extent cx="5358765" cy="1314450"/>
            <wp:effectExtent l="0" t="0" r="0" b="0"/>
            <wp:wrapTopAndBottom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59" r="6905" b="16506"/>
                    <a:stretch/>
                  </pic:blipFill>
                  <pic:spPr bwMode="auto">
                    <a:xfrm>
                      <a:off x="0" y="0"/>
                      <a:ext cx="535876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B0FF3" w:rsidRPr="009040E9" w:rsidSect="00B53987"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33F1" w14:textId="77777777" w:rsidR="00C91BC5" w:rsidRDefault="00C91BC5" w:rsidP="006B56BB">
      <w:r>
        <w:separator/>
      </w:r>
    </w:p>
    <w:p w14:paraId="037877E0" w14:textId="77777777" w:rsidR="00C91BC5" w:rsidRDefault="00C91BC5"/>
  </w:endnote>
  <w:endnote w:type="continuationSeparator" w:id="0">
    <w:p w14:paraId="4B6DA0E7" w14:textId="77777777" w:rsidR="00C91BC5" w:rsidRDefault="00C91BC5" w:rsidP="006B56BB">
      <w:r>
        <w:continuationSeparator/>
      </w:r>
    </w:p>
    <w:p w14:paraId="47C291EA" w14:textId="77777777" w:rsidR="00C91BC5" w:rsidRDefault="00C91BC5"/>
  </w:endnote>
  <w:endnote w:type="continuationNotice" w:id="1">
    <w:p w14:paraId="41F1AAB9" w14:textId="77777777" w:rsidR="00C91BC5" w:rsidRDefault="00C91B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24D8F" w14:textId="77777777" w:rsidR="00AB41ED" w:rsidRDefault="00AB41ED" w:rsidP="00AB41ED">
    <w:pPr>
      <w:pStyle w:val="Footer"/>
      <w:jc w:val="left"/>
    </w:pPr>
    <w:r>
      <w:t>Medicare Benefits Schedule</w:t>
    </w:r>
  </w:p>
  <w:p w14:paraId="2AD6419D" w14:textId="77777777" w:rsidR="00AB41ED" w:rsidRDefault="00AB41ED" w:rsidP="00AB41ED">
    <w:pPr>
      <w:pStyle w:val="Footer"/>
      <w:tabs>
        <w:tab w:val="clear" w:pos="9026"/>
        <w:tab w:val="right" w:pos="10466"/>
      </w:tabs>
      <w:jc w:val="left"/>
    </w:pPr>
    <w:r w:rsidRPr="00AB41ED">
      <w:rPr>
        <w:b/>
      </w:rPr>
      <w:t>New pathology MBS item for antimicrobial drug susceptibility testing for Mycobacterium tuberculosis complex (MTBC)</w:t>
    </w:r>
    <w:sdt>
      <w:sdtPr>
        <w:id w:val="4425861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-1070572994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518968892"/>
                <w:docPartObj>
                  <w:docPartGallery w:val="Page Numbers (Top of Page)"/>
                  <w:docPartUnique/>
                </w:docPartObj>
              </w:sdtPr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3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789FF5A1" w14:textId="77777777" w:rsidR="00AB41ED" w:rsidRDefault="00AB41ED" w:rsidP="00AB41ED">
    <w:pPr>
      <w:pStyle w:val="Footer"/>
      <w:jc w:val="left"/>
      <w:rPr>
        <w:rStyle w:val="Hyperlink"/>
        <w:szCs w:val="18"/>
      </w:rPr>
    </w:pPr>
    <w:hyperlink r:id="rId1" w:history="1">
      <w:r w:rsidRPr="00E863C4">
        <w:rPr>
          <w:rStyle w:val="Hyperlink"/>
          <w:szCs w:val="18"/>
        </w:rPr>
        <w:t>MBS Online</w:t>
      </w:r>
    </w:hyperlink>
  </w:p>
  <w:p w14:paraId="1D2EEEB8" w14:textId="33D3B0B0" w:rsidR="00AB41ED" w:rsidRDefault="00AB41ED" w:rsidP="00AB41ED">
    <w:pPr>
      <w:pStyle w:val="Footer"/>
      <w:jc w:val="left"/>
    </w:pPr>
    <w:r w:rsidRPr="00870B05">
      <w:t>Last updated</w:t>
    </w:r>
    <w:r>
      <w:t xml:space="preserve"> – 4 May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3129" w14:textId="77777777" w:rsidR="00AB41ED" w:rsidRDefault="00AB41ED" w:rsidP="00AB41ED">
    <w:pPr>
      <w:pStyle w:val="Footer"/>
      <w:jc w:val="left"/>
    </w:pPr>
    <w:r>
      <w:t>Medicare Benefits Schedule</w:t>
    </w:r>
  </w:p>
  <w:p w14:paraId="507DE3A3" w14:textId="70D571DA" w:rsidR="00AB41ED" w:rsidRDefault="00AB41ED" w:rsidP="00AB41ED">
    <w:pPr>
      <w:pStyle w:val="Footer"/>
      <w:tabs>
        <w:tab w:val="clear" w:pos="9026"/>
        <w:tab w:val="right" w:pos="10466"/>
      </w:tabs>
      <w:jc w:val="left"/>
    </w:pPr>
    <w:r w:rsidRPr="00AB41ED">
      <w:rPr>
        <w:b/>
      </w:rPr>
      <w:t>New pathology MBS item for antimicrobial drug susceptibility testing for Mycobacterium tuberculosis complex (MTBC)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Content>
                <w:r w:rsidRPr="00F546CA">
                  <w:t xml:space="preserve">Page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PAGE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1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  <w:r w:rsidRPr="00F546CA">
                  <w:t xml:space="preserve"> of </w:t>
                </w:r>
                <w:r w:rsidRPr="00F546CA">
                  <w:rPr>
                    <w:bCs/>
                    <w:sz w:val="24"/>
                  </w:rPr>
                  <w:fldChar w:fldCharType="begin"/>
                </w:r>
                <w:r w:rsidRPr="00F546CA">
                  <w:rPr>
                    <w:bCs/>
                  </w:rPr>
                  <w:instrText xml:space="preserve"> NUMPAGES  </w:instrText>
                </w:r>
                <w:r w:rsidRPr="00F546CA">
                  <w:rPr>
                    <w:bCs/>
                    <w:sz w:val="24"/>
                  </w:rPr>
                  <w:fldChar w:fldCharType="separate"/>
                </w:r>
                <w:r>
                  <w:rPr>
                    <w:bCs/>
                    <w:sz w:val="24"/>
                  </w:rPr>
                  <w:t>5</w:t>
                </w:r>
                <w:r w:rsidRPr="00F546CA">
                  <w:rPr>
                    <w:bCs/>
                    <w:sz w:val="24"/>
                  </w:rPr>
                  <w:fldChar w:fldCharType="end"/>
                </w:r>
              </w:sdtContent>
            </w:sdt>
          </w:sdtContent>
        </w:sdt>
        <w:r>
          <w:t xml:space="preserve"> </w:t>
        </w:r>
      </w:sdtContent>
    </w:sdt>
  </w:p>
  <w:p w14:paraId="0892B3DE" w14:textId="77777777" w:rsidR="00AB41ED" w:rsidRDefault="00AB41ED" w:rsidP="00AB41ED">
    <w:pPr>
      <w:pStyle w:val="Footer"/>
      <w:jc w:val="left"/>
      <w:rPr>
        <w:rStyle w:val="Hyperlink"/>
        <w:szCs w:val="18"/>
      </w:rPr>
    </w:pPr>
    <w:hyperlink r:id="rId1" w:history="1">
      <w:r w:rsidRPr="00E863C4">
        <w:rPr>
          <w:rStyle w:val="Hyperlink"/>
          <w:szCs w:val="18"/>
        </w:rPr>
        <w:t>MBS Online</w:t>
      </w:r>
    </w:hyperlink>
  </w:p>
  <w:p w14:paraId="6B626B7D" w14:textId="5A138A3B" w:rsidR="00AB41ED" w:rsidRDefault="00AB41ED" w:rsidP="00AB41ED">
    <w:pPr>
      <w:pStyle w:val="Footer"/>
      <w:jc w:val="left"/>
    </w:pPr>
    <w:r w:rsidRPr="00870B05">
      <w:t>Last updated</w:t>
    </w:r>
    <w:r>
      <w:t xml:space="preserve"> – </w:t>
    </w:r>
    <w:r>
      <w:t>4 May</w:t>
    </w:r>
    <w: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05975" w14:textId="77777777" w:rsidR="00C91BC5" w:rsidRDefault="00C91BC5" w:rsidP="006B56BB">
      <w:r>
        <w:separator/>
      </w:r>
    </w:p>
    <w:p w14:paraId="57B4CF65" w14:textId="77777777" w:rsidR="00C91BC5" w:rsidRDefault="00C91BC5"/>
  </w:footnote>
  <w:footnote w:type="continuationSeparator" w:id="0">
    <w:p w14:paraId="67073FDE" w14:textId="77777777" w:rsidR="00C91BC5" w:rsidRDefault="00C91BC5" w:rsidP="006B56BB">
      <w:r>
        <w:continuationSeparator/>
      </w:r>
    </w:p>
    <w:p w14:paraId="1C2A2169" w14:textId="77777777" w:rsidR="00C91BC5" w:rsidRDefault="00C91BC5"/>
  </w:footnote>
  <w:footnote w:type="continuationNotice" w:id="1">
    <w:p w14:paraId="04583672" w14:textId="77777777" w:rsidR="00C91BC5" w:rsidRDefault="00C91B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A0363" w14:textId="640DDD1F" w:rsidR="00AB41ED" w:rsidRDefault="00AB41ED">
    <w:pPr>
      <w:pStyle w:val="Header"/>
    </w:pPr>
    <w:r>
      <w:rPr>
        <w:noProof/>
        <w:lang w:eastAsia="en-AU"/>
      </w:rPr>
      <w:drawing>
        <wp:inline distT="0" distB="0" distL="0" distR="0" wp14:anchorId="02E8E1E1" wp14:editId="77079191">
          <wp:extent cx="5759450" cy="941705"/>
          <wp:effectExtent l="0" t="0" r="0" b="0"/>
          <wp:docPr id="2" name="Picture 2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9404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35A91"/>
    <w:multiLevelType w:val="hybridMultilevel"/>
    <w:tmpl w:val="51467464"/>
    <w:lvl w:ilvl="0" w:tplc="819E1B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58189" w:themeColor="accent2"/>
        <w:spacing w:val="0"/>
        <w:w w:val="100"/>
        <w:sz w:val="24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2339F"/>
    <w:multiLevelType w:val="hybridMultilevel"/>
    <w:tmpl w:val="1F2AE7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449660D8"/>
    <w:multiLevelType w:val="multilevel"/>
    <w:tmpl w:val="0000000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5A6818"/>
    <w:multiLevelType w:val="hybridMultilevel"/>
    <w:tmpl w:val="7198736C"/>
    <w:lvl w:ilvl="0" w:tplc="117E4F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23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11"/>
  </w:num>
  <w:num w:numId="7">
    <w:abstractNumId w:val="17"/>
  </w:num>
  <w:num w:numId="8">
    <w:abstractNumId w:val="22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24"/>
  </w:num>
  <w:num w:numId="17">
    <w:abstractNumId w:val="12"/>
  </w:num>
  <w:num w:numId="18">
    <w:abstractNumId w:val="14"/>
  </w:num>
  <w:num w:numId="19">
    <w:abstractNumId w:val="16"/>
  </w:num>
  <w:num w:numId="20">
    <w:abstractNumId w:val="12"/>
  </w:num>
  <w:num w:numId="21">
    <w:abstractNumId w:val="16"/>
  </w:num>
  <w:num w:numId="22">
    <w:abstractNumId w:val="24"/>
  </w:num>
  <w:num w:numId="23">
    <w:abstractNumId w:val="20"/>
  </w:num>
  <w:num w:numId="24">
    <w:abstractNumId w:val="23"/>
  </w:num>
  <w:num w:numId="25">
    <w:abstractNumId w:val="10"/>
  </w:num>
  <w:num w:numId="26">
    <w:abstractNumId w:val="19"/>
  </w:num>
  <w:num w:numId="27">
    <w:abstractNumId w:val="13"/>
  </w:num>
  <w:num w:numId="28">
    <w:abstractNumId w:val="15"/>
  </w:num>
  <w:num w:numId="29">
    <w:abstractNumId w:val="8"/>
  </w:num>
  <w:num w:numId="30">
    <w:abstractNumId w:val="18"/>
  </w:num>
  <w:num w:numId="31">
    <w:abstractNumId w:val="9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6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5346B"/>
    <w:rsid w:val="0006372D"/>
    <w:rsid w:val="00064168"/>
    <w:rsid w:val="00064231"/>
    <w:rsid w:val="00067456"/>
    <w:rsid w:val="00071506"/>
    <w:rsid w:val="0007154F"/>
    <w:rsid w:val="00073F83"/>
    <w:rsid w:val="00075C7F"/>
    <w:rsid w:val="00081AB1"/>
    <w:rsid w:val="00090316"/>
    <w:rsid w:val="00092B22"/>
    <w:rsid w:val="00093981"/>
    <w:rsid w:val="00095780"/>
    <w:rsid w:val="000A1B82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2D6"/>
    <w:rsid w:val="000E2C66"/>
    <w:rsid w:val="000E30C1"/>
    <w:rsid w:val="000F123C"/>
    <w:rsid w:val="000F2FED"/>
    <w:rsid w:val="000F4C61"/>
    <w:rsid w:val="0010616D"/>
    <w:rsid w:val="00110478"/>
    <w:rsid w:val="001147F4"/>
    <w:rsid w:val="00115226"/>
    <w:rsid w:val="0011711B"/>
    <w:rsid w:val="00117F8A"/>
    <w:rsid w:val="00121B9B"/>
    <w:rsid w:val="00122ADC"/>
    <w:rsid w:val="00130F59"/>
    <w:rsid w:val="00133EC0"/>
    <w:rsid w:val="00134451"/>
    <w:rsid w:val="00141CE5"/>
    <w:rsid w:val="00144908"/>
    <w:rsid w:val="0015325F"/>
    <w:rsid w:val="00156D96"/>
    <w:rsid w:val="001571C7"/>
    <w:rsid w:val="00157D5C"/>
    <w:rsid w:val="00161094"/>
    <w:rsid w:val="00163DE1"/>
    <w:rsid w:val="001667FD"/>
    <w:rsid w:val="001701F2"/>
    <w:rsid w:val="0017665C"/>
    <w:rsid w:val="00177AD2"/>
    <w:rsid w:val="001815A8"/>
    <w:rsid w:val="001840FA"/>
    <w:rsid w:val="00190079"/>
    <w:rsid w:val="0019622E"/>
    <w:rsid w:val="001966A7"/>
    <w:rsid w:val="001A2E78"/>
    <w:rsid w:val="001A4627"/>
    <w:rsid w:val="001A4979"/>
    <w:rsid w:val="001B15D3"/>
    <w:rsid w:val="001B3443"/>
    <w:rsid w:val="001B7A9B"/>
    <w:rsid w:val="001C0326"/>
    <w:rsid w:val="001C192F"/>
    <w:rsid w:val="001C3C42"/>
    <w:rsid w:val="001C6907"/>
    <w:rsid w:val="001D7869"/>
    <w:rsid w:val="002026CD"/>
    <w:rsid w:val="002033FC"/>
    <w:rsid w:val="002044BB"/>
    <w:rsid w:val="00206AF4"/>
    <w:rsid w:val="00210B09"/>
    <w:rsid w:val="00210C9E"/>
    <w:rsid w:val="00211840"/>
    <w:rsid w:val="00220E5F"/>
    <w:rsid w:val="002212B5"/>
    <w:rsid w:val="002245D4"/>
    <w:rsid w:val="00226668"/>
    <w:rsid w:val="00233809"/>
    <w:rsid w:val="00234ABE"/>
    <w:rsid w:val="00240046"/>
    <w:rsid w:val="0024797F"/>
    <w:rsid w:val="0025119E"/>
    <w:rsid w:val="00251269"/>
    <w:rsid w:val="002513BF"/>
    <w:rsid w:val="002535C0"/>
    <w:rsid w:val="002535C7"/>
    <w:rsid w:val="00253930"/>
    <w:rsid w:val="002579FE"/>
    <w:rsid w:val="00260552"/>
    <w:rsid w:val="0026311C"/>
    <w:rsid w:val="0026668C"/>
    <w:rsid w:val="00266857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472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C7C5B"/>
    <w:rsid w:val="002E066E"/>
    <w:rsid w:val="002E1A1D"/>
    <w:rsid w:val="002E4081"/>
    <w:rsid w:val="002E5B78"/>
    <w:rsid w:val="002F3AE3"/>
    <w:rsid w:val="0030464B"/>
    <w:rsid w:val="0030786C"/>
    <w:rsid w:val="0031733C"/>
    <w:rsid w:val="00320BEB"/>
    <w:rsid w:val="003233DE"/>
    <w:rsid w:val="0032466B"/>
    <w:rsid w:val="00331ACF"/>
    <w:rsid w:val="003330EB"/>
    <w:rsid w:val="00334678"/>
    <w:rsid w:val="003415FD"/>
    <w:rsid w:val="003429F0"/>
    <w:rsid w:val="00345A82"/>
    <w:rsid w:val="0035097A"/>
    <w:rsid w:val="003540A4"/>
    <w:rsid w:val="00357BCC"/>
    <w:rsid w:val="00360E4E"/>
    <w:rsid w:val="00370AAA"/>
    <w:rsid w:val="00373438"/>
    <w:rsid w:val="00375F77"/>
    <w:rsid w:val="00381BBE"/>
    <w:rsid w:val="00382903"/>
    <w:rsid w:val="003846FF"/>
    <w:rsid w:val="003857D4"/>
    <w:rsid w:val="00385AD4"/>
    <w:rsid w:val="00387924"/>
    <w:rsid w:val="0039384D"/>
    <w:rsid w:val="00394BD6"/>
    <w:rsid w:val="00395C23"/>
    <w:rsid w:val="003A2E4F"/>
    <w:rsid w:val="003A4438"/>
    <w:rsid w:val="003A5013"/>
    <w:rsid w:val="003A5078"/>
    <w:rsid w:val="003A62DD"/>
    <w:rsid w:val="003A7440"/>
    <w:rsid w:val="003A775A"/>
    <w:rsid w:val="003B213A"/>
    <w:rsid w:val="003B43AD"/>
    <w:rsid w:val="003C0FEC"/>
    <w:rsid w:val="003C2AC8"/>
    <w:rsid w:val="003C3895"/>
    <w:rsid w:val="003C519D"/>
    <w:rsid w:val="003D033A"/>
    <w:rsid w:val="003D17F9"/>
    <w:rsid w:val="003D2D88"/>
    <w:rsid w:val="003D41EA"/>
    <w:rsid w:val="003D4850"/>
    <w:rsid w:val="003D535A"/>
    <w:rsid w:val="003E2E2C"/>
    <w:rsid w:val="003E5265"/>
    <w:rsid w:val="003F0955"/>
    <w:rsid w:val="003F38C3"/>
    <w:rsid w:val="003F5F4D"/>
    <w:rsid w:val="003F646F"/>
    <w:rsid w:val="004009C0"/>
    <w:rsid w:val="00400F00"/>
    <w:rsid w:val="00404F8B"/>
    <w:rsid w:val="00405256"/>
    <w:rsid w:val="00406ED3"/>
    <w:rsid w:val="00410031"/>
    <w:rsid w:val="00411A0A"/>
    <w:rsid w:val="00415C81"/>
    <w:rsid w:val="00432378"/>
    <w:rsid w:val="004349E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358E"/>
    <w:rsid w:val="00464631"/>
    <w:rsid w:val="00464B79"/>
    <w:rsid w:val="00467BBF"/>
    <w:rsid w:val="004810A3"/>
    <w:rsid w:val="0048593C"/>
    <w:rsid w:val="004867E2"/>
    <w:rsid w:val="004929A9"/>
    <w:rsid w:val="004935EF"/>
    <w:rsid w:val="004A78D9"/>
    <w:rsid w:val="004C1BCD"/>
    <w:rsid w:val="004C626E"/>
    <w:rsid w:val="004C6BCF"/>
    <w:rsid w:val="004D58BF"/>
    <w:rsid w:val="004E4335"/>
    <w:rsid w:val="004F13EE"/>
    <w:rsid w:val="004F2022"/>
    <w:rsid w:val="004F6431"/>
    <w:rsid w:val="004F7C05"/>
    <w:rsid w:val="00501C94"/>
    <w:rsid w:val="00506432"/>
    <w:rsid w:val="00506E82"/>
    <w:rsid w:val="00512706"/>
    <w:rsid w:val="0052051D"/>
    <w:rsid w:val="005452DA"/>
    <w:rsid w:val="00545EE6"/>
    <w:rsid w:val="005550E7"/>
    <w:rsid w:val="005564FB"/>
    <w:rsid w:val="005572C7"/>
    <w:rsid w:val="005650ED"/>
    <w:rsid w:val="00575754"/>
    <w:rsid w:val="00575DA5"/>
    <w:rsid w:val="00580CBC"/>
    <w:rsid w:val="00581FBA"/>
    <w:rsid w:val="00584EBD"/>
    <w:rsid w:val="00591E20"/>
    <w:rsid w:val="00595408"/>
    <w:rsid w:val="00595E84"/>
    <w:rsid w:val="005A048B"/>
    <w:rsid w:val="005A0C59"/>
    <w:rsid w:val="005A48EB"/>
    <w:rsid w:val="005A6CFB"/>
    <w:rsid w:val="005B0DA5"/>
    <w:rsid w:val="005C5AEB"/>
    <w:rsid w:val="005D1416"/>
    <w:rsid w:val="005D282C"/>
    <w:rsid w:val="005E0A3F"/>
    <w:rsid w:val="005E3B22"/>
    <w:rsid w:val="005E6883"/>
    <w:rsid w:val="005E772F"/>
    <w:rsid w:val="005F4D97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67A57"/>
    <w:rsid w:val="00670D99"/>
    <w:rsid w:val="00670E2B"/>
    <w:rsid w:val="0067275E"/>
    <w:rsid w:val="006734BB"/>
    <w:rsid w:val="0067697A"/>
    <w:rsid w:val="006821EB"/>
    <w:rsid w:val="0069296C"/>
    <w:rsid w:val="006A2276"/>
    <w:rsid w:val="006A2F71"/>
    <w:rsid w:val="006A581F"/>
    <w:rsid w:val="006A7153"/>
    <w:rsid w:val="006B2286"/>
    <w:rsid w:val="006B55FE"/>
    <w:rsid w:val="006B56BB"/>
    <w:rsid w:val="006C4ECF"/>
    <w:rsid w:val="006C77A8"/>
    <w:rsid w:val="006D4098"/>
    <w:rsid w:val="006D7681"/>
    <w:rsid w:val="006D7B2E"/>
    <w:rsid w:val="006E02EA"/>
    <w:rsid w:val="006E0968"/>
    <w:rsid w:val="006E139D"/>
    <w:rsid w:val="006E2AF6"/>
    <w:rsid w:val="006E622F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45599"/>
    <w:rsid w:val="00764FE3"/>
    <w:rsid w:val="007666EA"/>
    <w:rsid w:val="0076672A"/>
    <w:rsid w:val="00772613"/>
    <w:rsid w:val="00775E45"/>
    <w:rsid w:val="00776E74"/>
    <w:rsid w:val="00785169"/>
    <w:rsid w:val="007954AB"/>
    <w:rsid w:val="007A14C5"/>
    <w:rsid w:val="007A4A10"/>
    <w:rsid w:val="007B1760"/>
    <w:rsid w:val="007B6A7D"/>
    <w:rsid w:val="007C1FDC"/>
    <w:rsid w:val="007C6D9C"/>
    <w:rsid w:val="007C7DDB"/>
    <w:rsid w:val="007D2CC7"/>
    <w:rsid w:val="007D673D"/>
    <w:rsid w:val="007D6FE1"/>
    <w:rsid w:val="007E0FB8"/>
    <w:rsid w:val="007E4D09"/>
    <w:rsid w:val="007F2220"/>
    <w:rsid w:val="007F4082"/>
    <w:rsid w:val="007F4B3E"/>
    <w:rsid w:val="00805143"/>
    <w:rsid w:val="008127AF"/>
    <w:rsid w:val="00812B46"/>
    <w:rsid w:val="00815700"/>
    <w:rsid w:val="008217B9"/>
    <w:rsid w:val="0082246B"/>
    <w:rsid w:val="008264EB"/>
    <w:rsid w:val="00826B8F"/>
    <w:rsid w:val="00831E8A"/>
    <w:rsid w:val="0083255D"/>
    <w:rsid w:val="00834C1C"/>
    <w:rsid w:val="00835C76"/>
    <w:rsid w:val="008376E2"/>
    <w:rsid w:val="00843049"/>
    <w:rsid w:val="0085209B"/>
    <w:rsid w:val="008525B5"/>
    <w:rsid w:val="0085526F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74320"/>
    <w:rsid w:val="00884C63"/>
    <w:rsid w:val="00885908"/>
    <w:rsid w:val="008864B7"/>
    <w:rsid w:val="0089677E"/>
    <w:rsid w:val="008A7438"/>
    <w:rsid w:val="008B1334"/>
    <w:rsid w:val="008B25C7"/>
    <w:rsid w:val="008B27F1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067"/>
    <w:rsid w:val="00922517"/>
    <w:rsid w:val="00922722"/>
    <w:rsid w:val="009261E6"/>
    <w:rsid w:val="009268E1"/>
    <w:rsid w:val="00926C27"/>
    <w:rsid w:val="009271EE"/>
    <w:rsid w:val="0092759F"/>
    <w:rsid w:val="009344AE"/>
    <w:rsid w:val="009344DE"/>
    <w:rsid w:val="0094377B"/>
    <w:rsid w:val="00945E7F"/>
    <w:rsid w:val="00954704"/>
    <w:rsid w:val="009557C1"/>
    <w:rsid w:val="00960D6E"/>
    <w:rsid w:val="009711B6"/>
    <w:rsid w:val="00974B59"/>
    <w:rsid w:val="0098340B"/>
    <w:rsid w:val="00986830"/>
    <w:rsid w:val="009924C3"/>
    <w:rsid w:val="00993102"/>
    <w:rsid w:val="00995268"/>
    <w:rsid w:val="009B1570"/>
    <w:rsid w:val="009C6F10"/>
    <w:rsid w:val="009D148F"/>
    <w:rsid w:val="009D3D70"/>
    <w:rsid w:val="009E3C4D"/>
    <w:rsid w:val="009E6F7E"/>
    <w:rsid w:val="009E7A57"/>
    <w:rsid w:val="009F4803"/>
    <w:rsid w:val="009F4F6A"/>
    <w:rsid w:val="009F6AD7"/>
    <w:rsid w:val="009F6F11"/>
    <w:rsid w:val="009F7E58"/>
    <w:rsid w:val="00A0191E"/>
    <w:rsid w:val="00A11F43"/>
    <w:rsid w:val="00A13EB5"/>
    <w:rsid w:val="00A16E36"/>
    <w:rsid w:val="00A24961"/>
    <w:rsid w:val="00A24B10"/>
    <w:rsid w:val="00A277EF"/>
    <w:rsid w:val="00A27B79"/>
    <w:rsid w:val="00A30E9B"/>
    <w:rsid w:val="00A4512D"/>
    <w:rsid w:val="00A46675"/>
    <w:rsid w:val="00A468F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2F36"/>
    <w:rsid w:val="00A8341C"/>
    <w:rsid w:val="00A90D1D"/>
    <w:rsid w:val="00A911C8"/>
    <w:rsid w:val="00A930AE"/>
    <w:rsid w:val="00AA1A95"/>
    <w:rsid w:val="00AA260F"/>
    <w:rsid w:val="00AA2A83"/>
    <w:rsid w:val="00AB1EE7"/>
    <w:rsid w:val="00AB41ED"/>
    <w:rsid w:val="00AB4B37"/>
    <w:rsid w:val="00AB5762"/>
    <w:rsid w:val="00AC2679"/>
    <w:rsid w:val="00AC4551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8C4"/>
    <w:rsid w:val="00B16A51"/>
    <w:rsid w:val="00B31A5B"/>
    <w:rsid w:val="00B32222"/>
    <w:rsid w:val="00B32E64"/>
    <w:rsid w:val="00B3618D"/>
    <w:rsid w:val="00B36233"/>
    <w:rsid w:val="00B42851"/>
    <w:rsid w:val="00B434B7"/>
    <w:rsid w:val="00B45AC7"/>
    <w:rsid w:val="00B5372F"/>
    <w:rsid w:val="00B53987"/>
    <w:rsid w:val="00B53C73"/>
    <w:rsid w:val="00B57708"/>
    <w:rsid w:val="00B61129"/>
    <w:rsid w:val="00B67E7F"/>
    <w:rsid w:val="00B72C84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0D61"/>
    <w:rsid w:val="00BC4A19"/>
    <w:rsid w:val="00BC4E6D"/>
    <w:rsid w:val="00BD0617"/>
    <w:rsid w:val="00BD1F94"/>
    <w:rsid w:val="00BD2E9B"/>
    <w:rsid w:val="00BD7FB2"/>
    <w:rsid w:val="00C00930"/>
    <w:rsid w:val="00C060AD"/>
    <w:rsid w:val="00C113BF"/>
    <w:rsid w:val="00C2176E"/>
    <w:rsid w:val="00C23430"/>
    <w:rsid w:val="00C25A91"/>
    <w:rsid w:val="00C26398"/>
    <w:rsid w:val="00C27D67"/>
    <w:rsid w:val="00C44236"/>
    <w:rsid w:val="00C4631F"/>
    <w:rsid w:val="00C46F8D"/>
    <w:rsid w:val="00C47CDE"/>
    <w:rsid w:val="00C50E16"/>
    <w:rsid w:val="00C55258"/>
    <w:rsid w:val="00C55E7C"/>
    <w:rsid w:val="00C56865"/>
    <w:rsid w:val="00C667BD"/>
    <w:rsid w:val="00C82EEB"/>
    <w:rsid w:val="00C91BC5"/>
    <w:rsid w:val="00C95261"/>
    <w:rsid w:val="00C95B4E"/>
    <w:rsid w:val="00C971DC"/>
    <w:rsid w:val="00CA16B7"/>
    <w:rsid w:val="00CA62AE"/>
    <w:rsid w:val="00CA7454"/>
    <w:rsid w:val="00CB0FF3"/>
    <w:rsid w:val="00CB5B1A"/>
    <w:rsid w:val="00CC220B"/>
    <w:rsid w:val="00CC5C43"/>
    <w:rsid w:val="00CD02AE"/>
    <w:rsid w:val="00CD250E"/>
    <w:rsid w:val="00CD2A4F"/>
    <w:rsid w:val="00CE03CA"/>
    <w:rsid w:val="00CE22F1"/>
    <w:rsid w:val="00CE4E44"/>
    <w:rsid w:val="00CE50F2"/>
    <w:rsid w:val="00CE6502"/>
    <w:rsid w:val="00CF7D3C"/>
    <w:rsid w:val="00D01F09"/>
    <w:rsid w:val="00D07482"/>
    <w:rsid w:val="00D147EB"/>
    <w:rsid w:val="00D2756B"/>
    <w:rsid w:val="00D34667"/>
    <w:rsid w:val="00D358E6"/>
    <w:rsid w:val="00D401E1"/>
    <w:rsid w:val="00D408B4"/>
    <w:rsid w:val="00D43E1D"/>
    <w:rsid w:val="00D44330"/>
    <w:rsid w:val="00D524C8"/>
    <w:rsid w:val="00D65308"/>
    <w:rsid w:val="00D70E24"/>
    <w:rsid w:val="00D72B61"/>
    <w:rsid w:val="00D80D2C"/>
    <w:rsid w:val="00DA20F5"/>
    <w:rsid w:val="00DA3D1D"/>
    <w:rsid w:val="00DA6794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E5D31"/>
    <w:rsid w:val="00DE6F8F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3B3C"/>
    <w:rsid w:val="00E50188"/>
    <w:rsid w:val="00E50BB3"/>
    <w:rsid w:val="00E515CB"/>
    <w:rsid w:val="00E52260"/>
    <w:rsid w:val="00E5433C"/>
    <w:rsid w:val="00E639B6"/>
    <w:rsid w:val="00E6434B"/>
    <w:rsid w:val="00E6463D"/>
    <w:rsid w:val="00E707DB"/>
    <w:rsid w:val="00E72E9B"/>
    <w:rsid w:val="00E73AEF"/>
    <w:rsid w:val="00E74151"/>
    <w:rsid w:val="00E77E87"/>
    <w:rsid w:val="00E77ED2"/>
    <w:rsid w:val="00E833ED"/>
    <w:rsid w:val="00E84F6C"/>
    <w:rsid w:val="00E850C3"/>
    <w:rsid w:val="00E87DF2"/>
    <w:rsid w:val="00E9462E"/>
    <w:rsid w:val="00EA470E"/>
    <w:rsid w:val="00EA47A7"/>
    <w:rsid w:val="00EA57EB"/>
    <w:rsid w:val="00EA6323"/>
    <w:rsid w:val="00EA7DB5"/>
    <w:rsid w:val="00EB3226"/>
    <w:rsid w:val="00EC213A"/>
    <w:rsid w:val="00EC7744"/>
    <w:rsid w:val="00ED0DAD"/>
    <w:rsid w:val="00ED0F46"/>
    <w:rsid w:val="00ED126C"/>
    <w:rsid w:val="00ED2373"/>
    <w:rsid w:val="00EE3E8A"/>
    <w:rsid w:val="00EF539A"/>
    <w:rsid w:val="00EF58B8"/>
    <w:rsid w:val="00EF6ECA"/>
    <w:rsid w:val="00F024E1"/>
    <w:rsid w:val="00F06C10"/>
    <w:rsid w:val="00F1096F"/>
    <w:rsid w:val="00F10AB2"/>
    <w:rsid w:val="00F12589"/>
    <w:rsid w:val="00F12595"/>
    <w:rsid w:val="00F134D9"/>
    <w:rsid w:val="00F1403D"/>
    <w:rsid w:val="00F1463F"/>
    <w:rsid w:val="00F21302"/>
    <w:rsid w:val="00F2430D"/>
    <w:rsid w:val="00F260CA"/>
    <w:rsid w:val="00F321DE"/>
    <w:rsid w:val="00F33777"/>
    <w:rsid w:val="00F40648"/>
    <w:rsid w:val="00F47DA2"/>
    <w:rsid w:val="00F47FF0"/>
    <w:rsid w:val="00F51321"/>
    <w:rsid w:val="00F519FC"/>
    <w:rsid w:val="00F60CD3"/>
    <w:rsid w:val="00F6239D"/>
    <w:rsid w:val="00F6532F"/>
    <w:rsid w:val="00F71522"/>
    <w:rsid w:val="00F715D2"/>
    <w:rsid w:val="00F7274F"/>
    <w:rsid w:val="00F74E84"/>
    <w:rsid w:val="00F76FA8"/>
    <w:rsid w:val="00F93F08"/>
    <w:rsid w:val="00F94CED"/>
    <w:rsid w:val="00FA02BB"/>
    <w:rsid w:val="00FA0834"/>
    <w:rsid w:val="00FA2CEE"/>
    <w:rsid w:val="00FA318C"/>
    <w:rsid w:val="00FB2045"/>
    <w:rsid w:val="00FB6F92"/>
    <w:rsid w:val="00FB7EE2"/>
    <w:rsid w:val="00FC026E"/>
    <w:rsid w:val="00FC1E9A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CFB9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A227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uiPriority w:val="22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64168"/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064168"/>
    <w:pPr>
      <w:spacing w:before="0" w:after="160" w:line="240" w:lineRule="auto"/>
    </w:pPr>
    <w:rPr>
      <w:rFonts w:eastAsiaTheme="minorEastAsia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4168"/>
    <w:rPr>
      <w:rFonts w:ascii="Arial" w:eastAsiaTheme="minorEastAsia" w:hAnsi="Arial" w:cstheme="minorBidi"/>
      <w:lang w:eastAsia="en-US"/>
    </w:rPr>
  </w:style>
  <w:style w:type="paragraph" w:customStyle="1" w:styleId="Disclaimer">
    <w:name w:val="Disclaimer"/>
    <w:basedOn w:val="Normal"/>
    <w:uiPriority w:val="10"/>
    <w:qFormat/>
    <w:rsid w:val="00064168"/>
    <w:pPr>
      <w:spacing w:before="0" w:after="160" w:line="280" w:lineRule="exact"/>
      <w:ind w:left="567" w:right="1394"/>
    </w:pPr>
    <w:rPr>
      <w:rFonts w:eastAsiaTheme="minorEastAsia" w:cstheme="minorBidi"/>
      <w:i/>
      <w:color w:val="auto"/>
      <w:sz w:val="16"/>
      <w:szCs w:val="16"/>
    </w:rPr>
  </w:style>
  <w:style w:type="character" w:styleId="BookTitle">
    <w:name w:val="Book Title"/>
    <w:aliases w:val="Description"/>
    <w:basedOn w:val="DefaultParagraphFont"/>
    <w:uiPriority w:val="33"/>
    <w:rsid w:val="00064168"/>
    <w:rPr>
      <w:rFonts w:asciiTheme="minorHAnsi" w:hAnsiTheme="minorHAnsi"/>
      <w:b/>
      <w:bCs/>
      <w:i/>
      <w:iCs/>
      <w:spacing w:val="5"/>
      <w:sz w:val="22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1C690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Default">
    <w:name w:val="Default"/>
    <w:rsid w:val="001C69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xxx5bodytext">
    <w:name w:val="x_xx5bodytext"/>
    <w:basedOn w:val="Normal"/>
    <w:rsid w:val="007666EA"/>
    <w:pPr>
      <w:spacing w:before="0" w:after="0" w:line="240" w:lineRule="auto"/>
    </w:pPr>
    <w:rPr>
      <w:rFonts w:ascii="Calibri" w:eastAsiaTheme="minorHAnsi" w:hAnsi="Calibri" w:cs="Calibri"/>
      <w:color w:val="auto"/>
      <w:szCs w:val="22"/>
      <w:lang w:eastAsia="en-AU"/>
    </w:rPr>
  </w:style>
  <w:style w:type="character" w:customStyle="1" w:styleId="NEWItemNumber">
    <w:name w:val="NEW Item Number"/>
    <w:basedOn w:val="DefaultParagraphFont"/>
    <w:uiPriority w:val="1"/>
    <w:qFormat/>
    <w:rsid w:val="00B72C84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3F4A75" w:themeColor="accent1"/>
      <w:bdr w:val="none" w:sz="0" w:space="0" w:color="auto"/>
      <w:shd w:val="clear" w:color="auto" w:fill="358189" w:themeFill="accent2"/>
      <w:vertAlign w:val="baseline"/>
    </w:rPr>
  </w:style>
  <w:style w:type="paragraph" w:customStyle="1" w:styleId="tabletext0">
    <w:name w:val="tabletext"/>
    <w:basedOn w:val="Normal"/>
    <w:rsid w:val="00926C2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paragraph" w:customStyle="1" w:styleId="tablea">
    <w:name w:val="tablea"/>
    <w:basedOn w:val="Normal"/>
    <w:rsid w:val="00926C2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paragraph" w:customStyle="1" w:styleId="tablei">
    <w:name w:val="tablei"/>
    <w:basedOn w:val="Normal"/>
    <w:rsid w:val="00926C2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5D28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75C7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C7F"/>
    <w:pPr>
      <w:spacing w:before="120" w:after="120"/>
    </w:pPr>
    <w:rPr>
      <w:rFonts w:eastAsia="Times New Roman" w:cs="Times New Roman"/>
      <w:b/>
      <w:bCs/>
      <w:color w:val="000000" w:themeColor="text1"/>
    </w:rPr>
  </w:style>
  <w:style w:type="character" w:customStyle="1" w:styleId="CommentSubjectChar">
    <w:name w:val="Comment Subject Char"/>
    <w:basedOn w:val="CommentTextChar"/>
    <w:link w:val="CommentSubject"/>
    <w:semiHidden/>
    <w:rsid w:val="00075C7F"/>
    <w:rPr>
      <w:rFonts w:ascii="Arial" w:eastAsiaTheme="minorEastAsia" w:hAnsi="Arial" w:cstheme="minorBidi"/>
      <w:b/>
      <w:bCs/>
      <w:color w:val="000000" w:themeColor="text1"/>
      <w:lang w:eastAsia="en-US"/>
    </w:rPr>
  </w:style>
  <w:style w:type="character" w:styleId="FollowedHyperlink">
    <w:name w:val="FollowedHyperlink"/>
    <w:basedOn w:val="DefaultParagraphFont"/>
    <w:semiHidden/>
    <w:unhideWhenUsed/>
    <w:rsid w:val="00DA6794"/>
    <w:rPr>
      <w:color w:val="800080" w:themeColor="followedHyperlink"/>
      <w:u w:val="single"/>
    </w:rPr>
  </w:style>
  <w:style w:type="table" w:styleId="GridTable4-Accent2">
    <w:name w:val="Grid Table 4 Accent 2"/>
    <w:basedOn w:val="TableNormal"/>
    <w:uiPriority w:val="49"/>
    <w:rsid w:val="00EA7DB5"/>
    <w:tblPr>
      <w:tblStyleRowBandSize w:val="1"/>
      <w:tblStyleColBandSize w:val="1"/>
      <w:tblInd w:w="0" w:type="nil"/>
      <w:tblBorders>
        <w:top w:val="single" w:sz="4" w:space="0" w:color="74C1C9" w:themeColor="accent2" w:themeTint="99"/>
        <w:left w:val="single" w:sz="4" w:space="0" w:color="74C1C9" w:themeColor="accent2" w:themeTint="99"/>
        <w:bottom w:val="single" w:sz="4" w:space="0" w:color="74C1C9" w:themeColor="accent2" w:themeTint="99"/>
        <w:right w:val="single" w:sz="4" w:space="0" w:color="74C1C9" w:themeColor="accent2" w:themeTint="99"/>
        <w:insideH w:val="single" w:sz="4" w:space="0" w:color="74C1C9" w:themeColor="accent2" w:themeTint="99"/>
        <w:insideV w:val="single" w:sz="4" w:space="0" w:color="74C1C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189" w:themeColor="accent2"/>
          <w:left w:val="single" w:sz="4" w:space="0" w:color="358189" w:themeColor="accent2"/>
          <w:bottom w:val="single" w:sz="4" w:space="0" w:color="358189" w:themeColor="accent2"/>
          <w:right w:val="single" w:sz="4" w:space="0" w:color="358189" w:themeColor="accent2"/>
          <w:insideH w:val="nil"/>
          <w:insideV w:val="nil"/>
        </w:tcBorders>
        <w:shd w:val="clear" w:color="auto" w:fill="358189" w:themeFill="accent2"/>
      </w:tcPr>
    </w:tblStylePr>
    <w:tblStylePr w:type="lastRow">
      <w:rPr>
        <w:b/>
        <w:bCs/>
      </w:rPr>
      <w:tblPr/>
      <w:tcPr>
        <w:tcBorders>
          <w:top w:val="double" w:sz="4" w:space="0" w:color="3581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AED" w:themeFill="accent2" w:themeFillTint="33"/>
      </w:tcPr>
    </w:tblStylePr>
    <w:tblStylePr w:type="band1Horz">
      <w:tblPr/>
      <w:tcPr>
        <w:shd w:val="clear" w:color="auto" w:fill="D0EAED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au/Details/F2022C00777" TargetMode="External"/><Relationship Id="rId13" Type="http://schemas.openxmlformats.org/officeDocument/2006/relationships/hyperlink" Target="https://protect-au.mimecast.com/s/YGuBCWLVnwSNGEDUxwHa2?domain=mbsonline.gov.a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sac.gov.au/internet/msac/publishing.nsf/Content/1646-public" TargetMode="External"/><Relationship Id="rId12" Type="http://schemas.openxmlformats.org/officeDocument/2006/relationships/hyperlink" Target="https://www.servicesaustralia.gov.au/news-for-health-professionals?type%5Bvalue%5D%5Bnews%5D=new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kMBS@health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bsonline.gov.a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bsonline.gov.au" TargetMode="External"/><Relationship Id="rId14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2023-06-21T23:27:00Z</dcterms:created>
  <dcterms:modified xsi:type="dcterms:W3CDTF">2023-06-21T23:27:00Z</dcterms:modified>
</cp:coreProperties>
</file>