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C7663" w14:textId="1219925B" w:rsidR="00EB520C" w:rsidRPr="00CA15E7" w:rsidRDefault="00EB520C" w:rsidP="00CA15E7">
      <w:pPr>
        <w:pStyle w:val="Title"/>
      </w:pPr>
      <w:bookmarkStart w:id="0" w:name="_Hlk4568006"/>
      <w:r>
        <w:t>MSAC recommendations:</w:t>
      </w:r>
    </w:p>
    <w:p w14:paraId="5D0EA018" w14:textId="6C920158" w:rsidR="00DE3441" w:rsidRDefault="000C0685" w:rsidP="00EB520C">
      <w:pPr>
        <w:pStyle w:val="Heading1"/>
      </w:pPr>
      <w:r>
        <w:t>Amendment</w:t>
      </w:r>
      <w:r w:rsidR="002E205E">
        <w:t xml:space="preserve"> </w:t>
      </w:r>
      <w:r w:rsidR="000A1AC1">
        <w:t>(item 38461)</w:t>
      </w:r>
      <w:r w:rsidR="00D86F44">
        <w:t xml:space="preserve"> </w:t>
      </w:r>
      <w:r w:rsidR="007017EA" w:rsidRPr="007017EA">
        <w:t>–</w:t>
      </w:r>
      <w:r w:rsidR="00880493" w:rsidRPr="00880493">
        <w:t xml:space="preserve"> </w:t>
      </w:r>
      <w:r w:rsidR="002E205E" w:rsidRPr="00411530">
        <w:t xml:space="preserve">for </w:t>
      </w:r>
      <w:bookmarkStart w:id="1" w:name="_Hlk170221043"/>
      <w:r w:rsidR="002E205E" w:rsidRPr="00411530">
        <w:t>transcatheter mitral valve repair (TMVr) by transvenous or transeptal techniques to be device agnostic for the treatment of degenerative mitral regurgitation (DMR)</w:t>
      </w:r>
      <w:bookmarkEnd w:id="1"/>
    </w:p>
    <w:p w14:paraId="57C8E416" w14:textId="68533B8C" w:rsidR="00EB520C" w:rsidRPr="00432212" w:rsidRDefault="00EB520C" w:rsidP="00EB520C">
      <w:pPr>
        <w:pStyle w:val="Heading2"/>
      </w:pPr>
      <w:r w:rsidRPr="00432212">
        <w:t>Date of change</w:t>
      </w:r>
      <w:r>
        <w:t>:</w:t>
      </w:r>
      <w:r w:rsidRPr="00432212">
        <w:tab/>
      </w:r>
      <w:r w:rsidR="00A23B16">
        <w:t>1 November 2</w:t>
      </w:r>
      <w:r w:rsidR="007F7A74">
        <w:t>024</w:t>
      </w:r>
    </w:p>
    <w:p w14:paraId="50E2FBA1" w14:textId="1B4C0775" w:rsidR="00EB520C" w:rsidRPr="00AA6575" w:rsidRDefault="00EB520C" w:rsidP="00AA6575">
      <w:pPr>
        <w:pStyle w:val="Heading3"/>
      </w:pPr>
      <w:bookmarkStart w:id="2" w:name="_Hlk10794542"/>
      <w:r w:rsidRPr="00AA6575">
        <w:rPr>
          <w:rFonts w:eastAsiaTheme="minorEastAsia"/>
        </w:rPr>
        <w:t>Amended item:</w:t>
      </w:r>
      <w:r w:rsidRPr="00AA6575">
        <w:t xml:space="preserve"> </w:t>
      </w:r>
      <w:r w:rsidRPr="00AA6575">
        <w:tab/>
      </w:r>
      <w:r w:rsidR="000F101E">
        <w:t>38461</w:t>
      </w:r>
    </w:p>
    <w:bookmarkEnd w:id="2"/>
    <w:p w14:paraId="1D2ACDE8" w14:textId="4A45CE2B" w:rsidR="00EB520C" w:rsidRPr="00AA6575" w:rsidRDefault="00C9013A"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5114F67C" w14:textId="411EAAFC" w:rsidR="00F67963" w:rsidRPr="00972255" w:rsidRDefault="00615A7D" w:rsidP="00EB69CC">
      <w:pPr>
        <w:pStyle w:val="ListBullet"/>
        <w:numPr>
          <w:ilvl w:val="0"/>
          <w:numId w:val="33"/>
        </w:numPr>
        <w:rPr>
          <w:color w:val="000000" w:themeColor="text1"/>
          <w:sz w:val="22"/>
          <w:szCs w:val="22"/>
        </w:rPr>
      </w:pPr>
      <w:r w:rsidRPr="00972255">
        <w:rPr>
          <w:color w:val="000000" w:themeColor="text1"/>
          <w:sz w:val="22"/>
          <w:szCs w:val="22"/>
        </w:rPr>
        <w:t>From 1 November 2024</w:t>
      </w:r>
      <w:r w:rsidR="004A65E9" w:rsidRPr="00972255">
        <w:rPr>
          <w:color w:val="000000" w:themeColor="text1"/>
          <w:sz w:val="22"/>
          <w:szCs w:val="22"/>
        </w:rPr>
        <w:t>,</w:t>
      </w:r>
      <w:r w:rsidRPr="00972255">
        <w:rPr>
          <w:color w:val="000000" w:themeColor="text1"/>
          <w:sz w:val="22"/>
          <w:szCs w:val="22"/>
        </w:rPr>
        <w:t xml:space="preserve"> </w:t>
      </w:r>
      <w:r w:rsidR="004A65E9" w:rsidRPr="00972255">
        <w:rPr>
          <w:color w:val="000000" w:themeColor="text1"/>
          <w:sz w:val="22"/>
          <w:szCs w:val="22"/>
        </w:rPr>
        <w:t>Medicare Benefits Schedule (MBS) item 38461</w:t>
      </w:r>
      <w:r w:rsidR="008A48A0" w:rsidRPr="00972255">
        <w:rPr>
          <w:color w:val="000000" w:themeColor="text1"/>
          <w:sz w:val="22"/>
          <w:szCs w:val="22"/>
        </w:rPr>
        <w:t xml:space="preserve"> will be amended, to move from a device specific descriptor (MitraClip™) to a device agnostic descriptor.</w:t>
      </w:r>
      <w:r w:rsidR="00EE4669" w:rsidRPr="00972255">
        <w:rPr>
          <w:color w:val="000000" w:themeColor="text1"/>
          <w:sz w:val="22"/>
          <w:szCs w:val="22"/>
        </w:rPr>
        <w:t xml:space="preserve"> </w:t>
      </w:r>
      <w:r w:rsidR="008A48A0" w:rsidRPr="00972255">
        <w:rPr>
          <w:color w:val="000000" w:themeColor="text1"/>
          <w:sz w:val="22"/>
          <w:szCs w:val="22"/>
        </w:rPr>
        <w:t xml:space="preserve">This change will permit use of </w:t>
      </w:r>
      <w:r w:rsidR="00A52EBD">
        <w:rPr>
          <w:color w:val="000000" w:themeColor="text1"/>
          <w:sz w:val="22"/>
          <w:szCs w:val="22"/>
        </w:rPr>
        <w:t xml:space="preserve">any </w:t>
      </w:r>
      <w:r w:rsidR="00C51D9F" w:rsidRPr="00972255">
        <w:rPr>
          <w:rFonts w:cs="Arial"/>
          <w:color w:val="000000" w:themeColor="text1"/>
          <w:sz w:val="22"/>
          <w:szCs w:val="22"/>
        </w:rPr>
        <w:t>Australian Register of Therapeutic Goods (ARTG)</w:t>
      </w:r>
      <w:r w:rsidR="00A52EBD">
        <w:rPr>
          <w:color w:val="000000" w:themeColor="text1"/>
          <w:sz w:val="22"/>
          <w:szCs w:val="22"/>
        </w:rPr>
        <w:t xml:space="preserve"> listed devices</w:t>
      </w:r>
      <w:r w:rsidR="00EE4669" w:rsidRPr="00972255">
        <w:rPr>
          <w:color w:val="000000" w:themeColor="text1"/>
          <w:sz w:val="22"/>
          <w:szCs w:val="22"/>
        </w:rPr>
        <w:t xml:space="preserve"> </w:t>
      </w:r>
      <w:r w:rsidR="008A48A0" w:rsidRPr="00972255">
        <w:rPr>
          <w:color w:val="000000" w:themeColor="text1"/>
          <w:sz w:val="22"/>
          <w:szCs w:val="22"/>
        </w:rPr>
        <w:t xml:space="preserve">in addition to the MitraClip™ </w:t>
      </w:r>
      <w:r w:rsidR="00662D56" w:rsidRPr="00972255">
        <w:rPr>
          <w:color w:val="000000" w:themeColor="text1"/>
          <w:sz w:val="22"/>
          <w:szCs w:val="22"/>
        </w:rPr>
        <w:t>device for</w:t>
      </w:r>
      <w:r w:rsidR="00EE4669" w:rsidRPr="00972255">
        <w:rPr>
          <w:color w:val="000000" w:themeColor="text1"/>
          <w:sz w:val="22"/>
          <w:szCs w:val="22"/>
        </w:rPr>
        <w:t xml:space="preserve"> </w:t>
      </w:r>
      <w:r w:rsidR="008A48A0" w:rsidRPr="00972255">
        <w:rPr>
          <w:color w:val="000000" w:themeColor="text1"/>
          <w:sz w:val="22"/>
          <w:szCs w:val="22"/>
        </w:rPr>
        <w:t xml:space="preserve">the </w:t>
      </w:r>
      <w:r w:rsidR="00EE4669" w:rsidRPr="00972255">
        <w:rPr>
          <w:color w:val="000000" w:themeColor="text1"/>
          <w:sz w:val="22"/>
          <w:szCs w:val="22"/>
        </w:rPr>
        <w:t>treatment of degenerative mitral regurgitation (DMR)</w:t>
      </w:r>
      <w:r w:rsidR="00F67963" w:rsidRPr="00972255">
        <w:rPr>
          <w:color w:val="000000" w:themeColor="text1"/>
          <w:sz w:val="22"/>
          <w:szCs w:val="22"/>
        </w:rPr>
        <w:t>.</w:t>
      </w:r>
    </w:p>
    <w:p w14:paraId="081BD679" w14:textId="7009C02E" w:rsidR="00184DEB" w:rsidRPr="00972255" w:rsidRDefault="00184DEB" w:rsidP="00EB69CC">
      <w:pPr>
        <w:pStyle w:val="ListBullet"/>
        <w:numPr>
          <w:ilvl w:val="0"/>
          <w:numId w:val="33"/>
        </w:numPr>
        <w:rPr>
          <w:rFonts w:cs="Arial"/>
          <w:color w:val="000000" w:themeColor="text1"/>
          <w:sz w:val="22"/>
          <w:szCs w:val="22"/>
        </w:rPr>
      </w:pPr>
      <w:r w:rsidRPr="00972255">
        <w:rPr>
          <w:rFonts w:cs="Arial"/>
          <w:color w:val="000000" w:themeColor="text1"/>
          <w:sz w:val="22"/>
          <w:szCs w:val="22"/>
        </w:rPr>
        <w:t xml:space="preserve">In future, devices that are listed on the </w:t>
      </w:r>
      <w:r w:rsidR="00C51D9F">
        <w:rPr>
          <w:color w:val="000000" w:themeColor="text1"/>
          <w:sz w:val="22"/>
          <w:szCs w:val="22"/>
        </w:rPr>
        <w:t>ARTG</w:t>
      </w:r>
      <w:r w:rsidR="00C51D9F" w:rsidRPr="00972255">
        <w:rPr>
          <w:rFonts w:cs="Arial"/>
          <w:color w:val="000000" w:themeColor="text1"/>
          <w:sz w:val="22"/>
          <w:szCs w:val="22"/>
        </w:rPr>
        <w:t xml:space="preserve"> </w:t>
      </w:r>
      <w:r w:rsidRPr="00972255">
        <w:rPr>
          <w:rFonts w:cs="Arial"/>
          <w:color w:val="000000" w:themeColor="text1"/>
          <w:sz w:val="22"/>
          <w:szCs w:val="22"/>
        </w:rPr>
        <w:t>for</w:t>
      </w:r>
      <w:r w:rsidR="00191C4D" w:rsidRPr="00972255">
        <w:rPr>
          <w:rFonts w:cs="Arial"/>
          <w:color w:val="000000" w:themeColor="text1"/>
          <w:sz w:val="22"/>
          <w:szCs w:val="22"/>
        </w:rPr>
        <w:t xml:space="preserve"> use in</w:t>
      </w:r>
      <w:r w:rsidRPr="00972255">
        <w:rPr>
          <w:rFonts w:cs="Arial"/>
          <w:color w:val="000000" w:themeColor="text1"/>
          <w:sz w:val="22"/>
          <w:szCs w:val="22"/>
        </w:rPr>
        <w:t xml:space="preserve"> patients with:</w:t>
      </w:r>
    </w:p>
    <w:p w14:paraId="509E1C0F" w14:textId="73FCB94D" w:rsidR="00184DEB" w:rsidRPr="00972255" w:rsidRDefault="00184DEB" w:rsidP="001B32B0">
      <w:pPr>
        <w:pStyle w:val="tablei"/>
        <w:spacing w:before="0" w:beforeAutospacing="0" w:after="0" w:afterAutospacing="0" w:line="240" w:lineRule="atLeast"/>
        <w:ind w:left="1440"/>
        <w:rPr>
          <w:rFonts w:ascii="Arial" w:hAnsi="Arial" w:cs="Arial"/>
          <w:color w:val="000000" w:themeColor="text1"/>
          <w:sz w:val="22"/>
          <w:szCs w:val="22"/>
        </w:rPr>
      </w:pPr>
      <w:r w:rsidRPr="00972255">
        <w:rPr>
          <w:rFonts w:ascii="Arial" w:hAnsi="Arial" w:cs="Arial"/>
          <w:color w:val="000000" w:themeColor="text1"/>
          <w:sz w:val="22"/>
          <w:szCs w:val="22"/>
        </w:rPr>
        <w:t>(i) moderate to severe, or severe, symptomatic degenerative (primary) mitral valve</w:t>
      </w:r>
      <w:r w:rsidRPr="00972255">
        <w:rPr>
          <w:rFonts w:ascii="Arial" w:hAnsi="Arial" w:cs="Arial"/>
          <w:i/>
          <w:iCs/>
          <w:color w:val="000000" w:themeColor="text1"/>
          <w:sz w:val="22"/>
          <w:szCs w:val="22"/>
        </w:rPr>
        <w:t> </w:t>
      </w:r>
      <w:r w:rsidRPr="00972255">
        <w:rPr>
          <w:rFonts w:ascii="Arial" w:hAnsi="Arial" w:cs="Arial"/>
          <w:color w:val="000000" w:themeColor="text1"/>
          <w:sz w:val="22"/>
          <w:szCs w:val="22"/>
        </w:rPr>
        <w:t>regurgitation (grade 3+ or 4+);</w:t>
      </w:r>
    </w:p>
    <w:p w14:paraId="5CA739E6" w14:textId="51E78272" w:rsidR="00184DEB" w:rsidRPr="00972255" w:rsidRDefault="00184DEB" w:rsidP="001B32B0">
      <w:pPr>
        <w:pStyle w:val="tablei"/>
        <w:spacing w:before="0" w:beforeAutospacing="0" w:after="0" w:afterAutospacing="0" w:line="240" w:lineRule="atLeast"/>
        <w:ind w:left="1440"/>
        <w:rPr>
          <w:rFonts w:ascii="Arial" w:hAnsi="Arial" w:cs="Arial"/>
          <w:color w:val="000000" w:themeColor="text1"/>
          <w:sz w:val="22"/>
          <w:szCs w:val="22"/>
        </w:rPr>
      </w:pPr>
      <w:r w:rsidRPr="00972255">
        <w:rPr>
          <w:rFonts w:ascii="Arial" w:hAnsi="Arial" w:cs="Arial"/>
          <w:color w:val="000000" w:themeColor="text1"/>
          <w:sz w:val="22"/>
          <w:szCs w:val="22"/>
        </w:rPr>
        <w:t>(ii) left ventricular ejection fraction of 20% or more;</w:t>
      </w:r>
    </w:p>
    <w:p w14:paraId="16650D37" w14:textId="4EBE264A" w:rsidR="00184DEB" w:rsidRPr="00972255" w:rsidRDefault="00184DEB" w:rsidP="001B32B0">
      <w:pPr>
        <w:pStyle w:val="tablei"/>
        <w:spacing w:before="0" w:beforeAutospacing="0" w:after="0" w:afterAutospacing="0" w:line="240" w:lineRule="atLeast"/>
        <w:ind w:left="1440"/>
        <w:rPr>
          <w:rFonts w:ascii="Arial" w:hAnsi="Arial" w:cs="Arial"/>
          <w:color w:val="000000" w:themeColor="text1"/>
          <w:sz w:val="22"/>
          <w:szCs w:val="22"/>
        </w:rPr>
      </w:pPr>
      <w:r w:rsidRPr="00972255">
        <w:rPr>
          <w:rFonts w:ascii="Arial" w:hAnsi="Arial" w:cs="Arial"/>
          <w:color w:val="000000" w:themeColor="text1"/>
          <w:sz w:val="22"/>
          <w:szCs w:val="22"/>
        </w:rPr>
        <w:t>(iii) symptoms of mild, moderate or severe chronic heart failure (New York Heart Association class II, III or IV</w:t>
      </w:r>
    </w:p>
    <w:p w14:paraId="50901950" w14:textId="20ACB730" w:rsidR="00184DEB" w:rsidRPr="00972255" w:rsidRDefault="00184DEB" w:rsidP="001B32B0">
      <w:pPr>
        <w:pStyle w:val="ListBullet"/>
        <w:rPr>
          <w:rFonts w:cs="Arial"/>
          <w:color w:val="000000" w:themeColor="text1"/>
          <w:sz w:val="22"/>
          <w:szCs w:val="22"/>
        </w:rPr>
      </w:pPr>
      <w:r w:rsidRPr="00972255">
        <w:rPr>
          <w:rFonts w:cs="Arial"/>
          <w:color w:val="000000" w:themeColor="text1"/>
          <w:sz w:val="22"/>
          <w:szCs w:val="22"/>
        </w:rPr>
        <w:tab/>
      </w:r>
      <w:r w:rsidR="001B32B0" w:rsidRPr="00972255">
        <w:rPr>
          <w:rFonts w:cs="Arial"/>
          <w:color w:val="000000" w:themeColor="text1"/>
          <w:sz w:val="22"/>
          <w:szCs w:val="22"/>
        </w:rPr>
        <w:tab/>
      </w:r>
      <w:r w:rsidRPr="00972255">
        <w:rPr>
          <w:rFonts w:cs="Arial"/>
          <w:color w:val="000000" w:themeColor="text1"/>
          <w:sz w:val="22"/>
          <w:szCs w:val="22"/>
        </w:rPr>
        <w:t>will be able to be used in association with this service.</w:t>
      </w:r>
    </w:p>
    <w:p w14:paraId="493DC514" w14:textId="4B55DF7E" w:rsidR="001B32B0" w:rsidRPr="00972255" w:rsidRDefault="001B32B0" w:rsidP="00450AED">
      <w:pPr>
        <w:pStyle w:val="RecommendationsBullets"/>
        <w:numPr>
          <w:ilvl w:val="0"/>
          <w:numId w:val="37"/>
        </w:numPr>
        <w:rPr>
          <w:rFonts w:cs="Arial"/>
          <w:color w:val="000000" w:themeColor="text1"/>
          <w:sz w:val="22"/>
          <w:szCs w:val="22"/>
        </w:rPr>
      </w:pPr>
      <w:r w:rsidRPr="00972255">
        <w:rPr>
          <w:rFonts w:cs="Arial"/>
          <w:color w:val="000000" w:themeColor="text1"/>
          <w:sz w:val="22"/>
          <w:szCs w:val="22"/>
        </w:rPr>
        <w:t>This change is relevant to interventional cardiologists and cardiothoracic surgeons with relevant training in transcatheter mitral valve repair</w:t>
      </w:r>
      <w:r w:rsidRPr="00972255">
        <w:rPr>
          <w:rFonts w:cs="Arial"/>
          <w:color w:val="000000" w:themeColor="text1"/>
          <w:spacing w:val="5"/>
          <w:sz w:val="22"/>
          <w:szCs w:val="22"/>
          <w:shd w:val="clear" w:color="auto" w:fill="FFFFFF"/>
        </w:rPr>
        <w:t xml:space="preserve">. Providers of the procedures associated with item 38461 must be accredited with the </w:t>
      </w:r>
      <w:r w:rsidR="00191C4D" w:rsidRPr="00972255">
        <w:rPr>
          <w:color w:val="000000" w:themeColor="text1"/>
          <w:sz w:val="22"/>
          <w:szCs w:val="22"/>
        </w:rPr>
        <w:t>Transcatheter Mitral Valve Therapies (</w:t>
      </w:r>
      <w:r w:rsidRPr="00972255">
        <w:rPr>
          <w:rFonts w:cs="Arial"/>
          <w:color w:val="000000" w:themeColor="text1"/>
          <w:spacing w:val="5"/>
          <w:sz w:val="22"/>
          <w:szCs w:val="22"/>
          <w:shd w:val="clear" w:color="auto" w:fill="FFFFFF"/>
        </w:rPr>
        <w:t>TMV</w:t>
      </w:r>
      <w:r w:rsidR="00191C4D" w:rsidRPr="00972255">
        <w:rPr>
          <w:rFonts w:cs="Arial"/>
          <w:color w:val="000000" w:themeColor="text1"/>
          <w:spacing w:val="5"/>
          <w:sz w:val="22"/>
          <w:szCs w:val="22"/>
          <w:shd w:val="clear" w:color="auto" w:fill="FFFFFF"/>
        </w:rPr>
        <w:t>T)</w:t>
      </w:r>
      <w:r w:rsidRPr="00972255">
        <w:rPr>
          <w:rFonts w:cs="Arial"/>
          <w:color w:val="000000" w:themeColor="text1"/>
          <w:spacing w:val="5"/>
          <w:sz w:val="22"/>
          <w:szCs w:val="22"/>
          <w:shd w:val="clear" w:color="auto" w:fill="FFFFFF"/>
        </w:rPr>
        <w:t xml:space="preserve"> Accreditation Committee.</w:t>
      </w:r>
    </w:p>
    <w:p w14:paraId="2CD4D7F4" w14:textId="77777777" w:rsidR="00E12AB4" w:rsidRPr="00FF3EB7" w:rsidRDefault="00B73EE0" w:rsidP="00E12AB4">
      <w:pPr>
        <w:pStyle w:val="ListParagraph"/>
        <w:numPr>
          <w:ilvl w:val="0"/>
          <w:numId w:val="34"/>
        </w:numPr>
        <w:rPr>
          <w:sz w:val="22"/>
          <w:szCs w:val="22"/>
        </w:rPr>
      </w:pPr>
      <w:r w:rsidRPr="00FF3EB7">
        <w:rPr>
          <w:sz w:val="22"/>
          <w:szCs w:val="22"/>
        </w:rPr>
        <w:t xml:space="preserve">The amendment was supported by the Medical Services Advisory Committee (MSAC) </w:t>
      </w:r>
      <w:r w:rsidR="00EE5E91" w:rsidRPr="00FF3EB7">
        <w:rPr>
          <w:sz w:val="22"/>
          <w:szCs w:val="22"/>
        </w:rPr>
        <w:t>at its 4 April 2024 meeting</w:t>
      </w:r>
      <w:r w:rsidR="00E12AB4" w:rsidRPr="00FF3EB7">
        <w:rPr>
          <w:sz w:val="22"/>
          <w:szCs w:val="22"/>
        </w:rPr>
        <w:t xml:space="preserve"> and was approved for funding on the MBS in the 2023-24 Budget. Further details about MSAC applications can be found under </w:t>
      </w:r>
      <w:hyperlink r:id="rId8" w:history="1">
        <w:r w:rsidR="00E12AB4" w:rsidRPr="00FF3EB7">
          <w:rPr>
            <w:rStyle w:val="Hyperlink"/>
            <w:sz w:val="22"/>
            <w:szCs w:val="22"/>
          </w:rPr>
          <w:t>MSAC Applications</w:t>
        </w:r>
      </w:hyperlink>
      <w:r w:rsidR="00E12AB4" w:rsidRPr="00FF3EB7">
        <w:rPr>
          <w:sz w:val="22"/>
          <w:szCs w:val="22"/>
        </w:rPr>
        <w:t xml:space="preserve"> on the </w:t>
      </w:r>
      <w:hyperlink r:id="rId9" w:history="1">
        <w:r w:rsidR="00E12AB4" w:rsidRPr="00FF3EB7">
          <w:rPr>
            <w:rStyle w:val="Hyperlink"/>
            <w:sz w:val="22"/>
            <w:szCs w:val="22"/>
          </w:rPr>
          <w:t>MSAC website</w:t>
        </w:r>
      </w:hyperlink>
      <w:r w:rsidR="00E12AB4" w:rsidRPr="00FF3EB7">
        <w:rPr>
          <w:sz w:val="22"/>
          <w:szCs w:val="22"/>
        </w:rPr>
        <w:t>.</w:t>
      </w:r>
    </w:p>
    <w:p w14:paraId="2EE94F33" w14:textId="77777777" w:rsidR="00EB69CC" w:rsidRDefault="00EB69CC" w:rsidP="00AA6575">
      <w:pPr>
        <w:pStyle w:val="ListBullet"/>
      </w:pPr>
    </w:p>
    <w:p w14:paraId="328C45AB" w14:textId="08039222" w:rsidR="00EB520C" w:rsidRPr="00432212" w:rsidRDefault="00EB520C" w:rsidP="00EB520C">
      <w:pPr>
        <w:pStyle w:val="Heading2"/>
      </w:pPr>
      <w:r w:rsidRPr="00432212">
        <w:lastRenderedPageBreak/>
        <w:t xml:space="preserve">Patient </w:t>
      </w:r>
      <w:r>
        <w:t>impacts</w:t>
      </w:r>
    </w:p>
    <w:p w14:paraId="4DA7D399" w14:textId="693C550B" w:rsidR="001B32B0" w:rsidRPr="00972255" w:rsidRDefault="001B32B0" w:rsidP="001B32B0">
      <w:pPr>
        <w:pStyle w:val="RecommendationsBullets"/>
        <w:numPr>
          <w:ilvl w:val="0"/>
          <w:numId w:val="28"/>
        </w:numPr>
        <w:rPr>
          <w:rFonts w:cs="Arial"/>
          <w:color w:val="000000" w:themeColor="text1"/>
          <w:sz w:val="22"/>
          <w:szCs w:val="22"/>
        </w:rPr>
      </w:pPr>
      <w:r w:rsidRPr="00972255">
        <w:rPr>
          <w:rFonts w:cs="Arial"/>
          <w:color w:val="000000" w:themeColor="text1"/>
          <w:sz w:val="22"/>
          <w:szCs w:val="22"/>
        </w:rPr>
        <w:t>Clinicians and patients will now have additional treatment options</w:t>
      </w:r>
      <w:r w:rsidR="00450AED" w:rsidRPr="00972255">
        <w:rPr>
          <w:rFonts w:cs="Arial"/>
          <w:color w:val="000000" w:themeColor="text1"/>
          <w:sz w:val="22"/>
          <w:szCs w:val="22"/>
        </w:rPr>
        <w:t xml:space="preserve"> for moderate to severe, or severe, symptomatic degenerative (primary) mitral valve</w:t>
      </w:r>
      <w:r w:rsidR="00450AED" w:rsidRPr="00972255">
        <w:rPr>
          <w:rFonts w:cs="Arial"/>
          <w:i/>
          <w:iCs/>
          <w:color w:val="000000" w:themeColor="text1"/>
          <w:sz w:val="22"/>
          <w:szCs w:val="22"/>
        </w:rPr>
        <w:t> </w:t>
      </w:r>
      <w:r w:rsidR="00450AED" w:rsidRPr="00972255">
        <w:rPr>
          <w:rFonts w:cs="Arial"/>
          <w:color w:val="000000" w:themeColor="text1"/>
          <w:sz w:val="22"/>
          <w:szCs w:val="22"/>
        </w:rPr>
        <w:t>regurgitation (grade 3+ or 4+)</w:t>
      </w:r>
      <w:r w:rsidRPr="00972255">
        <w:rPr>
          <w:rFonts w:cs="Arial"/>
          <w:color w:val="000000" w:themeColor="text1"/>
          <w:sz w:val="22"/>
          <w:szCs w:val="22"/>
        </w:rPr>
        <w:t xml:space="preserve">. This change will allow an additional device to be accessed for transcatheter mitral valve repair and also allow future devices that gain ARTG listing to be accessed. </w:t>
      </w:r>
    </w:p>
    <w:p w14:paraId="69F68D55" w14:textId="6F0AF31D" w:rsidR="001B32B0" w:rsidRPr="00972255" w:rsidRDefault="001B32B0" w:rsidP="001B32B0">
      <w:pPr>
        <w:pStyle w:val="RecommendationsBullets"/>
        <w:numPr>
          <w:ilvl w:val="0"/>
          <w:numId w:val="28"/>
        </w:numPr>
        <w:rPr>
          <w:rFonts w:cs="Arial"/>
          <w:color w:val="000000" w:themeColor="text1"/>
          <w:sz w:val="22"/>
          <w:szCs w:val="22"/>
        </w:rPr>
      </w:pPr>
      <w:r w:rsidRPr="00972255">
        <w:rPr>
          <w:rFonts w:cs="Arial"/>
          <w:color w:val="000000" w:themeColor="text1"/>
          <w:sz w:val="22"/>
          <w:szCs w:val="22"/>
        </w:rPr>
        <w:t>It is expected that patient access to addiitonal devices, will continue to help improve physical and emotional functioning, and reduce related morbidity and hospitalisations.</w:t>
      </w:r>
    </w:p>
    <w:p w14:paraId="4163E76D" w14:textId="77777777" w:rsidR="00EB520C" w:rsidRDefault="00EB520C" w:rsidP="00EB520C">
      <w:pPr>
        <w:pStyle w:val="Heading2"/>
      </w:pPr>
      <w:bookmarkStart w:id="3" w:name="_Hlk271137"/>
      <w:r>
        <w:t>Restrictions or requirements</w:t>
      </w:r>
    </w:p>
    <w:p w14:paraId="010CC92A" w14:textId="321C21D9" w:rsidR="00AE4BD6" w:rsidRDefault="00AE4BD6" w:rsidP="007838F8">
      <w:pPr>
        <w:pStyle w:val="RecommendationsBullets"/>
        <w:numPr>
          <w:ilvl w:val="0"/>
          <w:numId w:val="28"/>
        </w:numPr>
        <w:rPr>
          <w:rFonts w:cs="Arial"/>
          <w:color w:val="000000" w:themeColor="text1"/>
          <w:sz w:val="22"/>
          <w:szCs w:val="22"/>
        </w:rPr>
      </w:pPr>
      <w:r w:rsidRPr="00526804">
        <w:rPr>
          <w:rFonts w:cs="Arial"/>
          <w:color w:val="000000" w:themeColor="text1"/>
          <w:sz w:val="22"/>
          <w:szCs w:val="22"/>
        </w:rPr>
        <w:t xml:space="preserve">An MBS </w:t>
      </w:r>
      <w:r w:rsidR="005E48B0">
        <w:rPr>
          <w:rFonts w:cs="Arial"/>
          <w:color w:val="000000" w:themeColor="text1"/>
          <w:sz w:val="22"/>
          <w:szCs w:val="22"/>
        </w:rPr>
        <w:t>benefit</w:t>
      </w:r>
      <w:r w:rsidR="005E48B0" w:rsidRPr="00526804">
        <w:rPr>
          <w:rFonts w:cs="Arial"/>
          <w:color w:val="000000" w:themeColor="text1"/>
          <w:sz w:val="22"/>
          <w:szCs w:val="22"/>
        </w:rPr>
        <w:t xml:space="preserve"> </w:t>
      </w:r>
      <w:r w:rsidRPr="00526804">
        <w:rPr>
          <w:rFonts w:cs="Arial"/>
          <w:color w:val="000000" w:themeColor="text1"/>
          <w:sz w:val="22"/>
          <w:szCs w:val="22"/>
        </w:rPr>
        <w:t>for the implantation of a mitral valve tissue approximation device (item 38461) is only claimable every 5 years, which includes a 5 year restriction on the accompanying attendance items (6082 and 6084).</w:t>
      </w:r>
    </w:p>
    <w:p w14:paraId="7A551F56" w14:textId="775298A6" w:rsidR="00C56BD8" w:rsidRDefault="00433DED" w:rsidP="007838F8">
      <w:pPr>
        <w:pStyle w:val="RecommendationsBullets"/>
        <w:numPr>
          <w:ilvl w:val="0"/>
          <w:numId w:val="28"/>
        </w:numPr>
        <w:rPr>
          <w:rFonts w:cs="Arial"/>
          <w:color w:val="000000" w:themeColor="text1"/>
          <w:sz w:val="22"/>
          <w:szCs w:val="22"/>
        </w:rPr>
      </w:pPr>
      <w:r>
        <w:rPr>
          <w:rFonts w:cs="Arial"/>
          <w:color w:val="000000" w:themeColor="text1"/>
          <w:sz w:val="22"/>
          <w:szCs w:val="22"/>
        </w:rPr>
        <w:t xml:space="preserve">Services under item 38461 may only be provided </w:t>
      </w:r>
      <w:r w:rsidR="00A356DB">
        <w:rPr>
          <w:rFonts w:cs="Arial"/>
          <w:color w:val="000000" w:themeColor="text1"/>
          <w:sz w:val="22"/>
          <w:szCs w:val="22"/>
        </w:rPr>
        <w:t>by</w:t>
      </w:r>
      <w:r w:rsidR="00B0201C">
        <w:rPr>
          <w:rFonts w:cs="Arial"/>
          <w:color w:val="000000" w:themeColor="text1"/>
          <w:sz w:val="22"/>
          <w:szCs w:val="22"/>
        </w:rPr>
        <w:t xml:space="preserve"> providers, and at hospitals, who </w:t>
      </w:r>
      <w:r w:rsidR="007609FA">
        <w:rPr>
          <w:rFonts w:cs="Arial"/>
          <w:color w:val="000000" w:themeColor="text1"/>
          <w:sz w:val="22"/>
          <w:szCs w:val="22"/>
        </w:rPr>
        <w:t>are accredited with the TMVT Accreditation Committee.</w:t>
      </w:r>
      <w:r w:rsidR="00A356DB">
        <w:rPr>
          <w:rFonts w:cs="Arial"/>
          <w:color w:val="000000" w:themeColor="text1"/>
          <w:sz w:val="22"/>
          <w:szCs w:val="22"/>
        </w:rPr>
        <w:t xml:space="preserve"> </w:t>
      </w:r>
    </w:p>
    <w:p w14:paraId="7F9B5CB4" w14:textId="48BB4F96" w:rsidR="00300925" w:rsidRPr="00526804" w:rsidRDefault="00522F2B" w:rsidP="00526804">
      <w:pPr>
        <w:pStyle w:val="RecommendationsBullets"/>
        <w:numPr>
          <w:ilvl w:val="0"/>
          <w:numId w:val="28"/>
        </w:numPr>
        <w:rPr>
          <w:rFonts w:cs="Arial"/>
          <w:color w:val="000000" w:themeColor="text1"/>
          <w:sz w:val="22"/>
          <w:szCs w:val="22"/>
        </w:rPr>
      </w:pPr>
      <w:r w:rsidRPr="00522F2B">
        <w:rPr>
          <w:rFonts w:cs="Arial"/>
          <w:color w:val="000000" w:themeColor="text1"/>
          <w:sz w:val="22"/>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Department’s compliance program can be found on its website at </w:t>
      </w:r>
      <w:hyperlink r:id="rId10" w:tgtFrame="_blank" w:tooltip="https://www.health.gov.au/topics/medicare/compliance" w:history="1">
        <w:r w:rsidRPr="00522F2B">
          <w:rPr>
            <w:rStyle w:val="Hyperlink"/>
            <w:rFonts w:cs="Arial"/>
            <w:sz w:val="22"/>
            <w:szCs w:val="22"/>
          </w:rPr>
          <w:t>Medicare compliance</w:t>
        </w:r>
      </w:hyperlink>
      <w:r w:rsidRPr="00522F2B">
        <w:rPr>
          <w:rFonts w:cs="Arial"/>
          <w:color w:val="000000" w:themeColor="text1"/>
          <w:sz w:val="22"/>
          <w:szCs w:val="22"/>
        </w:rPr>
        <w:t>.</w:t>
      </w:r>
    </w:p>
    <w:bookmarkEnd w:id="3"/>
    <w:p w14:paraId="0F3C9936" w14:textId="77777777" w:rsidR="00EB520C" w:rsidRPr="00432212" w:rsidRDefault="00C9013A" w:rsidP="00EB520C">
      <w:pPr>
        <w:rPr>
          <w:noProof/>
        </w:rPr>
        <w:sectPr w:rsidR="00EB520C" w:rsidRPr="00432212" w:rsidSect="00526804">
          <w:footerReference w:type="default" r:id="rId11"/>
          <w:headerReference w:type="first" r:id="rId12"/>
          <w:footerReference w:type="first" r:id="rId13"/>
          <w:type w:val="continuous"/>
          <w:pgSz w:w="11906" w:h="16838"/>
          <w:pgMar w:top="1276" w:right="1440" w:bottom="1440" w:left="1440" w:header="1247" w:footer="709" w:gutter="0"/>
          <w:cols w:space="567"/>
          <w:titlePg/>
          <w:docGrid w:linePitch="360"/>
        </w:sectPr>
      </w:pPr>
      <w:r>
        <w:rPr>
          <w:rStyle w:val="BookTitle"/>
          <w:noProof/>
        </w:rPr>
        <w:pict w14:anchorId="353AF9C2">
          <v:rect id="_x0000_i1028" style="width:0;height:1.5pt" o:hralign="center" o:hrstd="t" o:hr="t" fillcolor="#a0a0a0" stroked="f"/>
        </w:pict>
      </w:r>
    </w:p>
    <w:p w14:paraId="3C712E5E" w14:textId="7B93977A" w:rsidR="00EB520C" w:rsidRPr="00AA6575" w:rsidRDefault="00EB520C" w:rsidP="00AA6575">
      <w:pPr>
        <w:pStyle w:val="Heading3"/>
      </w:pPr>
      <w:r w:rsidRPr="00EB520C">
        <w:t xml:space="preserve">Amended </w:t>
      </w:r>
      <w:r w:rsidRPr="00AA6575">
        <w:t>item</w:t>
      </w:r>
      <w:r w:rsidRPr="00EB520C">
        <w:t xml:space="preserve"> </w:t>
      </w:r>
      <w:r w:rsidR="00E33DDD">
        <w:t>38461</w:t>
      </w:r>
      <w:r w:rsidRPr="00AA6575">
        <w:t xml:space="preserve"> – </w:t>
      </w:r>
      <w:r w:rsidR="00CF2307" w:rsidRPr="00CF2307">
        <w:t>The reduction of mitral regurgitation through tissue approximation using transvenous/transeptal techniques</w:t>
      </w:r>
    </w:p>
    <w:p w14:paraId="5D0C944E" w14:textId="71FBBD28" w:rsidR="00EB520C" w:rsidRPr="002F7CAD" w:rsidRDefault="00EB520C" w:rsidP="00EB520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sidR="006853B0" w:rsidRPr="00235783">
        <w:rPr>
          <w:rFonts w:cs="Arial"/>
          <w:sz w:val="22"/>
          <w:szCs w:val="22"/>
        </w:rPr>
        <w:t xml:space="preserve">TMVr, by transvenous or transeptal techniques, for permanent coaptation of mitral valve leaflets using one or more </w:t>
      </w:r>
      <w:r w:rsidR="006853B0" w:rsidRPr="00AE4BD6">
        <w:rPr>
          <w:rFonts w:cs="Arial"/>
          <w:sz w:val="22"/>
          <w:szCs w:val="22"/>
        </w:rPr>
        <w:t>tissue approximation</w:t>
      </w:r>
      <w:r w:rsidR="00AE4BD6" w:rsidRPr="00AE4BD6">
        <w:rPr>
          <w:rFonts w:cs="Arial"/>
          <w:sz w:val="22"/>
          <w:szCs w:val="22"/>
        </w:rPr>
        <w:t xml:space="preserve"> implants.</w:t>
      </w:r>
      <w:r w:rsidR="006853B0" w:rsidRPr="00AE4BD6">
        <w:rPr>
          <w:rFonts w:cs="Arial"/>
          <w:sz w:val="22"/>
          <w:szCs w:val="22"/>
        </w:rPr>
        <w:t xml:space="preserve"> </w:t>
      </w:r>
    </w:p>
    <w:p w14:paraId="46A24B1A" w14:textId="5D250CE4" w:rsidR="00EB520C" w:rsidRPr="002F7CAD" w:rsidRDefault="00EB520C" w:rsidP="00EB520C">
      <w:pPr>
        <w:rPr>
          <w:rFonts w:cs="Arial"/>
          <w:sz w:val="22"/>
          <w:szCs w:val="22"/>
        </w:rPr>
      </w:pPr>
      <w:r w:rsidRPr="002F7CAD">
        <w:rPr>
          <w:rStyle w:val="Descriptorheader"/>
          <w:rFonts w:ascii="Arial" w:hAnsi="Arial" w:cs="Arial"/>
          <w:szCs w:val="22"/>
        </w:rPr>
        <w:t>Overview:</w:t>
      </w:r>
      <w:r w:rsidR="00526804">
        <w:rPr>
          <w:rFonts w:cs="Arial"/>
          <w:sz w:val="22"/>
          <w:szCs w:val="22"/>
        </w:rPr>
        <w:t xml:space="preserve"> This item is being amended to permit claiming for any device (agnostic) that is ARTG listed to treat </w:t>
      </w:r>
      <w:r w:rsidR="00526804" w:rsidRPr="00235783">
        <w:rPr>
          <w:rFonts w:cs="Arial"/>
          <w:sz w:val="22"/>
          <w:szCs w:val="22"/>
        </w:rPr>
        <w:t>moderate to severe, or severe, symptomatic degenerative (primary) mitral valve regurgitation (grade 3+ or 4+)</w:t>
      </w:r>
      <w:r w:rsidR="00A52EBD">
        <w:rPr>
          <w:rFonts w:cs="Arial"/>
          <w:sz w:val="22"/>
          <w:szCs w:val="22"/>
        </w:rPr>
        <w:t>.</w:t>
      </w:r>
    </w:p>
    <w:p w14:paraId="5B280B52" w14:textId="48D3272D" w:rsidR="00EB520C" w:rsidRDefault="00EB520C" w:rsidP="00EB520C">
      <w:pPr>
        <w:rPr>
          <w:rFonts w:cs="Arial"/>
          <w:sz w:val="22"/>
          <w:szCs w:val="22"/>
        </w:rPr>
      </w:pPr>
      <w:r w:rsidRPr="002F7CAD">
        <w:rPr>
          <w:rStyle w:val="Descriptorheader"/>
          <w:rFonts w:ascii="Arial" w:hAnsi="Arial" w:cs="Arial"/>
          <w:szCs w:val="22"/>
        </w:rPr>
        <w:t>Descriptor</w:t>
      </w:r>
    </w:p>
    <w:p w14:paraId="3B1D5E7E" w14:textId="61948BA2" w:rsidR="00805FA5" w:rsidRPr="00235783" w:rsidRDefault="00805FA5" w:rsidP="001B3157">
      <w:pPr>
        <w:pStyle w:val="Default"/>
        <w:spacing w:before="40" w:after="40" w:line="276" w:lineRule="auto"/>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TMVr, by transvenous or transeptal techniques, for permanent coaptation of mitral valve leaflets using one or more </w:t>
      </w:r>
      <w:r w:rsidRPr="00945D23">
        <w:rPr>
          <w:rFonts w:ascii="Arial" w:eastAsiaTheme="minorEastAsia" w:hAnsi="Arial" w:cs="Arial"/>
          <w:strike/>
          <w:color w:val="FF0000"/>
          <w:sz w:val="22"/>
          <w:szCs w:val="22"/>
          <w:lang w:eastAsia="en-US"/>
        </w:rPr>
        <w:t>MitraClip</w:t>
      </w:r>
      <w:r w:rsidRPr="00945D23">
        <w:rPr>
          <w:rFonts w:ascii="Arial" w:eastAsiaTheme="minorEastAsia" w:hAnsi="Arial" w:cs="Arial"/>
          <w:strike/>
          <w:color w:val="FF0000"/>
          <w:sz w:val="20"/>
          <w:szCs w:val="20"/>
          <w:vertAlign w:val="superscript"/>
          <w:lang w:eastAsia="en-US"/>
        </w:rPr>
        <w:t>TM</w:t>
      </w:r>
      <w:r w:rsidRPr="00235783">
        <w:rPr>
          <w:rFonts w:ascii="Arial" w:eastAsiaTheme="minorEastAsia" w:hAnsi="Arial" w:cs="Arial"/>
          <w:color w:val="auto"/>
          <w:sz w:val="22"/>
          <w:szCs w:val="22"/>
          <w:lang w:eastAsia="en-US"/>
        </w:rPr>
        <w:t xml:space="preserve"> </w:t>
      </w:r>
      <w:r w:rsidRPr="007E6895">
        <w:rPr>
          <w:rFonts w:ascii="Arial" w:eastAsiaTheme="minorEastAsia" w:hAnsi="Arial" w:cs="Arial"/>
          <w:color w:val="FF0000"/>
          <w:sz w:val="22"/>
          <w:szCs w:val="22"/>
          <w:lang w:eastAsia="en-US"/>
        </w:rPr>
        <w:t>tissue approximation implants</w:t>
      </w:r>
      <w:r w:rsidRPr="00235783">
        <w:rPr>
          <w:rFonts w:ascii="Arial" w:eastAsiaTheme="minorEastAsia" w:hAnsi="Arial" w:cs="Arial"/>
          <w:color w:val="auto"/>
          <w:sz w:val="22"/>
          <w:szCs w:val="22"/>
          <w:lang w:eastAsia="en-US"/>
        </w:rPr>
        <w:t xml:space="preserve">, including intra-operative diagnostic imaging, if: </w:t>
      </w:r>
    </w:p>
    <w:p w14:paraId="70BED506" w14:textId="77777777" w:rsidR="00805FA5" w:rsidRPr="00235783" w:rsidRDefault="00805FA5" w:rsidP="00662D56">
      <w:pPr>
        <w:pStyle w:val="Default"/>
        <w:spacing w:before="40" w:after="40" w:line="276" w:lineRule="auto"/>
        <w:ind w:left="426"/>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a. the patient has each of the following risk factors: </w:t>
      </w:r>
    </w:p>
    <w:p w14:paraId="63FF2B6F"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 moderate to severe, or severe, symptomatic degenerative (primary) mitral valve regurgitation (grade 3+ or 4+); </w:t>
      </w:r>
    </w:p>
    <w:p w14:paraId="4F321CA9"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ii. left ventricular ejection fraction of 20% or more; </w:t>
      </w:r>
    </w:p>
    <w:p w14:paraId="50826958"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iii. symptoms of mild, moderate or severe chronic heart failure (New York Heart Association class II, III or IV); and </w:t>
      </w:r>
    </w:p>
    <w:p w14:paraId="361028AA" w14:textId="77777777" w:rsidR="00805FA5" w:rsidRPr="00235783" w:rsidRDefault="00805FA5" w:rsidP="00662D56">
      <w:pPr>
        <w:pStyle w:val="Default"/>
        <w:spacing w:before="40" w:after="40" w:line="276" w:lineRule="auto"/>
        <w:ind w:left="426"/>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b. </w:t>
      </w:r>
      <w:proofErr w:type="gramStart"/>
      <w:r w:rsidRPr="00235783">
        <w:rPr>
          <w:rFonts w:ascii="Arial" w:eastAsiaTheme="minorEastAsia" w:hAnsi="Arial" w:cs="Arial"/>
          <w:color w:val="auto"/>
          <w:sz w:val="22"/>
          <w:szCs w:val="22"/>
          <w:lang w:eastAsia="en-US"/>
        </w:rPr>
        <w:t>as a result of</w:t>
      </w:r>
      <w:proofErr w:type="gramEnd"/>
      <w:r w:rsidRPr="00235783">
        <w:rPr>
          <w:rFonts w:ascii="Arial" w:eastAsiaTheme="minorEastAsia" w:hAnsi="Arial" w:cs="Arial"/>
          <w:color w:val="auto"/>
          <w:sz w:val="22"/>
          <w:szCs w:val="22"/>
          <w:lang w:eastAsia="en-US"/>
        </w:rPr>
        <w:t xml:space="preserve"> a TMVr suitability case conference, the patient has been: </w:t>
      </w:r>
    </w:p>
    <w:p w14:paraId="24F4D77A"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lastRenderedPageBreak/>
        <w:t xml:space="preserve">i. assessed as having an unacceptably high risk for surgical mitral valve replacement; and </w:t>
      </w:r>
    </w:p>
    <w:p w14:paraId="5FFB355D"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ii. recommended as being suitable for the service; and </w:t>
      </w:r>
    </w:p>
    <w:p w14:paraId="433B2D04" w14:textId="77777777" w:rsidR="00805FA5" w:rsidRPr="00235783" w:rsidRDefault="00805FA5" w:rsidP="00662D56">
      <w:pPr>
        <w:pStyle w:val="Default"/>
        <w:spacing w:before="40" w:after="40" w:line="276" w:lineRule="auto"/>
        <w:ind w:left="426"/>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c. the service is performed: </w:t>
      </w:r>
    </w:p>
    <w:p w14:paraId="503AD270"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 by a cardiothoracic surgeon, or an interventional cardiologist, accredited by the TMVr accreditation committee to perform the service; and </w:t>
      </w:r>
    </w:p>
    <w:p w14:paraId="7BA7E04F"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ii. via transfemoral venous delivery, unless transfemoral venous delivery is contraindicated or not feasible; and </w:t>
      </w:r>
    </w:p>
    <w:p w14:paraId="72553DCB" w14:textId="77777777" w:rsidR="00805FA5" w:rsidRPr="00235783" w:rsidRDefault="00805FA5" w:rsidP="00662D56">
      <w:pPr>
        <w:pStyle w:val="Default"/>
        <w:spacing w:before="40" w:after="40" w:line="276" w:lineRule="auto"/>
        <w:ind w:left="1440"/>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 xml:space="preserve">iii. in a hospital that is accredited by the TMVr accreditation committee as a suitable hospital for the service; and </w:t>
      </w:r>
    </w:p>
    <w:p w14:paraId="4B3081C4" w14:textId="007B3814" w:rsidR="00805FA5" w:rsidRPr="00235783" w:rsidRDefault="00805FA5" w:rsidP="00662D56">
      <w:pPr>
        <w:pStyle w:val="Default"/>
        <w:spacing w:before="40" w:after="40" w:line="276" w:lineRule="auto"/>
        <w:ind w:left="426"/>
        <w:rPr>
          <w:rFonts w:ascii="Arial" w:eastAsiaTheme="minorEastAsia" w:hAnsi="Arial" w:cs="Arial"/>
          <w:color w:val="auto"/>
          <w:sz w:val="22"/>
          <w:szCs w:val="22"/>
          <w:lang w:eastAsia="en-US"/>
        </w:rPr>
      </w:pPr>
      <w:r w:rsidRPr="00235783">
        <w:rPr>
          <w:rFonts w:ascii="Arial" w:eastAsiaTheme="minorEastAsia" w:hAnsi="Arial" w:cs="Arial"/>
          <w:color w:val="auto"/>
          <w:sz w:val="22"/>
          <w:szCs w:val="22"/>
          <w:lang w:eastAsia="en-US"/>
        </w:rPr>
        <w:t>d. a service to which this item, or item 38463, applies has not been provided to the patient in the previous 5 years</w:t>
      </w:r>
      <w:r w:rsidR="001B3157">
        <w:rPr>
          <w:rFonts w:ascii="Arial" w:eastAsiaTheme="minorEastAsia" w:hAnsi="Arial" w:cs="Arial"/>
          <w:color w:val="auto"/>
          <w:sz w:val="22"/>
          <w:szCs w:val="22"/>
          <w:lang w:eastAsia="en-US"/>
        </w:rPr>
        <w:t>.</w:t>
      </w:r>
      <w:r w:rsidRPr="00235783">
        <w:rPr>
          <w:rFonts w:ascii="Arial" w:eastAsiaTheme="minorEastAsia" w:hAnsi="Arial" w:cs="Arial"/>
          <w:color w:val="auto"/>
          <w:sz w:val="22"/>
          <w:szCs w:val="22"/>
          <w:lang w:eastAsia="en-US"/>
        </w:rPr>
        <w:t xml:space="preserve"> </w:t>
      </w:r>
    </w:p>
    <w:p w14:paraId="188C1F77" w14:textId="7A87AD3E" w:rsidR="00D76953" w:rsidRDefault="00EB520C" w:rsidP="00EB520C">
      <w:pPr>
        <w:rPr>
          <w:rFonts w:cs="Arial"/>
          <w:noProof/>
          <w:sz w:val="22"/>
          <w:szCs w:val="22"/>
        </w:rPr>
      </w:pPr>
      <w:r w:rsidRPr="002F7CAD">
        <w:rPr>
          <w:rStyle w:val="Descriptorheader"/>
          <w:rFonts w:ascii="Arial" w:hAnsi="Arial" w:cs="Arial"/>
          <w:szCs w:val="22"/>
        </w:rPr>
        <w:t>Billing requirement:</w:t>
      </w:r>
      <w:r w:rsidRPr="002F7CAD">
        <w:rPr>
          <w:rFonts w:cs="Arial"/>
          <w:noProof/>
          <w:sz w:val="22"/>
          <w:szCs w:val="22"/>
        </w:rPr>
        <w:t xml:space="preserve"> </w:t>
      </w:r>
      <w:r w:rsidR="00AE4BD6">
        <w:rPr>
          <w:rFonts w:cs="Arial"/>
          <w:noProof/>
          <w:sz w:val="22"/>
          <w:szCs w:val="22"/>
        </w:rPr>
        <w:t>Claimable once every 5 years when the service is provided by practitioners accredited by the</w:t>
      </w:r>
      <w:r w:rsidR="00E001CE">
        <w:rPr>
          <w:rFonts w:cs="Arial"/>
          <w:noProof/>
          <w:sz w:val="22"/>
          <w:szCs w:val="22"/>
        </w:rPr>
        <w:t xml:space="preserve"> </w:t>
      </w:r>
      <w:r w:rsidR="00E001CE" w:rsidRPr="00972255">
        <w:rPr>
          <w:color w:val="000000" w:themeColor="text1"/>
          <w:sz w:val="22"/>
          <w:szCs w:val="22"/>
        </w:rPr>
        <w:t>Transcatheter Mitral Valve Therapies (</w:t>
      </w:r>
      <w:r w:rsidR="00E001CE" w:rsidRPr="00972255">
        <w:rPr>
          <w:rFonts w:cs="Arial"/>
          <w:color w:val="000000" w:themeColor="text1"/>
          <w:spacing w:val="5"/>
          <w:sz w:val="22"/>
          <w:szCs w:val="22"/>
          <w:shd w:val="clear" w:color="auto" w:fill="FFFFFF"/>
        </w:rPr>
        <w:t>TMVT) Accreditation Committee</w:t>
      </w:r>
      <w:r w:rsidR="00E001CE">
        <w:rPr>
          <w:rFonts w:cs="Arial"/>
          <w:color w:val="000000" w:themeColor="text1"/>
          <w:spacing w:val="5"/>
          <w:sz w:val="22"/>
          <w:szCs w:val="22"/>
          <w:shd w:val="clear" w:color="auto" w:fill="FFFFFF"/>
        </w:rPr>
        <w:t>.</w:t>
      </w:r>
    </w:p>
    <w:p w14:paraId="6A3CA980" w14:textId="6792D012" w:rsidR="00EB520C" w:rsidRPr="002F7CAD" w:rsidRDefault="00EB520C" w:rsidP="00EB520C">
      <w:pPr>
        <w:rPr>
          <w:rFonts w:cs="Arial"/>
          <w:noProof/>
          <w:sz w:val="22"/>
          <w:szCs w:val="22"/>
        </w:rPr>
      </w:pPr>
      <w:r w:rsidRPr="002F7CAD">
        <w:rPr>
          <w:rStyle w:val="Descriptorheader"/>
          <w:rFonts w:ascii="Arial" w:hAnsi="Arial" w:cs="Arial"/>
          <w:szCs w:val="22"/>
        </w:rPr>
        <w:t>MBS fee:</w:t>
      </w:r>
      <w:r w:rsidRPr="002F7CAD">
        <w:rPr>
          <w:rFonts w:cs="Arial"/>
          <w:noProof/>
          <w:sz w:val="22"/>
          <w:szCs w:val="22"/>
        </w:rPr>
        <w:t xml:space="preserve"> $</w:t>
      </w:r>
      <w:r w:rsidR="006853B0">
        <w:rPr>
          <w:rFonts w:cs="Arial"/>
          <w:noProof/>
          <w:sz w:val="22"/>
          <w:szCs w:val="22"/>
        </w:rPr>
        <w:t>1,631.65</w:t>
      </w:r>
      <w:r w:rsidR="00060161" w:rsidRPr="00060161">
        <w:rPr>
          <w:rFonts w:cs="Arial"/>
          <w:noProof/>
          <w:sz w:val="22"/>
          <w:szCs w:val="22"/>
        </w:rPr>
        <w:t>.</w:t>
      </w:r>
    </w:p>
    <w:p w14:paraId="343F744F" w14:textId="0DE49923" w:rsidR="00EB520C" w:rsidRPr="002F7CAD" w:rsidRDefault="00EB520C" w:rsidP="00EB520C">
      <w:pPr>
        <w:rPr>
          <w:rFonts w:cs="Arial"/>
          <w:noProof/>
          <w:sz w:val="22"/>
          <w:szCs w:val="22"/>
        </w:rPr>
      </w:pPr>
      <w:r w:rsidRPr="002F7CAD">
        <w:rPr>
          <w:rStyle w:val="Descriptorheader"/>
          <w:rFonts w:ascii="Arial" w:hAnsi="Arial" w:cs="Arial"/>
          <w:szCs w:val="22"/>
        </w:rPr>
        <w:t>Benefit:</w:t>
      </w:r>
      <w:r w:rsidRPr="002F7CAD">
        <w:rPr>
          <w:rFonts w:cs="Arial"/>
          <w:noProof/>
          <w:sz w:val="22"/>
          <w:szCs w:val="22"/>
        </w:rPr>
        <w:t xml:space="preserve"> </w:t>
      </w:r>
      <w:r w:rsidR="00666DBE">
        <w:rPr>
          <w:rFonts w:cs="Arial"/>
          <w:noProof/>
          <w:sz w:val="22"/>
          <w:szCs w:val="22"/>
        </w:rPr>
        <w:t>75</w:t>
      </w:r>
      <w:r w:rsidRPr="002F7CAD">
        <w:rPr>
          <w:rFonts w:cs="Arial"/>
          <w:noProof/>
          <w:sz w:val="22"/>
          <w:szCs w:val="22"/>
        </w:rPr>
        <w:t xml:space="preserve">% </w:t>
      </w:r>
      <w:r w:rsidR="006853B0">
        <w:rPr>
          <w:rFonts w:cs="Arial"/>
          <w:noProof/>
          <w:sz w:val="22"/>
          <w:szCs w:val="22"/>
        </w:rPr>
        <w:t>$1,223.75</w:t>
      </w:r>
    </w:p>
    <w:p w14:paraId="1D919C75" w14:textId="135E673D" w:rsidR="00C92130" w:rsidRPr="00C84FE2" w:rsidRDefault="00C92130" w:rsidP="00EB520C">
      <w:pPr>
        <w:rPr>
          <w:rStyle w:val="Descriptorheader"/>
          <w:rFonts w:ascii="Arial" w:hAnsi="Arial" w:cs="Arial"/>
          <w:szCs w:val="22"/>
        </w:rPr>
      </w:pPr>
      <w:r w:rsidRPr="00C84FE2">
        <w:rPr>
          <w:rStyle w:val="Descriptorheader"/>
          <w:rFonts w:ascii="Arial" w:hAnsi="Arial" w:cs="Arial"/>
          <w:szCs w:val="22"/>
        </w:rPr>
        <w:t>Private Health Insurance clinical category:</w:t>
      </w:r>
      <w:r w:rsidR="006853B0" w:rsidRPr="00C84FE2">
        <w:rPr>
          <w:rStyle w:val="Descriptorheader"/>
          <w:rFonts w:ascii="Arial" w:hAnsi="Arial" w:cs="Arial"/>
          <w:szCs w:val="22"/>
        </w:rPr>
        <w:t xml:space="preserve"> </w:t>
      </w:r>
      <w:r w:rsidR="006853B0" w:rsidRPr="00526804">
        <w:rPr>
          <w:rStyle w:val="Descriptorheader"/>
          <w:rFonts w:ascii="Arial" w:hAnsi="Arial" w:cs="Arial"/>
          <w:b w:val="0"/>
          <w:bCs w:val="0"/>
          <w:szCs w:val="22"/>
        </w:rPr>
        <w:t>Heart and Vascular System</w:t>
      </w:r>
      <w:r w:rsidR="00F83C20" w:rsidRPr="00C84FE2">
        <w:rPr>
          <w:rStyle w:val="Descriptorheader"/>
          <w:rFonts w:ascii="Arial" w:hAnsi="Arial" w:cs="Arial"/>
          <w:szCs w:val="22"/>
        </w:rPr>
        <w:t xml:space="preserve"> </w:t>
      </w:r>
    </w:p>
    <w:p w14:paraId="68335175" w14:textId="53A926EF" w:rsidR="00C92130" w:rsidRPr="00C84FE2" w:rsidRDefault="00C92130" w:rsidP="00EB520C">
      <w:pPr>
        <w:rPr>
          <w:rStyle w:val="Descriptorheader"/>
          <w:rFonts w:ascii="Arial" w:hAnsi="Arial" w:cs="Arial"/>
          <w:szCs w:val="22"/>
        </w:rPr>
      </w:pPr>
      <w:r w:rsidRPr="00C84FE2">
        <w:rPr>
          <w:rStyle w:val="Descriptorheader"/>
          <w:rFonts w:ascii="Arial" w:hAnsi="Arial" w:cs="Arial"/>
          <w:szCs w:val="22"/>
        </w:rPr>
        <w:t xml:space="preserve">Private Health Insurance procedure type: </w:t>
      </w:r>
      <w:r w:rsidR="00317563" w:rsidRPr="00526804">
        <w:rPr>
          <w:rStyle w:val="Descriptorheader"/>
          <w:rFonts w:ascii="Arial" w:hAnsi="Arial" w:cs="Arial"/>
          <w:b w:val="0"/>
          <w:bCs w:val="0"/>
          <w:szCs w:val="22"/>
        </w:rPr>
        <w:t xml:space="preserve">Type A </w:t>
      </w:r>
      <w:r w:rsidR="006853B0" w:rsidRPr="00526804">
        <w:rPr>
          <w:rStyle w:val="Descriptorheader"/>
          <w:rFonts w:ascii="Arial" w:hAnsi="Arial" w:cs="Arial"/>
          <w:b w:val="0"/>
          <w:bCs w:val="0"/>
          <w:szCs w:val="22"/>
        </w:rPr>
        <w:t xml:space="preserve">– Advanced </w:t>
      </w:r>
      <w:r w:rsidR="00317563" w:rsidRPr="00526804">
        <w:rPr>
          <w:rStyle w:val="Descriptorheader"/>
          <w:rFonts w:ascii="Arial" w:hAnsi="Arial" w:cs="Arial"/>
          <w:b w:val="0"/>
          <w:bCs w:val="0"/>
          <w:szCs w:val="22"/>
        </w:rPr>
        <w:t>Surgical</w:t>
      </w:r>
    </w:p>
    <w:bookmarkEnd w:id="0"/>
    <w:p w14:paraId="60503D54" w14:textId="61A0327F" w:rsidR="009A0BEE" w:rsidRPr="00C84FE2" w:rsidRDefault="009A0BEE" w:rsidP="009A0BEE">
      <w:pPr>
        <w:keepNext/>
        <w:spacing w:before="240" w:after="60" w:line="240" w:lineRule="auto"/>
        <w:outlineLvl w:val="1"/>
        <w:rPr>
          <w:rFonts w:eastAsia="Times New Roman" w:cs="Arial"/>
          <w:b/>
          <w:bCs/>
          <w:iCs/>
          <w:color w:val="358189"/>
          <w:sz w:val="36"/>
          <w:szCs w:val="28"/>
        </w:rPr>
      </w:pPr>
      <w:r w:rsidRPr="00C84FE2">
        <w:rPr>
          <w:rFonts w:eastAsia="Times New Roman" w:cs="Arial"/>
          <w:b/>
          <w:bCs/>
          <w:iCs/>
          <w:color w:val="358189"/>
          <w:sz w:val="36"/>
          <w:szCs w:val="28"/>
        </w:rPr>
        <w:t xml:space="preserve">Amended item descriptors (to take effect </w:t>
      </w:r>
      <w:r w:rsidR="004E6B40" w:rsidRPr="00C84FE2">
        <w:rPr>
          <w:rFonts w:eastAsia="Times New Roman" w:cs="Arial"/>
          <w:b/>
          <w:bCs/>
          <w:iCs/>
          <w:color w:val="358189"/>
          <w:sz w:val="36"/>
          <w:szCs w:val="28"/>
        </w:rPr>
        <w:t>1 November 2024</w:t>
      </w:r>
      <w:r w:rsidRPr="00C84FE2">
        <w:rPr>
          <w:rFonts w:eastAsia="Times New Roman" w:cs="Arial"/>
          <w:b/>
          <w:bCs/>
          <w:iCs/>
          <w:color w:val="358189"/>
          <w:sz w:val="36"/>
          <w:szCs w:val="28"/>
        </w:rPr>
        <w:t>)</w:t>
      </w:r>
    </w:p>
    <w:tbl>
      <w:tblPr>
        <w:tblStyle w:val="GridTable4-Accent2"/>
        <w:tblW w:w="0" w:type="auto"/>
        <w:tblLook w:val="04A0" w:firstRow="1" w:lastRow="0" w:firstColumn="1" w:lastColumn="0" w:noHBand="0" w:noVBand="1"/>
      </w:tblPr>
      <w:tblGrid>
        <w:gridCol w:w="9060"/>
      </w:tblGrid>
      <w:tr w:rsidR="009A0BEE" w:rsidRPr="00C84FE2" w14:paraId="1C2BA543" w14:textId="77777777" w:rsidTr="00DA5B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14DAE7D" w14:textId="0ACE359A" w:rsidR="009A0BEE" w:rsidRPr="00C84FE2" w:rsidRDefault="009A0BEE" w:rsidP="009A0BEE">
            <w:pPr>
              <w:spacing w:line="276" w:lineRule="auto"/>
              <w:rPr>
                <w:rFonts w:eastAsia="Times New Roman" w:cs="Times New Roman"/>
                <w:color w:val="000000" w:themeColor="text1"/>
                <w:sz w:val="22"/>
                <w:szCs w:val="24"/>
                <w:lang w:eastAsia="en-AU"/>
              </w:rPr>
            </w:pPr>
            <w:bookmarkStart w:id="6" w:name="_Hlk118987208"/>
            <w:r w:rsidRPr="00C84FE2">
              <w:rPr>
                <w:rFonts w:eastAsia="Times New Roman" w:cs="Times New Roman"/>
                <w:color w:val="000000" w:themeColor="text1"/>
                <w:sz w:val="22"/>
                <w:szCs w:val="24"/>
                <w:lang w:eastAsia="en-AU"/>
              </w:rPr>
              <w:t>Category</w:t>
            </w:r>
            <w:r w:rsidR="00526804">
              <w:rPr>
                <w:rFonts w:eastAsia="Times New Roman" w:cs="Times New Roman"/>
                <w:color w:val="000000" w:themeColor="text1"/>
                <w:sz w:val="22"/>
                <w:szCs w:val="24"/>
                <w:lang w:eastAsia="en-AU"/>
              </w:rPr>
              <w:t xml:space="preserve"> 3</w:t>
            </w:r>
            <w:r w:rsidR="00674C44">
              <w:rPr>
                <w:rFonts w:eastAsia="Times New Roman" w:cs="Times New Roman"/>
                <w:color w:val="000000" w:themeColor="text1"/>
                <w:sz w:val="22"/>
                <w:szCs w:val="24"/>
                <w:lang w:eastAsia="en-AU"/>
              </w:rPr>
              <w:t xml:space="preserve"> </w:t>
            </w:r>
            <w:r w:rsidR="00674C44" w:rsidRPr="00526804">
              <w:rPr>
                <w:rFonts w:eastAsia="Times New Roman" w:cs="Times New Roman"/>
                <w:color w:val="000000" w:themeColor="text1"/>
                <w:sz w:val="22"/>
                <w:szCs w:val="22"/>
              </w:rPr>
              <w:t>–</w:t>
            </w:r>
            <w:r w:rsidR="00674C44">
              <w:rPr>
                <w:rFonts w:eastAsia="Times New Roman" w:cs="Times New Roman"/>
                <w:color w:val="000000" w:themeColor="text1"/>
                <w:sz w:val="22"/>
                <w:szCs w:val="22"/>
              </w:rPr>
              <w:t xml:space="preserve"> Therapeutic Procedures </w:t>
            </w:r>
          </w:p>
        </w:tc>
      </w:tr>
      <w:tr w:rsidR="009A0BEE" w:rsidRPr="00C84FE2" w14:paraId="4891B70F" w14:textId="77777777" w:rsidTr="00DA5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16FC97E" w14:textId="70226AD6" w:rsidR="009A0BEE" w:rsidRPr="00C84FE2" w:rsidRDefault="009A0BEE" w:rsidP="00254FA0">
            <w:pPr>
              <w:tabs>
                <w:tab w:val="left" w:pos="1500"/>
              </w:tabs>
              <w:spacing w:line="276" w:lineRule="auto"/>
              <w:rPr>
                <w:rFonts w:eastAsia="Times New Roman" w:cs="Times New Roman"/>
                <w:color w:val="000000" w:themeColor="text1"/>
                <w:sz w:val="22"/>
                <w:szCs w:val="24"/>
                <w:lang w:eastAsia="en-AU"/>
              </w:rPr>
            </w:pPr>
            <w:r w:rsidRPr="00C84FE2">
              <w:rPr>
                <w:rFonts w:eastAsia="Times New Roman" w:cs="Times New Roman"/>
                <w:color w:val="000000" w:themeColor="text1"/>
                <w:sz w:val="22"/>
                <w:szCs w:val="24"/>
                <w:lang w:eastAsia="en-AU"/>
              </w:rPr>
              <w:t>Group</w:t>
            </w:r>
            <w:r w:rsidR="002A0FDD" w:rsidRPr="00C84FE2">
              <w:rPr>
                <w:rFonts w:eastAsia="Times New Roman" w:cs="Times New Roman"/>
                <w:color w:val="000000" w:themeColor="text1"/>
                <w:sz w:val="22"/>
                <w:szCs w:val="24"/>
                <w:lang w:eastAsia="en-AU"/>
              </w:rPr>
              <w:t xml:space="preserve"> </w:t>
            </w:r>
            <w:r w:rsidR="00254FA0" w:rsidRPr="00526804">
              <w:rPr>
                <w:rFonts w:eastAsia="Times New Roman" w:cs="Times New Roman"/>
                <w:color w:val="000000" w:themeColor="text1"/>
                <w:sz w:val="22"/>
                <w:szCs w:val="24"/>
                <w:lang w:eastAsia="en-AU"/>
              </w:rPr>
              <w:t>T</w:t>
            </w:r>
            <w:r w:rsidR="009B06B9" w:rsidRPr="00526804">
              <w:rPr>
                <w:rFonts w:eastAsia="Times New Roman" w:cs="Times New Roman"/>
                <w:color w:val="000000" w:themeColor="text1"/>
                <w:sz w:val="22"/>
                <w:szCs w:val="24"/>
                <w:lang w:eastAsia="en-AU"/>
              </w:rPr>
              <w:t>8</w:t>
            </w:r>
            <w:r w:rsidR="00E43AFA" w:rsidRPr="00526804">
              <w:rPr>
                <w:rFonts w:eastAsia="Times New Roman" w:cs="Times New Roman"/>
                <w:color w:val="000000" w:themeColor="text1"/>
                <w:sz w:val="22"/>
                <w:szCs w:val="24"/>
                <w:lang w:eastAsia="en-AU"/>
              </w:rPr>
              <w:t xml:space="preserve"> </w:t>
            </w:r>
            <w:r w:rsidR="00E43AFA" w:rsidRPr="00526804">
              <w:rPr>
                <w:rFonts w:eastAsia="Times New Roman" w:cs="Times New Roman"/>
                <w:color w:val="000000" w:themeColor="text1"/>
                <w:sz w:val="22"/>
                <w:szCs w:val="22"/>
              </w:rPr>
              <w:t>–</w:t>
            </w:r>
            <w:r w:rsidR="00E43AFA" w:rsidRPr="00526804">
              <w:rPr>
                <w:rFonts w:eastAsia="Times New Roman" w:cs="Times New Roman"/>
                <w:color w:val="000000" w:themeColor="text1"/>
                <w:sz w:val="22"/>
                <w:szCs w:val="24"/>
                <w:lang w:eastAsia="en-AU"/>
              </w:rPr>
              <w:t xml:space="preserve"> </w:t>
            </w:r>
            <w:r w:rsidR="009B06B9" w:rsidRPr="00526804">
              <w:rPr>
                <w:rFonts w:eastAsia="Times New Roman" w:cs="Times New Roman"/>
                <w:color w:val="000000" w:themeColor="text1"/>
                <w:sz w:val="22"/>
                <w:szCs w:val="24"/>
                <w:lang w:eastAsia="en-AU"/>
              </w:rPr>
              <w:t>Surgical Operations</w:t>
            </w:r>
          </w:p>
        </w:tc>
      </w:tr>
      <w:tr w:rsidR="009A0BEE" w:rsidRPr="009A0BEE" w14:paraId="45888426" w14:textId="77777777" w:rsidTr="00DA5BE6">
        <w:tc>
          <w:tcPr>
            <w:cnfStyle w:val="001000000000" w:firstRow="0" w:lastRow="0" w:firstColumn="1" w:lastColumn="0" w:oddVBand="0" w:evenVBand="0" w:oddHBand="0" w:evenHBand="0" w:firstRowFirstColumn="0" w:firstRowLastColumn="0" w:lastRowFirstColumn="0" w:lastRowLastColumn="0"/>
            <w:tcW w:w="9060" w:type="dxa"/>
            <w:hideMark/>
          </w:tcPr>
          <w:p w14:paraId="19289929" w14:textId="321BB6BB" w:rsidR="009A0BEE" w:rsidRPr="009A0BEE" w:rsidRDefault="002A0FDD" w:rsidP="009A0BEE">
            <w:pPr>
              <w:spacing w:before="60" w:after="60" w:line="240" w:lineRule="auto"/>
              <w:rPr>
                <w:rFonts w:eastAsia="Times New Roman" w:cs="Times New Roman"/>
                <w:color w:val="000000" w:themeColor="text1"/>
                <w:sz w:val="22"/>
                <w:szCs w:val="22"/>
              </w:rPr>
            </w:pPr>
            <w:r w:rsidRPr="00C84FE2">
              <w:rPr>
                <w:rFonts w:eastAsia="Times New Roman" w:cs="Times New Roman"/>
                <w:color w:val="000000" w:themeColor="text1"/>
                <w:sz w:val="22"/>
                <w:szCs w:val="22"/>
              </w:rPr>
              <w:t xml:space="preserve">Subgroup </w:t>
            </w:r>
            <w:r w:rsidR="009B06B9" w:rsidRPr="00526804">
              <w:rPr>
                <w:rFonts w:eastAsia="Times New Roman" w:cs="Times New Roman"/>
                <w:color w:val="000000" w:themeColor="text1"/>
                <w:sz w:val="22"/>
                <w:szCs w:val="22"/>
              </w:rPr>
              <w:t>6 – Cardio Thoracic</w:t>
            </w:r>
          </w:p>
        </w:tc>
      </w:tr>
      <w:tr w:rsidR="009A0BEE" w:rsidRPr="009A0BEE" w14:paraId="7E0215A0" w14:textId="77777777" w:rsidTr="00DA5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1427FDF" w14:textId="20ECEA3A" w:rsidR="009A0BEE" w:rsidRPr="00526804" w:rsidRDefault="008E6AC9" w:rsidP="009A0BEE">
            <w:pPr>
              <w:spacing w:line="276" w:lineRule="auto"/>
              <w:rPr>
                <w:rFonts w:eastAsia="Times New Roman" w:cs="Times New Roman"/>
                <w:color w:val="000000" w:themeColor="text1"/>
                <w:sz w:val="22"/>
                <w:szCs w:val="24"/>
              </w:rPr>
            </w:pPr>
            <w:r w:rsidRPr="00D70A3D">
              <w:rPr>
                <w:rFonts w:eastAsia="Times New Roman" w:cs="Times New Roman"/>
                <w:color w:val="000000" w:themeColor="text1"/>
                <w:sz w:val="22"/>
                <w:szCs w:val="24"/>
              </w:rPr>
              <w:t>38461</w:t>
            </w:r>
          </w:p>
          <w:p w14:paraId="04ADDE83" w14:textId="5FAB6139" w:rsidR="00346170" w:rsidRPr="003A7DE1" w:rsidRDefault="00346170" w:rsidP="00346170">
            <w:pPr>
              <w:spacing w:line="276" w:lineRule="auto"/>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TMVr, by transvenous or transeptal techniques, for permanent coaptation of mitral valve leaflets using one or more </w:t>
            </w:r>
            <w:r w:rsidRPr="003A7DE1">
              <w:rPr>
                <w:rFonts w:eastAsia="Times New Roman" w:cs="Times New Roman"/>
                <w:b w:val="0"/>
                <w:bCs w:val="0"/>
                <w:sz w:val="22"/>
                <w:szCs w:val="24"/>
              </w:rPr>
              <w:t>tissue approximation implants</w:t>
            </w:r>
            <w:r w:rsidRPr="003A7DE1">
              <w:rPr>
                <w:rFonts w:eastAsia="Times New Roman" w:cs="Times New Roman"/>
                <w:b w:val="0"/>
                <w:bCs w:val="0"/>
                <w:color w:val="000000" w:themeColor="text1"/>
                <w:sz w:val="22"/>
                <w:szCs w:val="24"/>
              </w:rPr>
              <w:t xml:space="preserve">, including intra-operative diagnostic imaging, if: </w:t>
            </w:r>
          </w:p>
          <w:p w14:paraId="1D3DED95" w14:textId="77777777" w:rsidR="00346170" w:rsidRPr="003A7DE1" w:rsidRDefault="00346170" w:rsidP="00947B0D">
            <w:pPr>
              <w:spacing w:line="276" w:lineRule="auto"/>
              <w:ind w:left="72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a. the patient has each of the following risk factors: </w:t>
            </w:r>
          </w:p>
          <w:p w14:paraId="6BD02420"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 moderate to severe, or severe, symptomatic degenerative (primary) mitral valve regurgitation (grade 3+ or 4+); </w:t>
            </w:r>
          </w:p>
          <w:p w14:paraId="2B06C5E7"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ii. left ventricular ejection fraction of 20% or more; </w:t>
            </w:r>
          </w:p>
          <w:p w14:paraId="3DE30682" w14:textId="3A8C5636"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iii. symptoms of mild, moderate or severe chronic heart failure (New York Heart Association class II, III or IV); and </w:t>
            </w:r>
          </w:p>
          <w:p w14:paraId="497D9007" w14:textId="77777777" w:rsidR="00346170" w:rsidRPr="003A7DE1" w:rsidRDefault="00346170" w:rsidP="00947B0D">
            <w:pPr>
              <w:spacing w:line="276" w:lineRule="auto"/>
              <w:ind w:left="72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b. </w:t>
            </w:r>
            <w:proofErr w:type="gramStart"/>
            <w:r w:rsidRPr="003A7DE1">
              <w:rPr>
                <w:rFonts w:eastAsia="Times New Roman" w:cs="Times New Roman"/>
                <w:b w:val="0"/>
                <w:bCs w:val="0"/>
                <w:color w:val="000000" w:themeColor="text1"/>
                <w:sz w:val="22"/>
                <w:szCs w:val="24"/>
              </w:rPr>
              <w:t>as a result of</w:t>
            </w:r>
            <w:proofErr w:type="gramEnd"/>
            <w:r w:rsidRPr="003A7DE1">
              <w:rPr>
                <w:rFonts w:eastAsia="Times New Roman" w:cs="Times New Roman"/>
                <w:b w:val="0"/>
                <w:bCs w:val="0"/>
                <w:color w:val="000000" w:themeColor="text1"/>
                <w:sz w:val="22"/>
                <w:szCs w:val="24"/>
              </w:rPr>
              <w:t xml:space="preserve"> a TMVr suitability case conference, the patient has been: </w:t>
            </w:r>
          </w:p>
          <w:p w14:paraId="710B3E79"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lastRenderedPageBreak/>
              <w:t xml:space="preserve">i. assessed as having an unacceptably high risk for surgical mitral valve replacement; and </w:t>
            </w:r>
          </w:p>
          <w:p w14:paraId="5768914E"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ii. recommended as being suitable for the service; and </w:t>
            </w:r>
          </w:p>
          <w:p w14:paraId="619B4629" w14:textId="77777777" w:rsidR="00346170" w:rsidRPr="003A7DE1" w:rsidRDefault="00346170" w:rsidP="00947B0D">
            <w:pPr>
              <w:spacing w:line="276" w:lineRule="auto"/>
              <w:ind w:left="72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c. the service is performed: </w:t>
            </w:r>
          </w:p>
          <w:p w14:paraId="1CDF7128"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 by a cardiothoracic surgeon, or an interventional cardiologist, accredited by the TMVr accreditation committee to perform the service; and </w:t>
            </w:r>
          </w:p>
          <w:p w14:paraId="4304D257"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ii. via transfemoral venous delivery, unless transfemoral venous delivery is contraindicated or not feasible; and </w:t>
            </w:r>
          </w:p>
          <w:p w14:paraId="2B062009" w14:textId="77777777" w:rsidR="00346170" w:rsidRPr="003A7DE1" w:rsidRDefault="00346170" w:rsidP="00947B0D">
            <w:pPr>
              <w:spacing w:line="276" w:lineRule="auto"/>
              <w:ind w:left="1440"/>
              <w:rPr>
                <w:rFonts w:eastAsia="Times New Roman" w:cs="Times New Roman"/>
                <w:b w:val="0"/>
                <w:bCs w:val="0"/>
                <w:color w:val="000000" w:themeColor="text1"/>
                <w:sz w:val="22"/>
                <w:szCs w:val="24"/>
              </w:rPr>
            </w:pPr>
            <w:r w:rsidRPr="003A7DE1">
              <w:rPr>
                <w:rFonts w:eastAsia="Times New Roman" w:cs="Times New Roman"/>
                <w:b w:val="0"/>
                <w:bCs w:val="0"/>
                <w:color w:val="000000" w:themeColor="text1"/>
                <w:sz w:val="22"/>
                <w:szCs w:val="24"/>
              </w:rPr>
              <w:t xml:space="preserve">iii. in a hospital that is accredited by the TMVr accreditation committee as a suitable hospital for the service; and </w:t>
            </w:r>
          </w:p>
          <w:p w14:paraId="59B4AC56" w14:textId="77777777" w:rsidR="000C7AF8" w:rsidRPr="003A7DE1" w:rsidRDefault="00346170" w:rsidP="00947B0D">
            <w:pPr>
              <w:spacing w:before="0" w:after="60"/>
              <w:ind w:left="720"/>
              <w:rPr>
                <w:rFonts w:eastAsia="Times New Roman" w:cs="Times New Roman"/>
                <w:b w:val="0"/>
                <w:bCs w:val="0"/>
                <w:color w:val="000000" w:themeColor="text1"/>
                <w:sz w:val="22"/>
                <w:szCs w:val="22"/>
              </w:rPr>
            </w:pPr>
            <w:r w:rsidRPr="003A7DE1">
              <w:rPr>
                <w:rFonts w:eastAsia="Times New Roman" w:cs="Times New Roman"/>
                <w:b w:val="0"/>
                <w:bCs w:val="0"/>
                <w:color w:val="000000" w:themeColor="text1"/>
                <w:sz w:val="22"/>
                <w:szCs w:val="24"/>
              </w:rPr>
              <w:t xml:space="preserve">d. a service to which this item, or item 38463, applies has not been provided to the patient in the previous 5 years. </w:t>
            </w:r>
          </w:p>
          <w:p w14:paraId="4B35D419" w14:textId="4BE98C35" w:rsidR="009A0BEE" w:rsidRPr="00972255" w:rsidRDefault="009A0BEE" w:rsidP="00947B0D">
            <w:pPr>
              <w:pStyle w:val="ListParagraph"/>
              <w:numPr>
                <w:ilvl w:val="0"/>
                <w:numId w:val="31"/>
              </w:numPr>
              <w:spacing w:before="0" w:after="60"/>
              <w:ind w:left="360"/>
              <w:rPr>
                <w:rFonts w:eastAsia="Times New Roman" w:cs="Times New Roman"/>
                <w:color w:val="000000" w:themeColor="text1"/>
                <w:sz w:val="22"/>
                <w:szCs w:val="22"/>
              </w:rPr>
            </w:pPr>
            <w:r w:rsidRPr="00972255">
              <w:rPr>
                <w:rFonts w:eastAsia="Times New Roman" w:cs="Times New Roman"/>
                <w:color w:val="000000" w:themeColor="text1"/>
                <w:sz w:val="22"/>
                <w:szCs w:val="22"/>
              </w:rPr>
              <w:t>Private Health Insurance Classification:</w:t>
            </w:r>
          </w:p>
          <w:p w14:paraId="1A4362D8" w14:textId="77777777" w:rsidR="003A7DE1" w:rsidRDefault="009A0BEE" w:rsidP="00947B0D">
            <w:pPr>
              <w:pStyle w:val="ListParagraph"/>
              <w:numPr>
                <w:ilvl w:val="0"/>
                <w:numId w:val="31"/>
              </w:numPr>
              <w:spacing w:before="0" w:after="60"/>
              <w:ind w:left="360"/>
              <w:rPr>
                <w:rFonts w:eastAsia="Times New Roman" w:cs="Times New Roman"/>
                <w:b w:val="0"/>
                <w:bCs w:val="0"/>
                <w:color w:val="000000" w:themeColor="text1"/>
                <w:sz w:val="22"/>
                <w:szCs w:val="22"/>
              </w:rPr>
            </w:pPr>
            <w:r w:rsidRPr="00972255">
              <w:rPr>
                <w:rFonts w:eastAsia="Times New Roman" w:cs="Times New Roman"/>
                <w:color w:val="000000" w:themeColor="text1"/>
                <w:sz w:val="22"/>
                <w:szCs w:val="22"/>
              </w:rPr>
              <w:t xml:space="preserve">Clinical </w:t>
            </w:r>
            <w:r w:rsidRPr="00C84FE2">
              <w:rPr>
                <w:rFonts w:eastAsia="Times New Roman" w:cs="Times New Roman"/>
                <w:color w:val="000000" w:themeColor="text1"/>
                <w:sz w:val="22"/>
                <w:szCs w:val="22"/>
              </w:rPr>
              <w:t xml:space="preserve">category: </w:t>
            </w:r>
            <w:r w:rsidR="008E6AC9" w:rsidRPr="003A7DE1">
              <w:rPr>
                <w:rFonts w:eastAsia="Times New Roman" w:cs="Times New Roman"/>
                <w:b w:val="0"/>
                <w:bCs w:val="0"/>
                <w:color w:val="000000" w:themeColor="text1"/>
                <w:sz w:val="22"/>
                <w:szCs w:val="22"/>
              </w:rPr>
              <w:t>Heart and vascular system</w:t>
            </w:r>
          </w:p>
          <w:p w14:paraId="5BFC6D83" w14:textId="7F87DD58" w:rsidR="009A0BEE" w:rsidRPr="009A0BEE" w:rsidRDefault="009A0BEE" w:rsidP="00947B0D">
            <w:pPr>
              <w:pStyle w:val="ListParagraph"/>
              <w:numPr>
                <w:ilvl w:val="0"/>
                <w:numId w:val="31"/>
              </w:numPr>
              <w:spacing w:before="0" w:after="60"/>
              <w:ind w:left="360"/>
              <w:rPr>
                <w:rFonts w:eastAsia="Times New Roman" w:cs="Times New Roman"/>
                <w:b w:val="0"/>
                <w:bCs w:val="0"/>
                <w:color w:val="000000" w:themeColor="text1"/>
                <w:sz w:val="22"/>
                <w:szCs w:val="22"/>
              </w:rPr>
            </w:pPr>
            <w:r w:rsidRPr="00C84FE2">
              <w:rPr>
                <w:rFonts w:eastAsia="Times New Roman" w:cs="Times New Roman"/>
                <w:color w:val="000000" w:themeColor="text1"/>
                <w:sz w:val="22"/>
                <w:szCs w:val="22"/>
              </w:rPr>
              <w:t>Procedure type:</w:t>
            </w:r>
            <w:r w:rsidR="00412CEB" w:rsidRPr="00C84FE2">
              <w:rPr>
                <w:rFonts w:eastAsia="Times New Roman" w:cs="Times New Roman"/>
                <w:color w:val="000000" w:themeColor="text1"/>
                <w:sz w:val="22"/>
                <w:szCs w:val="22"/>
              </w:rPr>
              <w:t xml:space="preserve"> </w:t>
            </w:r>
            <w:r w:rsidRPr="003A7DE1">
              <w:rPr>
                <w:rFonts w:eastAsia="Times New Roman" w:cs="Times New Roman"/>
                <w:b w:val="0"/>
                <w:bCs w:val="0"/>
                <w:color w:val="000000" w:themeColor="text1"/>
                <w:sz w:val="22"/>
                <w:szCs w:val="22"/>
              </w:rPr>
              <w:t xml:space="preserve">Type </w:t>
            </w:r>
            <w:r w:rsidR="008E6AC9" w:rsidRPr="003A7DE1">
              <w:rPr>
                <w:rFonts w:eastAsia="Times New Roman" w:cs="Times New Roman"/>
                <w:b w:val="0"/>
                <w:bCs w:val="0"/>
                <w:color w:val="000000" w:themeColor="text1"/>
                <w:sz w:val="22"/>
                <w:szCs w:val="22"/>
              </w:rPr>
              <w:t xml:space="preserve">A </w:t>
            </w:r>
            <w:r w:rsidR="00526804" w:rsidRPr="003A7DE1">
              <w:rPr>
                <w:rFonts w:eastAsia="Times New Roman" w:cs="Times New Roman"/>
                <w:b w:val="0"/>
                <w:bCs w:val="0"/>
                <w:color w:val="000000" w:themeColor="text1"/>
                <w:sz w:val="22"/>
                <w:szCs w:val="22"/>
              </w:rPr>
              <w:t xml:space="preserve">– Advanced </w:t>
            </w:r>
            <w:r w:rsidR="008E6AC9" w:rsidRPr="003A7DE1">
              <w:rPr>
                <w:rFonts w:eastAsia="Times New Roman" w:cs="Times New Roman"/>
                <w:b w:val="0"/>
                <w:bCs w:val="0"/>
                <w:color w:val="000000" w:themeColor="text1"/>
                <w:sz w:val="22"/>
                <w:szCs w:val="22"/>
              </w:rPr>
              <w:t>Surgical</w:t>
            </w:r>
          </w:p>
        </w:tc>
      </w:tr>
      <w:bookmarkEnd w:id="6"/>
    </w:tbl>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6FD0781A" w14:textId="77777777" w:rsidR="005F72B9" w:rsidRDefault="005F72B9" w:rsidP="00894059">
      <w:pPr>
        <w:pStyle w:val="Default"/>
        <w:rPr>
          <w:sz w:val="20"/>
          <w:szCs w:val="20"/>
        </w:rPr>
      </w:pPr>
    </w:p>
    <w:sectPr w:rsidR="005F72B9" w:rsidSect="002256AD">
      <w:headerReference w:type="default" r:id="rId14"/>
      <w:foot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B5543" w14:textId="77777777" w:rsidR="00126487" w:rsidRDefault="00126487" w:rsidP="006B56BB">
      <w:r>
        <w:separator/>
      </w:r>
    </w:p>
    <w:p w14:paraId="37C29CB8" w14:textId="77777777" w:rsidR="00126487" w:rsidRDefault="00126487"/>
  </w:endnote>
  <w:endnote w:type="continuationSeparator" w:id="0">
    <w:p w14:paraId="501EF708" w14:textId="77777777" w:rsidR="00126487" w:rsidRDefault="00126487" w:rsidP="006B56BB">
      <w:r>
        <w:continuationSeparator/>
      </w:r>
    </w:p>
    <w:p w14:paraId="4EF7D801" w14:textId="77777777" w:rsidR="00126487" w:rsidRDefault="00126487"/>
  </w:endnote>
  <w:endnote w:type="continuationNotice" w:id="1">
    <w:p w14:paraId="0109271E" w14:textId="77777777" w:rsidR="00126487" w:rsidRDefault="00126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C3AE" w14:textId="4A100627" w:rsidR="00EB520C" w:rsidRPr="00C64B9E" w:rsidRDefault="00C9013A" w:rsidP="00526804">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p>
  <w:p w14:paraId="2B30D25D" w14:textId="0CABA183" w:rsidR="00EB520C" w:rsidRPr="00C64B9E" w:rsidRDefault="0044106A" w:rsidP="00526804">
    <w:pPr>
      <w:tabs>
        <w:tab w:val="center" w:pos="4513"/>
        <w:tab w:val="right" w:pos="10466"/>
      </w:tabs>
      <w:spacing w:before="0" w:after="0" w:line="240" w:lineRule="auto"/>
      <w:rPr>
        <w:color w:val="3F4A75" w:themeColor="text2"/>
        <w:sz w:val="16"/>
      </w:rPr>
    </w:pPr>
    <w:r w:rsidRPr="00210F96">
      <w:rPr>
        <w:b/>
        <w:color w:val="3F4A75" w:themeColor="text2"/>
        <w:sz w:val="16"/>
      </w:rPr>
      <w:t xml:space="preserve">Amendment (item 38461) </w:t>
    </w:r>
    <w:r w:rsidR="00EB079D" w:rsidRPr="00C64B9E">
      <w:rPr>
        <w:b/>
        <w:color w:val="3F4A75" w:themeColor="text2"/>
        <w:sz w:val="16"/>
      </w:rPr>
      <w:t>–</w:t>
    </w:r>
    <w:r w:rsidRPr="00210F96">
      <w:rPr>
        <w:b/>
        <w:color w:val="3F4A75" w:themeColor="text2"/>
        <w:sz w:val="16"/>
      </w:rPr>
      <w:t xml:space="preserve"> for transcatheter mitral valve repair (TMVr) by transvenous or transeptal techniques to be device agnostic for the treatment of degenerative mitral regurgitation (DMR)</w:t>
    </w:r>
    <w:r w:rsidRPr="00210F96" w:rsidDel="00210F96">
      <w:rPr>
        <w:b/>
        <w:color w:val="3F4A75" w:themeColor="text2"/>
        <w:sz w:val="16"/>
      </w:rPr>
      <w:t xml:space="preserve"> </w:t>
    </w:r>
    <w:r w:rsidRPr="00C64B9E">
      <w:rPr>
        <w:b/>
        <w:color w:val="3F4A75" w:themeColor="text2"/>
        <w:sz w:val="16"/>
      </w:rPr>
      <w:t xml:space="preserve">–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B02FFB2" w14:textId="77777777" w:rsidR="00EB520C" w:rsidRDefault="00C9013A" w:rsidP="0044106A">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p>
  <w:p w14:paraId="0D181533" w14:textId="2A879EE8" w:rsidR="00EB520C" w:rsidRPr="005B7573" w:rsidRDefault="00EB520C" w:rsidP="00526804">
    <w:pPr>
      <w:tabs>
        <w:tab w:val="center" w:pos="4513"/>
        <w:tab w:val="right" w:pos="9026"/>
      </w:tabs>
      <w:spacing w:before="0" w:after="0" w:line="240" w:lineRule="auto"/>
      <w:rPr>
        <w:color w:val="3F4A75" w:themeColor="text2"/>
        <w:sz w:val="16"/>
      </w:rPr>
    </w:pPr>
    <w:bookmarkStart w:id="4" w:name="_Hlk6912109"/>
    <w:bookmarkStart w:id="5" w:name="_Hlk6912110"/>
    <w:r w:rsidRPr="005B7573">
      <w:rPr>
        <w:color w:val="3F4A75" w:themeColor="text2"/>
        <w:sz w:val="16"/>
      </w:rPr>
      <w:t>Last updated</w:t>
    </w:r>
    <w:r>
      <w:rPr>
        <w:color w:val="3F4A75" w:themeColor="text2"/>
        <w:sz w:val="16"/>
      </w:rPr>
      <w:t xml:space="preserve"> – </w:t>
    </w:r>
    <w:r w:rsidR="00AA2DD0">
      <w:rPr>
        <w:color w:val="3F4A75" w:themeColor="text2"/>
        <w:sz w:val="16"/>
      </w:rPr>
      <w:t>6</w:t>
    </w:r>
    <w:r w:rsidR="00A94F72">
      <w:rPr>
        <w:color w:val="3F4A75" w:themeColor="text2"/>
        <w:sz w:val="16"/>
      </w:rPr>
      <w:t xml:space="preserve"> November</w:t>
    </w:r>
    <w:r>
      <w:rPr>
        <w:color w:val="3F4A75" w:themeColor="text2"/>
        <w:sz w:val="16"/>
      </w:rPr>
      <w:t xml:space="preserve"> 20</w:t>
    </w:r>
    <w:r w:rsidR="009A0FB6">
      <w:rPr>
        <w:color w:val="3F4A75" w:themeColor="text2"/>
        <w:sz w:val="16"/>
      </w:rPr>
      <w:t>24</w:t>
    </w:r>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B847" w14:textId="766CBBE3" w:rsidR="0044106A" w:rsidRDefault="00C9013A" w:rsidP="00526804">
    <w:pPr>
      <w:tabs>
        <w:tab w:val="center" w:pos="4513"/>
        <w:tab w:val="right" w:pos="9026"/>
      </w:tabs>
      <w:spacing w:before="0" w:after="0" w:line="240" w:lineRule="auto"/>
      <w:rPr>
        <w:b/>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164C1CB8" w:rsidR="0094106D" w:rsidRPr="00C64B9E" w:rsidRDefault="00210F96" w:rsidP="00526804">
    <w:pPr>
      <w:tabs>
        <w:tab w:val="center" w:pos="4513"/>
        <w:tab w:val="right" w:pos="9026"/>
      </w:tabs>
      <w:spacing w:before="0" w:after="0" w:line="240" w:lineRule="auto"/>
      <w:rPr>
        <w:color w:val="3F4A75" w:themeColor="text2"/>
        <w:sz w:val="16"/>
      </w:rPr>
    </w:pPr>
    <w:r w:rsidRPr="00210F96">
      <w:rPr>
        <w:b/>
        <w:color w:val="3F4A75" w:themeColor="text2"/>
        <w:sz w:val="16"/>
      </w:rPr>
      <w:t xml:space="preserve">Amendment (item 38461) </w:t>
    </w:r>
    <w:r w:rsidR="00EB079D" w:rsidRPr="00C64B9E">
      <w:rPr>
        <w:b/>
        <w:color w:val="3F4A75" w:themeColor="text2"/>
        <w:sz w:val="16"/>
      </w:rPr>
      <w:t>–</w:t>
    </w:r>
    <w:r w:rsidRPr="00210F96">
      <w:rPr>
        <w:b/>
        <w:color w:val="3F4A75" w:themeColor="text2"/>
        <w:sz w:val="16"/>
      </w:rPr>
      <w:t xml:space="preserve"> for transcatheter mitral valve repair (TMVr) by transvenous or transeptal techniques to be device agnostic for the treatment of degenerative mitral regurgitation (DMR)</w:t>
    </w:r>
    <w:r w:rsidRPr="00210F96" w:rsidDel="00210F96">
      <w:rPr>
        <w:b/>
        <w:color w:val="3F4A75" w:themeColor="text2"/>
        <w:sz w:val="16"/>
      </w:rPr>
      <w:t xml:space="preserve"> </w:t>
    </w:r>
    <w:r w:rsidR="0094106D" w:rsidRPr="00C64B9E">
      <w:rPr>
        <w:b/>
        <w:color w:val="3F4A75" w:themeColor="text2"/>
        <w:sz w:val="16"/>
      </w:rPr>
      <w:t xml:space="preserve">–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1640E9B2" w14:textId="77777777" w:rsidR="0094106D" w:rsidRDefault="00C9013A" w:rsidP="0044106A">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4743463E" w:rsidR="007A3517" w:rsidRPr="0094106D" w:rsidRDefault="0094106D" w:rsidP="00526804">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AA2DD0">
      <w:rPr>
        <w:color w:val="3F4A75" w:themeColor="text2"/>
        <w:sz w:val="16"/>
      </w:rPr>
      <w:t>6</w:t>
    </w:r>
    <w:r w:rsidR="00A94F72">
      <w:rPr>
        <w:color w:val="3F4A75" w:themeColor="text2"/>
        <w:sz w:val="16"/>
      </w:rPr>
      <w:t xml:space="preserve"> November</w:t>
    </w:r>
    <w:r>
      <w:rPr>
        <w:color w:val="3F4A75" w:themeColor="text2"/>
        <w:sz w:val="16"/>
      </w:rPr>
      <w:t xml:space="preserve"> 20</w:t>
    </w:r>
    <w:r w:rsidR="0044106A">
      <w:rPr>
        <w:color w:val="3F4A75" w:themeColor="text2"/>
        <w:sz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BB6B" w14:textId="7BFBC8B1" w:rsidR="007A3517" w:rsidRPr="00C64B9E" w:rsidRDefault="00C9013A" w:rsidP="00526804">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7A3517" w:rsidRPr="00C64B9E">
      <w:rPr>
        <w:color w:val="3F4A75" w:themeColor="text2"/>
        <w:sz w:val="16"/>
      </w:rPr>
      <w:t>Medicare Benefits Schedule</w:t>
    </w:r>
  </w:p>
  <w:p w14:paraId="4AC7D8D4" w14:textId="0AC2AB13" w:rsidR="007A3517" w:rsidRPr="00C64B9E" w:rsidRDefault="009A0FB6" w:rsidP="00526804">
    <w:pPr>
      <w:tabs>
        <w:tab w:val="center" w:pos="4513"/>
        <w:tab w:val="right" w:pos="10466"/>
      </w:tabs>
      <w:spacing w:before="0" w:after="0" w:line="240" w:lineRule="auto"/>
      <w:rPr>
        <w:color w:val="3F4A75" w:themeColor="text2"/>
        <w:sz w:val="16"/>
      </w:rPr>
    </w:pPr>
    <w:r w:rsidRPr="00210F96">
      <w:rPr>
        <w:b/>
        <w:color w:val="3F4A75" w:themeColor="text2"/>
        <w:sz w:val="16"/>
      </w:rPr>
      <w:t xml:space="preserve">Amendment (item 38461) </w:t>
    </w:r>
    <w:r w:rsidR="00EB079D" w:rsidRPr="00C64B9E">
      <w:rPr>
        <w:b/>
        <w:color w:val="3F4A75" w:themeColor="text2"/>
        <w:sz w:val="16"/>
      </w:rPr>
      <w:t>–</w:t>
    </w:r>
    <w:r w:rsidRPr="00210F96">
      <w:rPr>
        <w:b/>
        <w:color w:val="3F4A75" w:themeColor="text2"/>
        <w:sz w:val="16"/>
      </w:rPr>
      <w:t xml:space="preserve"> for transcatheter mitral valve repair (TMVr) by transvenous or transeptal techniques to be device agnostic for the treatment of degenerative mitral regurgitation (DMR)</w:t>
    </w:r>
    <w:r w:rsidRPr="00210F96" w:rsidDel="00210F96">
      <w:rPr>
        <w:b/>
        <w:color w:val="3F4A75" w:themeColor="text2"/>
        <w:sz w:val="16"/>
      </w:rPr>
      <w:t xml:space="preserve"> </w:t>
    </w:r>
    <w:r w:rsidRPr="00C64B9E">
      <w:rPr>
        <w:b/>
        <w:color w:val="3F4A75" w:themeColor="text2"/>
        <w:sz w:val="16"/>
      </w:rPr>
      <w:t xml:space="preserve">– </w:t>
    </w:r>
    <w:r>
      <w:rPr>
        <w:b/>
        <w:color w:val="3F4A75" w:themeColor="text2"/>
        <w:sz w:val="16"/>
      </w:rPr>
      <w:t>Q</w:t>
    </w:r>
    <w:r w:rsidR="007A3517">
      <w:rPr>
        <w:b/>
        <w:color w:val="3F4A75" w:themeColor="text2"/>
        <w:sz w:val="16"/>
      </w:rPr>
      <w:t>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C9013A" w:rsidP="009A0FB6">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122DDBC5" w:rsidR="007A3517" w:rsidRPr="005B7573" w:rsidRDefault="007A3517" w:rsidP="00526804">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AA2DD0">
      <w:rPr>
        <w:color w:val="3F4A75" w:themeColor="text2"/>
        <w:sz w:val="16"/>
      </w:rPr>
      <w:t>6</w:t>
    </w:r>
    <w:r w:rsidR="00EB079D">
      <w:rPr>
        <w:color w:val="3F4A75" w:themeColor="text2"/>
        <w:sz w:val="16"/>
      </w:rPr>
      <w:t xml:space="preserve"> November</w:t>
    </w:r>
    <w:r w:rsidR="009A0FB6">
      <w:rPr>
        <w:color w:val="3F4A75" w:themeColor="text2"/>
        <w:sz w:val="16"/>
      </w:rPr>
      <w:t xml:space="preserve"> 2024</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2F676" w14:textId="77777777" w:rsidR="00126487" w:rsidRDefault="00126487" w:rsidP="006B56BB">
      <w:r>
        <w:separator/>
      </w:r>
    </w:p>
    <w:p w14:paraId="50D5F265" w14:textId="77777777" w:rsidR="00126487" w:rsidRDefault="00126487"/>
  </w:footnote>
  <w:footnote w:type="continuationSeparator" w:id="0">
    <w:p w14:paraId="160DD8EF" w14:textId="77777777" w:rsidR="00126487" w:rsidRDefault="00126487" w:rsidP="006B56BB">
      <w:r>
        <w:continuationSeparator/>
      </w:r>
    </w:p>
    <w:p w14:paraId="2C4804C5" w14:textId="77777777" w:rsidR="00126487" w:rsidRDefault="00126487"/>
  </w:footnote>
  <w:footnote w:type="continuationNotice" w:id="1">
    <w:p w14:paraId="2B263BFA" w14:textId="77777777" w:rsidR="00126487" w:rsidRDefault="00126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E403E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D7A78"/>
    <w:multiLevelType w:val="hybridMultilevel"/>
    <w:tmpl w:val="624ED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216382"/>
    <w:multiLevelType w:val="hybridMultilevel"/>
    <w:tmpl w:val="7E54F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372155"/>
    <w:multiLevelType w:val="hybridMultilevel"/>
    <w:tmpl w:val="B1CC8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3"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1955C2"/>
    <w:multiLevelType w:val="hybridMultilevel"/>
    <w:tmpl w:val="ED2A10BA"/>
    <w:lvl w:ilvl="0" w:tplc="EDCAE140">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20753249">
    <w:abstractNumId w:val="7"/>
  </w:num>
  <w:num w:numId="2" w16cid:durableId="434251836">
    <w:abstractNumId w:val="21"/>
  </w:num>
  <w:num w:numId="3" w16cid:durableId="496380261">
    <w:abstractNumId w:val="25"/>
  </w:num>
  <w:num w:numId="4" w16cid:durableId="840311449">
    <w:abstractNumId w:val="8"/>
  </w:num>
  <w:num w:numId="5" w16cid:durableId="1370498328">
    <w:abstractNumId w:val="8"/>
    <w:lvlOverride w:ilvl="0">
      <w:startOverride w:val="1"/>
    </w:lvlOverride>
  </w:num>
  <w:num w:numId="6" w16cid:durableId="112406106">
    <w:abstractNumId w:val="9"/>
  </w:num>
  <w:num w:numId="7" w16cid:durableId="828254767">
    <w:abstractNumId w:val="19"/>
  </w:num>
  <w:num w:numId="8" w16cid:durableId="1872651040">
    <w:abstractNumId w:val="24"/>
  </w:num>
  <w:num w:numId="9" w16cid:durableId="363293571">
    <w:abstractNumId w:val="5"/>
  </w:num>
  <w:num w:numId="10" w16cid:durableId="1218081971">
    <w:abstractNumId w:val="4"/>
  </w:num>
  <w:num w:numId="11" w16cid:durableId="1531724328">
    <w:abstractNumId w:val="3"/>
  </w:num>
  <w:num w:numId="12" w16cid:durableId="506755910">
    <w:abstractNumId w:val="2"/>
  </w:num>
  <w:num w:numId="13" w16cid:durableId="1758285070">
    <w:abstractNumId w:val="6"/>
  </w:num>
  <w:num w:numId="14" w16cid:durableId="1466434783">
    <w:abstractNumId w:val="1"/>
  </w:num>
  <w:num w:numId="15" w16cid:durableId="298652443">
    <w:abstractNumId w:val="0"/>
  </w:num>
  <w:num w:numId="16" w16cid:durableId="351493155">
    <w:abstractNumId w:val="27"/>
  </w:num>
  <w:num w:numId="17" w16cid:durableId="1695113156">
    <w:abstractNumId w:val="10"/>
  </w:num>
  <w:num w:numId="18" w16cid:durableId="1551191582">
    <w:abstractNumId w:val="14"/>
  </w:num>
  <w:num w:numId="19" w16cid:durableId="1124078827">
    <w:abstractNumId w:val="18"/>
  </w:num>
  <w:num w:numId="20" w16cid:durableId="1006981749">
    <w:abstractNumId w:val="10"/>
  </w:num>
  <w:num w:numId="21" w16cid:durableId="1035350461">
    <w:abstractNumId w:val="18"/>
  </w:num>
  <w:num w:numId="22" w16cid:durableId="119299438">
    <w:abstractNumId w:val="27"/>
  </w:num>
  <w:num w:numId="23" w16cid:durableId="1227765617">
    <w:abstractNumId w:val="21"/>
  </w:num>
  <w:num w:numId="24" w16cid:durableId="939293950">
    <w:abstractNumId w:val="25"/>
  </w:num>
  <w:num w:numId="25" w16cid:durableId="459567055">
    <w:abstractNumId w:val="8"/>
  </w:num>
  <w:num w:numId="26" w16cid:durableId="1816952040">
    <w:abstractNumId w:val="20"/>
  </w:num>
  <w:num w:numId="27" w16cid:durableId="1107963809">
    <w:abstractNumId w:val="12"/>
  </w:num>
  <w:num w:numId="28" w16cid:durableId="78260028">
    <w:abstractNumId w:val="23"/>
  </w:num>
  <w:num w:numId="29" w16cid:durableId="544679239">
    <w:abstractNumId w:val="13"/>
  </w:num>
  <w:num w:numId="30" w16cid:durableId="1876119187">
    <w:abstractNumId w:val="10"/>
  </w:num>
  <w:num w:numId="31" w16cid:durableId="1513229168">
    <w:abstractNumId w:val="22"/>
  </w:num>
  <w:num w:numId="32" w16cid:durableId="869150680">
    <w:abstractNumId w:val="17"/>
  </w:num>
  <w:num w:numId="33" w16cid:durableId="599877800">
    <w:abstractNumId w:val="16"/>
  </w:num>
  <w:num w:numId="34" w16cid:durableId="2028099796">
    <w:abstractNumId w:val="26"/>
  </w:num>
  <w:num w:numId="35" w16cid:durableId="1608195471">
    <w:abstractNumId w:val="15"/>
  </w:num>
  <w:num w:numId="36" w16cid:durableId="1763066665">
    <w:abstractNumId w:val="7"/>
  </w:num>
  <w:num w:numId="37" w16cid:durableId="1151756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28C"/>
    <w:rsid w:val="000117F8"/>
    <w:rsid w:val="00012A8D"/>
    <w:rsid w:val="0001460F"/>
    <w:rsid w:val="00022629"/>
    <w:rsid w:val="00026139"/>
    <w:rsid w:val="00027601"/>
    <w:rsid w:val="00033321"/>
    <w:rsid w:val="000338E5"/>
    <w:rsid w:val="00033ECC"/>
    <w:rsid w:val="0003422F"/>
    <w:rsid w:val="00046FF0"/>
    <w:rsid w:val="00050176"/>
    <w:rsid w:val="00050342"/>
    <w:rsid w:val="00060161"/>
    <w:rsid w:val="00067456"/>
    <w:rsid w:val="00071506"/>
    <w:rsid w:val="0007154F"/>
    <w:rsid w:val="00074B1F"/>
    <w:rsid w:val="00081AB1"/>
    <w:rsid w:val="00090316"/>
    <w:rsid w:val="00093981"/>
    <w:rsid w:val="00095BE9"/>
    <w:rsid w:val="000A1AC1"/>
    <w:rsid w:val="000A3A33"/>
    <w:rsid w:val="000B067A"/>
    <w:rsid w:val="000B1540"/>
    <w:rsid w:val="000B1E53"/>
    <w:rsid w:val="000B33FD"/>
    <w:rsid w:val="000B4ABA"/>
    <w:rsid w:val="000B521E"/>
    <w:rsid w:val="000C0685"/>
    <w:rsid w:val="000C4B16"/>
    <w:rsid w:val="000C50C3"/>
    <w:rsid w:val="000C5E14"/>
    <w:rsid w:val="000C7AF8"/>
    <w:rsid w:val="000D21F6"/>
    <w:rsid w:val="000D4500"/>
    <w:rsid w:val="000D7AEA"/>
    <w:rsid w:val="000E2600"/>
    <w:rsid w:val="000E2C66"/>
    <w:rsid w:val="000F101E"/>
    <w:rsid w:val="000F123C"/>
    <w:rsid w:val="000F2FED"/>
    <w:rsid w:val="0010616D"/>
    <w:rsid w:val="00110478"/>
    <w:rsid w:val="0011711B"/>
    <w:rsid w:val="00117F8A"/>
    <w:rsid w:val="00121B9B"/>
    <w:rsid w:val="00122ADC"/>
    <w:rsid w:val="00126487"/>
    <w:rsid w:val="00130F59"/>
    <w:rsid w:val="00133EC0"/>
    <w:rsid w:val="00141CE5"/>
    <w:rsid w:val="00144908"/>
    <w:rsid w:val="00156D96"/>
    <w:rsid w:val="001571C7"/>
    <w:rsid w:val="00161094"/>
    <w:rsid w:val="00175EFF"/>
    <w:rsid w:val="0017665C"/>
    <w:rsid w:val="00177AD2"/>
    <w:rsid w:val="0018141C"/>
    <w:rsid w:val="001815A8"/>
    <w:rsid w:val="001840FA"/>
    <w:rsid w:val="00184DEB"/>
    <w:rsid w:val="00190079"/>
    <w:rsid w:val="00191C4D"/>
    <w:rsid w:val="0019622E"/>
    <w:rsid w:val="001966A7"/>
    <w:rsid w:val="001A45DB"/>
    <w:rsid w:val="001A4627"/>
    <w:rsid w:val="001A4979"/>
    <w:rsid w:val="001B15D3"/>
    <w:rsid w:val="001B3157"/>
    <w:rsid w:val="001B32B0"/>
    <w:rsid w:val="001B3443"/>
    <w:rsid w:val="001C0326"/>
    <w:rsid w:val="001C192F"/>
    <w:rsid w:val="001C3C42"/>
    <w:rsid w:val="001D7869"/>
    <w:rsid w:val="002026CD"/>
    <w:rsid w:val="002033FC"/>
    <w:rsid w:val="002044BB"/>
    <w:rsid w:val="00210B09"/>
    <w:rsid w:val="00210C9E"/>
    <w:rsid w:val="00210F96"/>
    <w:rsid w:val="00211840"/>
    <w:rsid w:val="00220E5F"/>
    <w:rsid w:val="002212B5"/>
    <w:rsid w:val="002256AD"/>
    <w:rsid w:val="00226668"/>
    <w:rsid w:val="00227535"/>
    <w:rsid w:val="00227639"/>
    <w:rsid w:val="00233809"/>
    <w:rsid w:val="00235783"/>
    <w:rsid w:val="00240046"/>
    <w:rsid w:val="002441E3"/>
    <w:rsid w:val="0024797F"/>
    <w:rsid w:val="0025119E"/>
    <w:rsid w:val="00251269"/>
    <w:rsid w:val="00251B87"/>
    <w:rsid w:val="002535C0"/>
    <w:rsid w:val="00254FA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0FDD"/>
    <w:rsid w:val="002A2FB0"/>
    <w:rsid w:val="002B20E6"/>
    <w:rsid w:val="002B289A"/>
    <w:rsid w:val="002B42A3"/>
    <w:rsid w:val="002C0CDD"/>
    <w:rsid w:val="002C38C4"/>
    <w:rsid w:val="002E1A1D"/>
    <w:rsid w:val="002E205E"/>
    <w:rsid w:val="002E4081"/>
    <w:rsid w:val="002E5B78"/>
    <w:rsid w:val="002F3AE3"/>
    <w:rsid w:val="002F7CAD"/>
    <w:rsid w:val="00300925"/>
    <w:rsid w:val="0030464B"/>
    <w:rsid w:val="0030786C"/>
    <w:rsid w:val="00316EFE"/>
    <w:rsid w:val="00317563"/>
    <w:rsid w:val="003233DE"/>
    <w:rsid w:val="0032466B"/>
    <w:rsid w:val="003330EB"/>
    <w:rsid w:val="003415FD"/>
    <w:rsid w:val="003429F0"/>
    <w:rsid w:val="00345A82"/>
    <w:rsid w:val="00346170"/>
    <w:rsid w:val="0035097A"/>
    <w:rsid w:val="003540A4"/>
    <w:rsid w:val="003557C5"/>
    <w:rsid w:val="00357BCC"/>
    <w:rsid w:val="00360E4E"/>
    <w:rsid w:val="00364FB5"/>
    <w:rsid w:val="00370AAA"/>
    <w:rsid w:val="00373F60"/>
    <w:rsid w:val="00375F77"/>
    <w:rsid w:val="003814A1"/>
    <w:rsid w:val="00381BBE"/>
    <w:rsid w:val="00382903"/>
    <w:rsid w:val="003846FF"/>
    <w:rsid w:val="003857D4"/>
    <w:rsid w:val="00385AD4"/>
    <w:rsid w:val="00387924"/>
    <w:rsid w:val="00392313"/>
    <w:rsid w:val="0039384D"/>
    <w:rsid w:val="00395C23"/>
    <w:rsid w:val="003A2E4F"/>
    <w:rsid w:val="003A4438"/>
    <w:rsid w:val="003A5013"/>
    <w:rsid w:val="003A5078"/>
    <w:rsid w:val="003A62DD"/>
    <w:rsid w:val="003A74BF"/>
    <w:rsid w:val="003A775A"/>
    <w:rsid w:val="003A7DE1"/>
    <w:rsid w:val="003B213A"/>
    <w:rsid w:val="003B43AD"/>
    <w:rsid w:val="003C0FEC"/>
    <w:rsid w:val="003C11FC"/>
    <w:rsid w:val="003C2AC8"/>
    <w:rsid w:val="003C5377"/>
    <w:rsid w:val="003D033A"/>
    <w:rsid w:val="003D17F9"/>
    <w:rsid w:val="003D2D88"/>
    <w:rsid w:val="003D41EA"/>
    <w:rsid w:val="003D4850"/>
    <w:rsid w:val="003D535A"/>
    <w:rsid w:val="003E5265"/>
    <w:rsid w:val="003F0955"/>
    <w:rsid w:val="003F5F4D"/>
    <w:rsid w:val="003F646F"/>
    <w:rsid w:val="00400F00"/>
    <w:rsid w:val="00401374"/>
    <w:rsid w:val="00404F8B"/>
    <w:rsid w:val="00405256"/>
    <w:rsid w:val="00410031"/>
    <w:rsid w:val="00411530"/>
    <w:rsid w:val="00412CEB"/>
    <w:rsid w:val="00415C81"/>
    <w:rsid w:val="004243F3"/>
    <w:rsid w:val="00432378"/>
    <w:rsid w:val="00433DED"/>
    <w:rsid w:val="00440D65"/>
    <w:rsid w:val="0044106A"/>
    <w:rsid w:val="004435E6"/>
    <w:rsid w:val="00447E31"/>
    <w:rsid w:val="00450AED"/>
    <w:rsid w:val="00453923"/>
    <w:rsid w:val="00454B9B"/>
    <w:rsid w:val="00457858"/>
    <w:rsid w:val="00460B0B"/>
    <w:rsid w:val="00461023"/>
    <w:rsid w:val="00462FAC"/>
    <w:rsid w:val="00464631"/>
    <w:rsid w:val="00464B79"/>
    <w:rsid w:val="00467BBF"/>
    <w:rsid w:val="00473E3F"/>
    <w:rsid w:val="0048593C"/>
    <w:rsid w:val="004867E2"/>
    <w:rsid w:val="004929A9"/>
    <w:rsid w:val="004A65E9"/>
    <w:rsid w:val="004A78D9"/>
    <w:rsid w:val="004C1BCD"/>
    <w:rsid w:val="004C6BCF"/>
    <w:rsid w:val="004D58BF"/>
    <w:rsid w:val="004E35C9"/>
    <w:rsid w:val="004E4335"/>
    <w:rsid w:val="004E6B40"/>
    <w:rsid w:val="004F13EE"/>
    <w:rsid w:val="004F2022"/>
    <w:rsid w:val="004F3C9F"/>
    <w:rsid w:val="004F7C05"/>
    <w:rsid w:val="00501C94"/>
    <w:rsid w:val="005049E9"/>
    <w:rsid w:val="00506432"/>
    <w:rsid w:val="00506E82"/>
    <w:rsid w:val="00515F5E"/>
    <w:rsid w:val="0052051D"/>
    <w:rsid w:val="00522F2B"/>
    <w:rsid w:val="00526804"/>
    <w:rsid w:val="00545EE6"/>
    <w:rsid w:val="00553A06"/>
    <w:rsid w:val="005550E7"/>
    <w:rsid w:val="005564FB"/>
    <w:rsid w:val="005572C7"/>
    <w:rsid w:val="0056265E"/>
    <w:rsid w:val="005650ED"/>
    <w:rsid w:val="00565B01"/>
    <w:rsid w:val="00575754"/>
    <w:rsid w:val="00581FBA"/>
    <w:rsid w:val="00591E20"/>
    <w:rsid w:val="00595408"/>
    <w:rsid w:val="00595E84"/>
    <w:rsid w:val="005A0C59"/>
    <w:rsid w:val="005A48EB"/>
    <w:rsid w:val="005A6CFB"/>
    <w:rsid w:val="005B2544"/>
    <w:rsid w:val="005B4167"/>
    <w:rsid w:val="005C5AEB"/>
    <w:rsid w:val="005E0A3F"/>
    <w:rsid w:val="005E48B0"/>
    <w:rsid w:val="005E6883"/>
    <w:rsid w:val="005E68ED"/>
    <w:rsid w:val="005E772F"/>
    <w:rsid w:val="005F4ECA"/>
    <w:rsid w:val="005F72B9"/>
    <w:rsid w:val="00602CF1"/>
    <w:rsid w:val="006041BE"/>
    <w:rsid w:val="006043C7"/>
    <w:rsid w:val="00615A7D"/>
    <w:rsid w:val="006172DA"/>
    <w:rsid w:val="00624B52"/>
    <w:rsid w:val="00630794"/>
    <w:rsid w:val="00631DF4"/>
    <w:rsid w:val="006338C1"/>
    <w:rsid w:val="00634175"/>
    <w:rsid w:val="006408AC"/>
    <w:rsid w:val="006511B6"/>
    <w:rsid w:val="00657FF8"/>
    <w:rsid w:val="00662D56"/>
    <w:rsid w:val="00666DBE"/>
    <w:rsid w:val="00670D99"/>
    <w:rsid w:val="00670E2B"/>
    <w:rsid w:val="006713ED"/>
    <w:rsid w:val="006734BB"/>
    <w:rsid w:val="00674C44"/>
    <w:rsid w:val="0067697A"/>
    <w:rsid w:val="006821EB"/>
    <w:rsid w:val="006853B0"/>
    <w:rsid w:val="00691D00"/>
    <w:rsid w:val="0069491C"/>
    <w:rsid w:val="00696A1F"/>
    <w:rsid w:val="00696E97"/>
    <w:rsid w:val="006B15E7"/>
    <w:rsid w:val="006B2286"/>
    <w:rsid w:val="006B56BB"/>
    <w:rsid w:val="006C2675"/>
    <w:rsid w:val="006C77A8"/>
    <w:rsid w:val="006D4098"/>
    <w:rsid w:val="006D7681"/>
    <w:rsid w:val="006D7B2E"/>
    <w:rsid w:val="006E02EA"/>
    <w:rsid w:val="006E0968"/>
    <w:rsid w:val="006E2AF6"/>
    <w:rsid w:val="00701275"/>
    <w:rsid w:val="007017EA"/>
    <w:rsid w:val="007065E0"/>
    <w:rsid w:val="00707F56"/>
    <w:rsid w:val="00713558"/>
    <w:rsid w:val="00720D08"/>
    <w:rsid w:val="007263B9"/>
    <w:rsid w:val="007334F8"/>
    <w:rsid w:val="007339CD"/>
    <w:rsid w:val="007359D8"/>
    <w:rsid w:val="007362D4"/>
    <w:rsid w:val="00746FF5"/>
    <w:rsid w:val="00752397"/>
    <w:rsid w:val="007609FA"/>
    <w:rsid w:val="0076672A"/>
    <w:rsid w:val="007749D0"/>
    <w:rsid w:val="00775E45"/>
    <w:rsid w:val="00776E74"/>
    <w:rsid w:val="007838F8"/>
    <w:rsid w:val="00785169"/>
    <w:rsid w:val="0078765E"/>
    <w:rsid w:val="007926B9"/>
    <w:rsid w:val="007954AB"/>
    <w:rsid w:val="007A14C5"/>
    <w:rsid w:val="007A3517"/>
    <w:rsid w:val="007A4A10"/>
    <w:rsid w:val="007B1760"/>
    <w:rsid w:val="007B2C00"/>
    <w:rsid w:val="007B48D0"/>
    <w:rsid w:val="007B4F03"/>
    <w:rsid w:val="007C1FDC"/>
    <w:rsid w:val="007C6D9C"/>
    <w:rsid w:val="007C7DDB"/>
    <w:rsid w:val="007D2CC7"/>
    <w:rsid w:val="007D673D"/>
    <w:rsid w:val="007E0FB8"/>
    <w:rsid w:val="007E4D09"/>
    <w:rsid w:val="007E6895"/>
    <w:rsid w:val="007F2220"/>
    <w:rsid w:val="007F245F"/>
    <w:rsid w:val="007F4B3E"/>
    <w:rsid w:val="007F7A74"/>
    <w:rsid w:val="00805FA5"/>
    <w:rsid w:val="008127AF"/>
    <w:rsid w:val="00812B46"/>
    <w:rsid w:val="00813C55"/>
    <w:rsid w:val="00815700"/>
    <w:rsid w:val="0082110E"/>
    <w:rsid w:val="0082246B"/>
    <w:rsid w:val="008264EB"/>
    <w:rsid w:val="00826B8F"/>
    <w:rsid w:val="00831E8A"/>
    <w:rsid w:val="00835C76"/>
    <w:rsid w:val="008376E2"/>
    <w:rsid w:val="00843049"/>
    <w:rsid w:val="00844935"/>
    <w:rsid w:val="0085209B"/>
    <w:rsid w:val="00856B66"/>
    <w:rsid w:val="008601AC"/>
    <w:rsid w:val="008612AA"/>
    <w:rsid w:val="00861A5F"/>
    <w:rsid w:val="008644AD"/>
    <w:rsid w:val="00865735"/>
    <w:rsid w:val="00865DDB"/>
    <w:rsid w:val="00867538"/>
    <w:rsid w:val="00873D90"/>
    <w:rsid w:val="00873FC8"/>
    <w:rsid w:val="00880493"/>
    <w:rsid w:val="00884C63"/>
    <w:rsid w:val="00885908"/>
    <w:rsid w:val="008864B7"/>
    <w:rsid w:val="00893DC5"/>
    <w:rsid w:val="00894059"/>
    <w:rsid w:val="0089677E"/>
    <w:rsid w:val="008A48A0"/>
    <w:rsid w:val="008A7438"/>
    <w:rsid w:val="008B09B8"/>
    <w:rsid w:val="008B1334"/>
    <w:rsid w:val="008B25C7"/>
    <w:rsid w:val="008C0278"/>
    <w:rsid w:val="008C24E9"/>
    <w:rsid w:val="008D0533"/>
    <w:rsid w:val="008D42CB"/>
    <w:rsid w:val="008D48C9"/>
    <w:rsid w:val="008D6381"/>
    <w:rsid w:val="008D6E86"/>
    <w:rsid w:val="008E0C77"/>
    <w:rsid w:val="008E625F"/>
    <w:rsid w:val="008E6AC9"/>
    <w:rsid w:val="008F264D"/>
    <w:rsid w:val="008F4D91"/>
    <w:rsid w:val="008F6686"/>
    <w:rsid w:val="009040E9"/>
    <w:rsid w:val="00904EA5"/>
    <w:rsid w:val="00905531"/>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106D"/>
    <w:rsid w:val="00941529"/>
    <w:rsid w:val="00945D23"/>
    <w:rsid w:val="00945E7F"/>
    <w:rsid w:val="00947B0D"/>
    <w:rsid w:val="009557C1"/>
    <w:rsid w:val="00960D6E"/>
    <w:rsid w:val="00972255"/>
    <w:rsid w:val="00974B59"/>
    <w:rsid w:val="0098340B"/>
    <w:rsid w:val="0098371E"/>
    <w:rsid w:val="00986830"/>
    <w:rsid w:val="009924C3"/>
    <w:rsid w:val="00993102"/>
    <w:rsid w:val="009A0ADD"/>
    <w:rsid w:val="009A0BEE"/>
    <w:rsid w:val="009A0FB6"/>
    <w:rsid w:val="009B06B9"/>
    <w:rsid w:val="009B1570"/>
    <w:rsid w:val="009C6F10"/>
    <w:rsid w:val="009D077B"/>
    <w:rsid w:val="009D148F"/>
    <w:rsid w:val="009D3D70"/>
    <w:rsid w:val="009E6F7E"/>
    <w:rsid w:val="009E7A57"/>
    <w:rsid w:val="009F4803"/>
    <w:rsid w:val="009F4F6A"/>
    <w:rsid w:val="00A13EB5"/>
    <w:rsid w:val="00A16E36"/>
    <w:rsid w:val="00A1741F"/>
    <w:rsid w:val="00A23B16"/>
    <w:rsid w:val="00A24961"/>
    <w:rsid w:val="00A24B10"/>
    <w:rsid w:val="00A277EF"/>
    <w:rsid w:val="00A30E9B"/>
    <w:rsid w:val="00A356DB"/>
    <w:rsid w:val="00A400EF"/>
    <w:rsid w:val="00A4512D"/>
    <w:rsid w:val="00A46EC6"/>
    <w:rsid w:val="00A50244"/>
    <w:rsid w:val="00A52EBD"/>
    <w:rsid w:val="00A627D7"/>
    <w:rsid w:val="00A656C7"/>
    <w:rsid w:val="00A705AF"/>
    <w:rsid w:val="00A719F6"/>
    <w:rsid w:val="00A72454"/>
    <w:rsid w:val="00A77696"/>
    <w:rsid w:val="00A80557"/>
    <w:rsid w:val="00A81D33"/>
    <w:rsid w:val="00A8341C"/>
    <w:rsid w:val="00A930AE"/>
    <w:rsid w:val="00A94F72"/>
    <w:rsid w:val="00AA1A95"/>
    <w:rsid w:val="00AA260F"/>
    <w:rsid w:val="00AA2DD0"/>
    <w:rsid w:val="00AA6575"/>
    <w:rsid w:val="00AB1EE7"/>
    <w:rsid w:val="00AB4B37"/>
    <w:rsid w:val="00AB5762"/>
    <w:rsid w:val="00AC16C3"/>
    <w:rsid w:val="00AC2679"/>
    <w:rsid w:val="00AC4BE4"/>
    <w:rsid w:val="00AD05E6"/>
    <w:rsid w:val="00AD0D3F"/>
    <w:rsid w:val="00AD720E"/>
    <w:rsid w:val="00AD7DD2"/>
    <w:rsid w:val="00AE1D7D"/>
    <w:rsid w:val="00AE2A8B"/>
    <w:rsid w:val="00AE3F64"/>
    <w:rsid w:val="00AE4BD6"/>
    <w:rsid w:val="00AF7386"/>
    <w:rsid w:val="00AF7934"/>
    <w:rsid w:val="00B00B81"/>
    <w:rsid w:val="00B0201C"/>
    <w:rsid w:val="00B04580"/>
    <w:rsid w:val="00B04B09"/>
    <w:rsid w:val="00B163A3"/>
    <w:rsid w:val="00B16A51"/>
    <w:rsid w:val="00B27BF7"/>
    <w:rsid w:val="00B32222"/>
    <w:rsid w:val="00B3618D"/>
    <w:rsid w:val="00B36233"/>
    <w:rsid w:val="00B42851"/>
    <w:rsid w:val="00B45AC7"/>
    <w:rsid w:val="00B5080E"/>
    <w:rsid w:val="00B5372F"/>
    <w:rsid w:val="00B53987"/>
    <w:rsid w:val="00B61129"/>
    <w:rsid w:val="00B67E7F"/>
    <w:rsid w:val="00B73EE0"/>
    <w:rsid w:val="00B839B2"/>
    <w:rsid w:val="00B94252"/>
    <w:rsid w:val="00B96043"/>
    <w:rsid w:val="00B9715A"/>
    <w:rsid w:val="00B97C1C"/>
    <w:rsid w:val="00BA14BE"/>
    <w:rsid w:val="00BA2732"/>
    <w:rsid w:val="00BA293D"/>
    <w:rsid w:val="00BA49BC"/>
    <w:rsid w:val="00BA56B7"/>
    <w:rsid w:val="00BA6211"/>
    <w:rsid w:val="00BA7A1E"/>
    <w:rsid w:val="00BB2F6C"/>
    <w:rsid w:val="00BB3875"/>
    <w:rsid w:val="00BB5860"/>
    <w:rsid w:val="00BB6792"/>
    <w:rsid w:val="00BB6AAD"/>
    <w:rsid w:val="00BC0240"/>
    <w:rsid w:val="00BC207E"/>
    <w:rsid w:val="00BC4A19"/>
    <w:rsid w:val="00BC4E6D"/>
    <w:rsid w:val="00BD0617"/>
    <w:rsid w:val="00BD2C2B"/>
    <w:rsid w:val="00BD2E9B"/>
    <w:rsid w:val="00BD7FB2"/>
    <w:rsid w:val="00C00930"/>
    <w:rsid w:val="00C060AD"/>
    <w:rsid w:val="00C113BF"/>
    <w:rsid w:val="00C14AA6"/>
    <w:rsid w:val="00C2176E"/>
    <w:rsid w:val="00C23430"/>
    <w:rsid w:val="00C27D67"/>
    <w:rsid w:val="00C40403"/>
    <w:rsid w:val="00C41311"/>
    <w:rsid w:val="00C441C4"/>
    <w:rsid w:val="00C4631F"/>
    <w:rsid w:val="00C47CDE"/>
    <w:rsid w:val="00C50E16"/>
    <w:rsid w:val="00C51D9F"/>
    <w:rsid w:val="00C55258"/>
    <w:rsid w:val="00C56BD8"/>
    <w:rsid w:val="00C66CEC"/>
    <w:rsid w:val="00C7294C"/>
    <w:rsid w:val="00C82EEB"/>
    <w:rsid w:val="00C84FE2"/>
    <w:rsid w:val="00C92130"/>
    <w:rsid w:val="00C933D3"/>
    <w:rsid w:val="00C971DC"/>
    <w:rsid w:val="00CA15E7"/>
    <w:rsid w:val="00CA16B7"/>
    <w:rsid w:val="00CA28DD"/>
    <w:rsid w:val="00CA62AE"/>
    <w:rsid w:val="00CB5B1A"/>
    <w:rsid w:val="00CC220B"/>
    <w:rsid w:val="00CC5C43"/>
    <w:rsid w:val="00CD02AE"/>
    <w:rsid w:val="00CD2A4F"/>
    <w:rsid w:val="00CD71E7"/>
    <w:rsid w:val="00CE03CA"/>
    <w:rsid w:val="00CE22F1"/>
    <w:rsid w:val="00CE50F2"/>
    <w:rsid w:val="00CE6502"/>
    <w:rsid w:val="00CF0033"/>
    <w:rsid w:val="00CF2307"/>
    <w:rsid w:val="00CF7D3C"/>
    <w:rsid w:val="00D01F09"/>
    <w:rsid w:val="00D147EB"/>
    <w:rsid w:val="00D34667"/>
    <w:rsid w:val="00D401E1"/>
    <w:rsid w:val="00D408B4"/>
    <w:rsid w:val="00D44330"/>
    <w:rsid w:val="00D524C8"/>
    <w:rsid w:val="00D70A3D"/>
    <w:rsid w:val="00D70E24"/>
    <w:rsid w:val="00D72B61"/>
    <w:rsid w:val="00D76953"/>
    <w:rsid w:val="00D86F44"/>
    <w:rsid w:val="00DA096D"/>
    <w:rsid w:val="00DA3D1D"/>
    <w:rsid w:val="00DA6460"/>
    <w:rsid w:val="00DB6286"/>
    <w:rsid w:val="00DB645F"/>
    <w:rsid w:val="00DB76E9"/>
    <w:rsid w:val="00DC0A67"/>
    <w:rsid w:val="00DC1D5E"/>
    <w:rsid w:val="00DC33AA"/>
    <w:rsid w:val="00DC5220"/>
    <w:rsid w:val="00DD2061"/>
    <w:rsid w:val="00DD7DAB"/>
    <w:rsid w:val="00DE3355"/>
    <w:rsid w:val="00DE3441"/>
    <w:rsid w:val="00DF0C60"/>
    <w:rsid w:val="00DF486F"/>
    <w:rsid w:val="00DF5B5B"/>
    <w:rsid w:val="00DF7619"/>
    <w:rsid w:val="00E001CE"/>
    <w:rsid w:val="00E01CA5"/>
    <w:rsid w:val="00E042D8"/>
    <w:rsid w:val="00E07EE7"/>
    <w:rsid w:val="00E1103B"/>
    <w:rsid w:val="00E12AB4"/>
    <w:rsid w:val="00E17B44"/>
    <w:rsid w:val="00E20F27"/>
    <w:rsid w:val="00E22443"/>
    <w:rsid w:val="00E25B1F"/>
    <w:rsid w:val="00E262F2"/>
    <w:rsid w:val="00E27FEA"/>
    <w:rsid w:val="00E33DDD"/>
    <w:rsid w:val="00E37EC3"/>
    <w:rsid w:val="00E4086F"/>
    <w:rsid w:val="00E43AFA"/>
    <w:rsid w:val="00E43B3C"/>
    <w:rsid w:val="00E50188"/>
    <w:rsid w:val="00E50BB3"/>
    <w:rsid w:val="00E515CB"/>
    <w:rsid w:val="00E52260"/>
    <w:rsid w:val="00E52EE2"/>
    <w:rsid w:val="00E639B6"/>
    <w:rsid w:val="00E6434B"/>
    <w:rsid w:val="00E6463D"/>
    <w:rsid w:val="00E6619E"/>
    <w:rsid w:val="00E72E9B"/>
    <w:rsid w:val="00E75821"/>
    <w:rsid w:val="00E850C3"/>
    <w:rsid w:val="00E87B0E"/>
    <w:rsid w:val="00E87DF2"/>
    <w:rsid w:val="00E9462E"/>
    <w:rsid w:val="00EA470E"/>
    <w:rsid w:val="00EA47A7"/>
    <w:rsid w:val="00EA57EB"/>
    <w:rsid w:val="00EB079D"/>
    <w:rsid w:val="00EB3226"/>
    <w:rsid w:val="00EB520C"/>
    <w:rsid w:val="00EB69CC"/>
    <w:rsid w:val="00EC213A"/>
    <w:rsid w:val="00EC7744"/>
    <w:rsid w:val="00ED0DAD"/>
    <w:rsid w:val="00ED0F46"/>
    <w:rsid w:val="00ED2373"/>
    <w:rsid w:val="00EE3E8A"/>
    <w:rsid w:val="00EE4669"/>
    <w:rsid w:val="00EE5E91"/>
    <w:rsid w:val="00EF58B8"/>
    <w:rsid w:val="00EF6ECA"/>
    <w:rsid w:val="00F024E1"/>
    <w:rsid w:val="00F06C10"/>
    <w:rsid w:val="00F1096F"/>
    <w:rsid w:val="00F10A64"/>
    <w:rsid w:val="00F12589"/>
    <w:rsid w:val="00F12595"/>
    <w:rsid w:val="00F134D9"/>
    <w:rsid w:val="00F1403D"/>
    <w:rsid w:val="00F1463F"/>
    <w:rsid w:val="00F21302"/>
    <w:rsid w:val="00F23415"/>
    <w:rsid w:val="00F2430D"/>
    <w:rsid w:val="00F321DE"/>
    <w:rsid w:val="00F33777"/>
    <w:rsid w:val="00F40648"/>
    <w:rsid w:val="00F47DA2"/>
    <w:rsid w:val="00F519FC"/>
    <w:rsid w:val="00F6239D"/>
    <w:rsid w:val="00F67963"/>
    <w:rsid w:val="00F715D2"/>
    <w:rsid w:val="00F7274F"/>
    <w:rsid w:val="00F74E84"/>
    <w:rsid w:val="00F76FA8"/>
    <w:rsid w:val="00F8208C"/>
    <w:rsid w:val="00F83C20"/>
    <w:rsid w:val="00F87B76"/>
    <w:rsid w:val="00F93F08"/>
    <w:rsid w:val="00F94CED"/>
    <w:rsid w:val="00F96843"/>
    <w:rsid w:val="00FA02BB"/>
    <w:rsid w:val="00FA2CEE"/>
    <w:rsid w:val="00FA318C"/>
    <w:rsid w:val="00FA7E93"/>
    <w:rsid w:val="00FA7F62"/>
    <w:rsid w:val="00FB0E30"/>
    <w:rsid w:val="00FB6F92"/>
    <w:rsid w:val="00FB7800"/>
    <w:rsid w:val="00FC026E"/>
    <w:rsid w:val="00FC5124"/>
    <w:rsid w:val="00FC5A6C"/>
    <w:rsid w:val="00FC620D"/>
    <w:rsid w:val="00FD0C0D"/>
    <w:rsid w:val="00FD4731"/>
    <w:rsid w:val="00FD6768"/>
    <w:rsid w:val="00FE4EA8"/>
    <w:rsid w:val="00FF0AB0"/>
    <w:rsid w:val="00FF2575"/>
    <w:rsid w:val="00FF28AC"/>
    <w:rsid w:val="00FF3EB7"/>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customStyle="1" w:styleId="Default">
    <w:name w:val="Default"/>
    <w:rsid w:val="00894059"/>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BC207E"/>
    <w:rPr>
      <w:rFonts w:ascii="Arial" w:eastAsiaTheme="minorEastAsia" w:hAnsi="Arial" w:cstheme="minorBidi"/>
      <w:szCs w:val="21"/>
      <w:lang w:eastAsia="en-US"/>
    </w:rPr>
  </w:style>
  <w:style w:type="paragraph" w:customStyle="1" w:styleId="tablei">
    <w:name w:val="tablei"/>
    <w:basedOn w:val="Normal"/>
    <w:rsid w:val="00184DE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semiHidden/>
    <w:unhideWhenUsed/>
    <w:rsid w:val="006853B0"/>
    <w:rPr>
      <w:sz w:val="16"/>
      <w:szCs w:val="16"/>
    </w:rPr>
  </w:style>
  <w:style w:type="paragraph" w:styleId="CommentSubject">
    <w:name w:val="annotation subject"/>
    <w:basedOn w:val="CommentText"/>
    <w:next w:val="CommentText"/>
    <w:link w:val="CommentSubjectChar"/>
    <w:semiHidden/>
    <w:unhideWhenUsed/>
    <w:rsid w:val="006853B0"/>
    <w:rPr>
      <w:b/>
      <w:bCs/>
    </w:rPr>
  </w:style>
  <w:style w:type="character" w:customStyle="1" w:styleId="CommentSubjectChar">
    <w:name w:val="Comment Subject Char"/>
    <w:basedOn w:val="CommentTextChar"/>
    <w:link w:val="CommentSubject"/>
    <w:semiHidden/>
    <w:rsid w:val="006853B0"/>
    <w:rPr>
      <w:rFonts w:ascii="Arial" w:eastAsiaTheme="minorEastAsia" w:hAnsi="Arial" w:cstheme="minorBidi"/>
      <w:b/>
      <w:bCs/>
      <w:lang w:eastAsia="en-US"/>
    </w:rPr>
  </w:style>
  <w:style w:type="paragraph" w:customStyle="1" w:styleId="RecommendationsBullets">
    <w:name w:val="Recommendations Bullets"/>
    <w:basedOn w:val="Normal"/>
    <w:autoRedefine/>
    <w:uiPriority w:val="3"/>
    <w:qFormat/>
    <w:rsid w:val="001B32B0"/>
    <w:pPr>
      <w:spacing w:before="0" w:after="160"/>
      <w:ind w:left="360" w:hanging="360"/>
    </w:pPr>
    <w:rPr>
      <w:noProof/>
      <w:color w:val="3F4A75" w:themeColor="text2"/>
    </w:rPr>
  </w:style>
  <w:style w:type="character" w:styleId="UnresolvedMention">
    <w:name w:val="Unresolved Mention"/>
    <w:basedOn w:val="DefaultParagraphFont"/>
    <w:uiPriority w:val="99"/>
    <w:semiHidden/>
    <w:unhideWhenUsed/>
    <w:rsid w:val="0052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93941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health.gov.au/topics/medicare/compli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2024-11-06T02:30:00Z</dcterms:created>
  <dcterms:modified xsi:type="dcterms:W3CDTF">2024-11-06T02:30:00Z</dcterms:modified>
</cp:coreProperties>
</file>