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37ACE8BE" w:rsidR="00C72C2D" w:rsidRPr="00702D01" w:rsidRDefault="00A71A0F" w:rsidP="00962435">
      <w:pPr>
        <w:pStyle w:val="Heading1"/>
      </w:pPr>
      <w:bookmarkStart w:id="0" w:name="_GoBack"/>
      <w:bookmarkEnd w:id="0"/>
      <w:r>
        <w:t>Changes to oncology</w:t>
      </w:r>
      <w:r w:rsidR="000D052C">
        <w:t xml:space="preserve"> procedure</w:t>
      </w:r>
      <w:r w:rsidR="00933CFA" w:rsidRPr="00702D01">
        <w:t xml:space="preserve"> </w:t>
      </w:r>
      <w:r w:rsidR="00702D01" w:rsidRPr="00702D01">
        <w:t>MBS services - Reference G</w:t>
      </w:r>
      <w:r w:rsidR="003F2E62"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79F65147" w14:textId="336ACD1A" w:rsidR="00933CFA" w:rsidRDefault="00FA7AAF" w:rsidP="00C967C0">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A71A0F" w:rsidRPr="001216C6">
        <w:rPr>
          <w:rStyle w:val="NEWItemNumber"/>
        </w:rPr>
        <w:t>30810</w:t>
      </w:r>
      <w:r w:rsidR="00281DCB">
        <w:rPr>
          <w:rStyle w:val="NEWItemNumber"/>
        </w:rPr>
        <w:t>*</w:t>
      </w:r>
    </w:p>
    <w:p w14:paraId="5FDF3F3D" w14:textId="30FFDFF8" w:rsidR="00A71A0F" w:rsidRPr="00A71A0F" w:rsidRDefault="00A71A0F" w:rsidP="00A71A0F">
      <w:pPr>
        <w:pStyle w:val="Heading2"/>
        <w:ind w:left="2160" w:hanging="2160"/>
        <w:rPr>
          <w:b/>
          <w:color w:val="FFFFFF" w:themeColor="background1"/>
          <w:u w:color="006341" w:themeColor="accent1"/>
          <w:shd w:val="clear" w:color="auto" w:fill="789D4A" w:themeFill="accent2"/>
        </w:rPr>
      </w:pPr>
      <w:r>
        <w:rPr>
          <w:szCs w:val="28"/>
        </w:rPr>
        <w:t>Amended</w:t>
      </w:r>
      <w:r w:rsidRPr="00561D56">
        <w:rPr>
          <w:szCs w:val="28"/>
        </w:rPr>
        <w:t xml:space="preserve"> items:</w:t>
      </w:r>
      <w:r w:rsidRPr="00C160BC">
        <w:rPr>
          <w:szCs w:val="28"/>
        </w:rPr>
        <w:tab/>
      </w:r>
      <w:r>
        <w:rPr>
          <w:szCs w:val="28"/>
        </w:rPr>
        <w:tab/>
      </w:r>
      <w:r w:rsidRPr="001013ED">
        <w:rPr>
          <w:rStyle w:val="AmendedItemNumber"/>
        </w:rPr>
        <w:t>30419</w:t>
      </w:r>
    </w:p>
    <w:p w14:paraId="126286FF" w14:textId="56FFE468"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A71A0F" w:rsidRPr="001013ED">
        <w:rPr>
          <w:rStyle w:val="DeletedItemNumber"/>
        </w:rPr>
        <w:t>30578 30580 30581</w:t>
      </w:r>
    </w:p>
    <w:p w14:paraId="516DA7E4" w14:textId="0EBAFC8F" w:rsidR="00F625C9" w:rsidRDefault="00F625C9" w:rsidP="00237A74">
      <w:pPr>
        <w:spacing w:line="276" w:lineRule="auto"/>
        <w:rPr>
          <w:sz w:val="18"/>
        </w:rPr>
      </w:pPr>
      <w:r w:rsidRPr="00636AA5">
        <w:rPr>
          <w:sz w:val="18"/>
        </w:rPr>
        <w:t>*Amendment to</w:t>
      </w:r>
      <w:r w:rsidR="00814E9B">
        <w:rPr>
          <w:sz w:val="18"/>
        </w:rPr>
        <w:t xml:space="preserve"> </w:t>
      </w:r>
      <w:r w:rsidRPr="00636AA5">
        <w:rPr>
          <w:sz w:val="18"/>
        </w:rPr>
        <w:t>explanatory note or introduction of new explanatory note</w:t>
      </w:r>
      <w:r w:rsidR="00814E9B">
        <w:rPr>
          <w:sz w:val="18"/>
        </w:rPr>
        <w:t xml:space="preserve"> </w:t>
      </w:r>
    </w:p>
    <w:p w14:paraId="4E3497D9" w14:textId="77777777" w:rsidR="00F625C9" w:rsidRPr="00520161" w:rsidRDefault="00F625C9" w:rsidP="00F625C9">
      <w:pPr>
        <w:pStyle w:val="Heading2"/>
      </w:pPr>
      <w:r w:rsidRPr="00520161">
        <w:t>Revised structure</w:t>
      </w:r>
    </w:p>
    <w:p w14:paraId="3C103D75" w14:textId="09DF8FFA" w:rsidR="00397858" w:rsidRPr="00F24FDD" w:rsidRDefault="00972DA7" w:rsidP="002460C3">
      <w:pPr>
        <w:pStyle w:val="ListParagraph"/>
        <w:numPr>
          <w:ilvl w:val="0"/>
          <w:numId w:val="1"/>
        </w:numPr>
        <w:rPr>
          <w:b/>
        </w:rPr>
      </w:pPr>
      <w:bookmarkStart w:id="2" w:name="_Hlk535506978"/>
      <w:r>
        <w:rPr>
          <w:b/>
        </w:rPr>
        <w:t>6</w:t>
      </w:r>
      <w:r w:rsidR="000D67BC">
        <w:rPr>
          <w:b/>
        </w:rPr>
        <w:t xml:space="preserve"> July</w:t>
      </w:r>
      <w:r w:rsidR="00397858">
        <w:rPr>
          <w:b/>
        </w:rPr>
        <w:t xml:space="preserve"> 2021 update: this factsheet now includes the final item descriptors and fees (inclusive of 1 July 2021 indexation) for the new and amended items listed above.</w:t>
      </w:r>
      <w:r w:rsidR="002460C3">
        <w:rPr>
          <w:b/>
        </w:rPr>
        <w:t xml:space="preserve"> </w:t>
      </w:r>
      <w:r w:rsidR="002460C3" w:rsidRPr="00D3768B">
        <w:rPr>
          <w:b/>
        </w:rPr>
        <w:t xml:space="preserve">Only minor wording changes were made to the item descriptors during the drafting of the legislation, </w:t>
      </w:r>
      <w:r w:rsidR="002460C3">
        <w:rPr>
          <w:b/>
        </w:rPr>
        <w:t>there have been no changes to the clinical intent of the items.</w:t>
      </w:r>
    </w:p>
    <w:p w14:paraId="11E0282A" w14:textId="4FBA6061"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A99FFC0"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B42229">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51287883"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212A89E7"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07796696" w:rsidR="00F625C9" w:rsidRPr="00114BC8" w:rsidRDefault="00F625C9" w:rsidP="00F625C9">
      <w:pPr>
        <w:pStyle w:val="Heading2"/>
      </w:pPr>
      <w:r w:rsidRPr="00114BC8">
        <w:t>Restrictions or requirements</w:t>
      </w:r>
    </w:p>
    <w:bookmarkEnd w:id="3"/>
    <w:p w14:paraId="77F80ED2" w14:textId="460D688E" w:rsidR="00F24FDD"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0B70DC51" w14:textId="77777777" w:rsidR="00F24FDD" w:rsidRDefault="00F24FDD">
      <w:pPr>
        <w:spacing w:line="259" w:lineRule="auto"/>
      </w:pPr>
      <w:r>
        <w:br w:type="page"/>
      </w:r>
    </w:p>
    <w:p w14:paraId="55C37286" w14:textId="77777777" w:rsidR="00E163A3" w:rsidRPr="004A6607" w:rsidRDefault="00E163A3" w:rsidP="00F625C9">
      <w:pPr>
        <w:spacing w:line="276" w:lineRule="auto"/>
      </w:pPr>
    </w:p>
    <w:p w14:paraId="1B05458C" w14:textId="6A01FEDF" w:rsidR="00AC2975" w:rsidRPr="00962435" w:rsidRDefault="00712438" w:rsidP="00962435">
      <w:pPr>
        <w:pStyle w:val="Heading1"/>
      </w:pPr>
      <w:r>
        <w:t>Oncology</w:t>
      </w:r>
      <w:r w:rsidR="000D052C">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even" r:id="rId7"/>
          <w:headerReference w:type="default" r:id="rId8"/>
          <w:footerReference w:type="even" r:id="rId9"/>
          <w:footerReference w:type="default" r:id="rId10"/>
          <w:headerReference w:type="first" r:id="rId11"/>
          <w:footerReference w:type="first" r:id="rId12"/>
          <w:type w:val="continuous"/>
          <w:pgSz w:w="11906" w:h="16838"/>
          <w:pgMar w:top="2694" w:right="720" w:bottom="720" w:left="720" w:header="708" w:footer="708" w:gutter="0"/>
          <w:cols w:space="567"/>
          <w:docGrid w:linePitch="360"/>
        </w:sectPr>
      </w:pPr>
    </w:p>
    <w:p w14:paraId="0A137631" w14:textId="2887026C"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6E4F3B">
        <w:rPr>
          <w:rStyle w:val="NEWItemNumber"/>
        </w:rPr>
        <w:t>30810</w:t>
      </w:r>
      <w:r w:rsidR="00281DCB">
        <w:rPr>
          <w:rStyle w:val="NEWItemNumber"/>
        </w:rPr>
        <w:t>*</w:t>
      </w:r>
      <w:r w:rsidR="003813CE">
        <w:rPr>
          <w:rStyle w:val="NEWItemNumber"/>
        </w:rPr>
        <w:t xml:space="preserve"> </w:t>
      </w:r>
      <w:r w:rsidR="003813CE">
        <w:t>E</w:t>
      </w:r>
      <w:r w:rsidR="003813CE" w:rsidRPr="006E4F3B">
        <w:t>xploration of pancreas or duodenum</w:t>
      </w:r>
      <w:r w:rsidR="003813CE">
        <w:t xml:space="preserve"> for e</w:t>
      </w:r>
      <w:r w:rsidR="003813CE" w:rsidRPr="006E4F3B">
        <w:t>ndocrine tumour</w:t>
      </w:r>
    </w:p>
    <w:p w14:paraId="4E4C3E7F" w14:textId="39D84FB8"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411F90">
        <w:t>Introducing</w:t>
      </w:r>
      <w:r w:rsidR="00411F90" w:rsidRPr="008F47D0">
        <w:t xml:space="preserve"> a new </w:t>
      </w:r>
      <w:r w:rsidR="00411F90" w:rsidRPr="006458B8">
        <w:t>item</w:t>
      </w:r>
      <w:r w:rsidR="00411F90">
        <w:t xml:space="preserve"> that</w:t>
      </w:r>
      <w:r w:rsidR="00411F90" w:rsidRPr="006458B8">
        <w:t xml:space="preserve"> </w:t>
      </w:r>
      <w:r w:rsidR="00411F90">
        <w:t>combines</w:t>
      </w:r>
      <w:r w:rsidR="00411F90" w:rsidRPr="006458B8">
        <w:t xml:space="preserve"> existing items </w:t>
      </w:r>
      <w:r w:rsidR="00411F90" w:rsidRPr="00411F90">
        <w:t>30578</w:t>
      </w:r>
      <w:r w:rsidR="00411F90">
        <w:t xml:space="preserve"> (</w:t>
      </w:r>
      <w:r w:rsidR="00411F90" w:rsidRPr="00411F90">
        <w:t>exploration of pancreas or duodenum, followed by local excision of pancreatic tumour</w:t>
      </w:r>
      <w:r w:rsidR="00411F90">
        <w:t xml:space="preserve">), </w:t>
      </w:r>
      <w:r w:rsidR="00411F90" w:rsidRPr="00411F90">
        <w:t>30580</w:t>
      </w:r>
      <w:r w:rsidR="006D3A3C">
        <w:t xml:space="preserve"> </w:t>
      </w:r>
      <w:r w:rsidR="00411F90">
        <w:t>(</w:t>
      </w:r>
      <w:r w:rsidR="00411F90" w:rsidRPr="00411F90">
        <w:t>exploration of pancreas or duodenum, followed by local excision of duodenal tumour</w:t>
      </w:r>
      <w:r w:rsidR="00411F90">
        <w:t xml:space="preserve">) and </w:t>
      </w:r>
      <w:r w:rsidR="00411F90" w:rsidRPr="00411F90">
        <w:t>30581</w:t>
      </w:r>
      <w:r w:rsidR="00411F90">
        <w:t xml:space="preserve"> (</w:t>
      </w:r>
      <w:r w:rsidR="00411F90" w:rsidRPr="00411F90">
        <w:t>exploration of pancreas or duodenum for, but no tumour found</w:t>
      </w:r>
      <w:r w:rsidR="00411F90">
        <w:t xml:space="preserve">). Items 30578, </w:t>
      </w:r>
      <w:r w:rsidR="00411F90" w:rsidRPr="00411F90">
        <w:t>30580</w:t>
      </w:r>
      <w:r w:rsidR="00411F90">
        <w:t xml:space="preserve"> and 30581 will be deleted.</w:t>
      </w:r>
    </w:p>
    <w:p w14:paraId="4695882F" w14:textId="77777777" w:rsidR="008A7ED1" w:rsidRPr="00F24FDD" w:rsidRDefault="00A03571" w:rsidP="008A7ED1">
      <w:pPr>
        <w:pStyle w:val="Tabletext"/>
        <w:rPr>
          <w:rFonts w:asciiTheme="minorHAnsi" w:eastAsiaTheme="minorHAnsi" w:hAnsiTheme="minorHAnsi" w:cstheme="minorHAnsi"/>
          <w:lang w:eastAsia="en-US"/>
        </w:rPr>
      </w:pPr>
      <w:r w:rsidRPr="00882BF4">
        <w:rPr>
          <w:rStyle w:val="Descriptorheader"/>
        </w:rPr>
        <w:t xml:space="preserve">Item </w:t>
      </w:r>
      <w:r w:rsidR="00F37C06" w:rsidRPr="00882BF4">
        <w:rPr>
          <w:rStyle w:val="Descriptorheader"/>
        </w:rPr>
        <w:t>Descriptor</w:t>
      </w:r>
      <w:r w:rsidR="00C33A20" w:rsidRPr="00882BF4">
        <w:rPr>
          <w:rFonts w:ascii="Arial" w:eastAsiaTheme="minorEastAsia" w:hAnsi="Arial" w:cstheme="minorBidi"/>
          <w:b/>
          <w:bCs/>
          <w:iCs/>
          <w:szCs w:val="21"/>
          <w:lang w:eastAsia="en-US"/>
        </w:rPr>
        <w:t>:</w:t>
      </w:r>
      <w:r w:rsidR="00C33A20" w:rsidRPr="00882BF4">
        <w:rPr>
          <w:rFonts w:ascii="Arial" w:eastAsiaTheme="minorEastAsia" w:hAnsi="Arial" w:cstheme="minorBidi"/>
          <w:szCs w:val="21"/>
          <w:lang w:eastAsia="en-US"/>
        </w:rPr>
        <w:t xml:space="preserve"> </w:t>
      </w:r>
      <w:r w:rsidR="008A7ED1" w:rsidRPr="00F24FDD">
        <w:rPr>
          <w:rFonts w:asciiTheme="minorHAnsi" w:eastAsiaTheme="minorHAnsi" w:hAnsiTheme="minorHAnsi" w:cstheme="minorHAnsi"/>
          <w:lang w:eastAsia="en-US"/>
        </w:rPr>
        <w:t>Exploration of pancreas or duodenum for endocrine tumour, including associated imaging, either:</w:t>
      </w:r>
    </w:p>
    <w:p w14:paraId="71965321" w14:textId="77777777" w:rsidR="008A7ED1" w:rsidRPr="00F24FDD" w:rsidRDefault="008A7ED1" w:rsidP="008A7ED1">
      <w:pPr>
        <w:pStyle w:val="Tabletext"/>
        <w:rPr>
          <w:rFonts w:asciiTheme="minorHAnsi" w:eastAsiaTheme="minorHAnsi" w:hAnsiTheme="minorHAnsi" w:cstheme="minorHAnsi"/>
          <w:lang w:eastAsia="en-US"/>
        </w:rPr>
      </w:pPr>
      <w:r w:rsidRPr="00F24FDD">
        <w:rPr>
          <w:rFonts w:asciiTheme="minorHAnsi" w:eastAsiaTheme="minorHAnsi" w:hAnsiTheme="minorHAnsi" w:cstheme="minorHAnsi"/>
          <w:lang w:eastAsia="en-US"/>
        </w:rPr>
        <w:t>(a) followed by local excision of tumour; or</w:t>
      </w:r>
    </w:p>
    <w:p w14:paraId="2F0013F2" w14:textId="77777777" w:rsidR="008A7ED1" w:rsidRPr="00F24FDD" w:rsidRDefault="008A7ED1" w:rsidP="008A7ED1">
      <w:pPr>
        <w:pStyle w:val="Tabletext"/>
        <w:rPr>
          <w:rFonts w:asciiTheme="minorHAnsi" w:eastAsiaTheme="minorHAnsi" w:hAnsiTheme="minorHAnsi" w:cstheme="minorHAnsi"/>
          <w:lang w:eastAsia="en-US"/>
        </w:rPr>
      </w:pPr>
      <w:r w:rsidRPr="00F24FDD">
        <w:rPr>
          <w:rFonts w:asciiTheme="minorHAnsi" w:eastAsiaTheme="minorHAnsi" w:hAnsiTheme="minorHAnsi" w:cstheme="minorHAnsi"/>
          <w:lang w:eastAsia="en-US"/>
        </w:rPr>
        <w:t>(b) when, after extensive exploration, no tumour is found</w:t>
      </w:r>
    </w:p>
    <w:p w14:paraId="5817F7A2" w14:textId="65FA3457" w:rsidR="000D052C" w:rsidRPr="005B5A69" w:rsidRDefault="008A7ED1">
      <w:pPr>
        <w:pStyle w:val="Tabletext"/>
        <w:rPr>
          <w:rFonts w:ascii="Arial" w:eastAsiaTheme="minorEastAsia" w:hAnsi="Arial" w:cstheme="minorBidi"/>
          <w:szCs w:val="21"/>
          <w:lang w:eastAsia="en-US"/>
        </w:rPr>
      </w:pPr>
      <w:r w:rsidRPr="00F24FDD">
        <w:rPr>
          <w:rFonts w:asciiTheme="minorHAnsi" w:hAnsiTheme="minorHAnsi" w:cstheme="minorHAnsi"/>
        </w:rPr>
        <w:t>(H) (Anaes.) (Assist.)</w:t>
      </w:r>
      <w:r>
        <w:rPr>
          <w:rFonts w:ascii="Calibri" w:hAnsi="Calibri" w:cs="Calibri"/>
        </w:rPr>
        <w:t xml:space="preserve"> </w:t>
      </w:r>
    </w:p>
    <w:p w14:paraId="531737BD" w14:textId="1761809A" w:rsidR="000D052C" w:rsidRDefault="000D052C" w:rsidP="00F67CB6">
      <w:pPr>
        <w:pStyle w:val="Tabletext"/>
        <w:rPr>
          <w:rFonts w:ascii="Arial" w:eastAsiaTheme="minorEastAsia" w:hAnsi="Arial" w:cstheme="minorBidi"/>
          <w:szCs w:val="21"/>
          <w:lang w:eastAsia="en-US"/>
        </w:rPr>
      </w:pPr>
    </w:p>
    <w:p w14:paraId="37094720" w14:textId="625BA315" w:rsidR="004C69B3" w:rsidRPr="00882BF4" w:rsidRDefault="00A03571" w:rsidP="00A03571">
      <w:r w:rsidRPr="00882BF4">
        <w:rPr>
          <w:rStyle w:val="Descriptorheader"/>
        </w:rPr>
        <w:t>MBS fee:</w:t>
      </w:r>
      <w:r w:rsidRPr="00C85BCE">
        <w:rPr>
          <w:i/>
          <w:noProof/>
        </w:rPr>
        <w:t xml:space="preserve"> </w:t>
      </w:r>
      <w:r w:rsidR="008A7ED1" w:rsidRPr="00F24FDD">
        <w:rPr>
          <w:rFonts w:asciiTheme="minorHAnsi" w:hAnsiTheme="minorHAnsi" w:cstheme="minorHAnsi"/>
          <w:szCs w:val="20"/>
        </w:rPr>
        <w:t>$1,193.70</w:t>
      </w:r>
      <w:r w:rsidR="008A7ED1">
        <w:rPr>
          <w:rFonts w:ascii="Calibri" w:hAnsi="Calibri" w:cs="Calibri"/>
          <w:szCs w:val="20"/>
        </w:rPr>
        <w:t xml:space="preserve"> </w:t>
      </w:r>
    </w:p>
    <w:p w14:paraId="53E59C20" w14:textId="7B042ABA" w:rsidR="00F36A84" w:rsidRDefault="00B45B2D" w:rsidP="004E23A3">
      <w:pPr>
        <w:rPr>
          <w:noProof/>
        </w:rPr>
      </w:pPr>
      <w:r w:rsidRPr="00882BF4">
        <w:rPr>
          <w:rStyle w:val="Descriptorheader"/>
        </w:rPr>
        <w:t>PHI Classification:</w:t>
      </w:r>
      <w:r w:rsidR="00882BF4" w:rsidRPr="00882BF4">
        <w:t xml:space="preserve"> </w:t>
      </w:r>
      <w:r w:rsidR="000D052C" w:rsidRPr="000D052C">
        <w:t xml:space="preserve">Type A </w:t>
      </w:r>
      <w:r w:rsidR="009C2140">
        <w:t>–</w:t>
      </w:r>
      <w:r w:rsidR="000D052C" w:rsidRPr="000D052C">
        <w:t xml:space="preserve"> </w:t>
      </w:r>
      <w:r w:rsidR="006E4F3B">
        <w:t>Advanced s</w:t>
      </w:r>
      <w:r w:rsidR="000D052C" w:rsidRPr="000D052C">
        <w:t>urgical patient</w:t>
      </w:r>
      <w:r w:rsidRPr="00C85BCE">
        <w:rPr>
          <w:b/>
          <w:i/>
          <w:noProof/>
        </w:rPr>
        <w:t xml:space="preserve"> </w:t>
      </w:r>
      <w:r w:rsidR="001C4056" w:rsidRPr="001C4056">
        <w:rPr>
          <w:rStyle w:val="Descriptorheader"/>
        </w:rPr>
        <w:t xml:space="preserve"> </w:t>
      </w:r>
      <w:r w:rsidRPr="00882BF4">
        <w:rPr>
          <w:rStyle w:val="Descriptorheader"/>
        </w:rPr>
        <w:t>Clinical Category:</w:t>
      </w:r>
      <w:r w:rsidRPr="00882BF4">
        <w:rPr>
          <w:b/>
          <w:noProof/>
        </w:rPr>
        <w:t xml:space="preserve"> </w:t>
      </w:r>
      <w:r w:rsidR="00882BF4" w:rsidRPr="00882BF4">
        <w:rPr>
          <w:noProof/>
        </w:rPr>
        <w:t>Digestive system</w:t>
      </w:r>
    </w:p>
    <w:p w14:paraId="55709D21" w14:textId="3A97F418" w:rsidR="002E24C6" w:rsidRDefault="002E24C6" w:rsidP="00F16B7A"/>
    <w:p w14:paraId="369D5623" w14:textId="6A4C26B9" w:rsidR="006E4F3B" w:rsidRPr="00EE1C08" w:rsidRDefault="006E4F3B" w:rsidP="006E4F3B">
      <w:pPr>
        <w:pStyle w:val="Heading2"/>
      </w:pPr>
      <w:r>
        <w:rPr>
          <w:rStyle w:val="AmendedItemNumber"/>
          <w:noProof w:val="0"/>
          <w:szCs w:val="28"/>
        </w:rPr>
        <w:t xml:space="preserve">Amended item </w:t>
      </w:r>
      <w:r>
        <w:rPr>
          <w:rStyle w:val="AmendedItemNumber"/>
          <w:szCs w:val="28"/>
        </w:rPr>
        <w:t>30419</w:t>
      </w:r>
      <w:r w:rsidR="000B5D25">
        <w:rPr>
          <w:rStyle w:val="AmendedItemNumber"/>
          <w:szCs w:val="28"/>
        </w:rPr>
        <w:t xml:space="preserve">  </w:t>
      </w:r>
      <w:r w:rsidR="000B5D25">
        <w:t>D</w:t>
      </w:r>
      <w:r w:rsidR="000B5D25" w:rsidRPr="006E4F3B">
        <w:t>estruction of</w:t>
      </w:r>
      <w:r w:rsidR="000B5D25">
        <w:t xml:space="preserve"> liver tumours (other than </w:t>
      </w:r>
      <w:r w:rsidR="000B5D25" w:rsidRPr="006E4F3B">
        <w:t>hepatocellular carcinoma</w:t>
      </w:r>
      <w:r w:rsidR="000B5D25">
        <w:t xml:space="preserve">s) by </w:t>
      </w:r>
      <w:r w:rsidR="000B5D25" w:rsidRPr="006E4F3B">
        <w:t>local ablation</w:t>
      </w:r>
    </w:p>
    <w:p w14:paraId="4CFE4865" w14:textId="7FA3B840" w:rsidR="006E4F3B" w:rsidRPr="00EE1C08" w:rsidRDefault="006E4F3B" w:rsidP="006E4F3B">
      <w:r w:rsidRPr="00EE1C08">
        <w:rPr>
          <w:rStyle w:val="Descriptorheader"/>
        </w:rPr>
        <w:t>Overview:</w:t>
      </w:r>
      <w:r>
        <w:t xml:space="preserve"> </w:t>
      </w:r>
      <w:r w:rsidR="006D3A3C">
        <w:rPr>
          <w:rFonts w:asciiTheme="minorHAnsi" w:hAnsiTheme="minorHAnsi" w:cstheme="minorHAnsi"/>
          <w:szCs w:val="22"/>
        </w:rPr>
        <w:t xml:space="preserve">Specifying that the item provides for ablation of liver tumours other than </w:t>
      </w:r>
      <w:r w:rsidR="006D3A3C" w:rsidRPr="006E4F3B">
        <w:t>hepatocellular carcinoma</w:t>
      </w:r>
      <w:r w:rsidR="006D3A3C">
        <w:t>s (item 50950), p</w:t>
      </w:r>
      <w:r w:rsidR="00F339C1">
        <w:t>roviding for flexib</w:t>
      </w:r>
      <w:r w:rsidR="006D3A3C">
        <w:t>ility in ablation approach.</w:t>
      </w:r>
    </w:p>
    <w:p w14:paraId="02D5A355" w14:textId="1605860A" w:rsidR="006E4F3B" w:rsidRPr="00EE1C08" w:rsidRDefault="006E4F3B" w:rsidP="006E4F3B">
      <w:pPr>
        <w:pStyle w:val="Tabletext"/>
        <w:rPr>
          <w:rFonts w:ascii="Arial" w:eastAsiaTheme="minorEastAsia" w:hAnsi="Arial" w:cstheme="minorBidi"/>
          <w:szCs w:val="21"/>
          <w:lang w:eastAsia="en-US"/>
        </w:rPr>
      </w:pPr>
      <w:r w:rsidRPr="00EE1C08">
        <w:rPr>
          <w:rStyle w:val="Descriptorheader"/>
        </w:rPr>
        <w:t>Item Descriptor:</w:t>
      </w:r>
      <w:r w:rsidR="002858CA">
        <w:rPr>
          <w:rStyle w:val="Descriptorheader"/>
        </w:rPr>
        <w:t xml:space="preserve"> </w:t>
      </w:r>
      <w:r w:rsidR="002858CA" w:rsidRPr="00F24FDD">
        <w:rPr>
          <w:rFonts w:asciiTheme="minorHAnsi" w:hAnsiTheme="minorHAnsi" w:cstheme="minorHAnsi"/>
          <w:color w:val="000000"/>
        </w:rPr>
        <w:t>Liver tumour, other than a hepatocellular carcinoma, destruction of one or more, by local ablation, other than a service associated with a service to which item 50950 or 50952 applies (Anaes.) (Assist.)</w:t>
      </w:r>
      <w:r w:rsidR="002858CA" w:rsidRPr="00F24FDD">
        <w:rPr>
          <w:rFonts w:asciiTheme="minorHAnsi" w:hAnsiTheme="minorHAnsi" w:cstheme="minorHAnsi"/>
          <w:color w:val="000000"/>
        </w:rPr>
        <w:br/>
      </w:r>
      <w:r w:rsidRPr="00EE1C08">
        <w:t xml:space="preserve"> </w:t>
      </w:r>
    </w:p>
    <w:p w14:paraId="58E7A27C" w14:textId="12DCA2B2" w:rsidR="006E4F3B" w:rsidRPr="00EE1C08" w:rsidRDefault="006E4F3B" w:rsidP="006E4F3B">
      <w:r w:rsidRPr="00EE1C08">
        <w:rPr>
          <w:rStyle w:val="Descriptorheader"/>
        </w:rPr>
        <w:t>MBS fee:</w:t>
      </w:r>
      <w:r w:rsidRPr="00EE1C08">
        <w:rPr>
          <w:noProof/>
        </w:rPr>
        <w:t xml:space="preserve"> </w:t>
      </w:r>
      <w:r w:rsidR="002858CA" w:rsidRPr="00F24FDD">
        <w:rPr>
          <w:rFonts w:asciiTheme="minorHAnsi" w:eastAsia="Times New Roman" w:hAnsiTheme="minorHAnsi" w:cstheme="minorHAnsi"/>
          <w:color w:val="000000"/>
          <w:szCs w:val="20"/>
          <w:lang w:eastAsia="en-AU"/>
        </w:rPr>
        <w:t>$850.20</w:t>
      </w:r>
      <w:r w:rsidR="002858CA">
        <w:rPr>
          <w:rFonts w:ascii="Calibri" w:eastAsia="Times New Roman" w:hAnsi="Calibri" w:cs="Calibri"/>
          <w:color w:val="000000"/>
          <w:szCs w:val="20"/>
          <w:lang w:eastAsia="en-AU"/>
        </w:rPr>
        <w:t xml:space="preserve"> </w:t>
      </w:r>
    </w:p>
    <w:p w14:paraId="49514824" w14:textId="2C32D039" w:rsidR="006E4F3B" w:rsidRDefault="006E4F3B" w:rsidP="006E4F3B">
      <w:r w:rsidRPr="00EE1C08">
        <w:rPr>
          <w:rStyle w:val="Descriptorheader"/>
        </w:rPr>
        <w:t>PHI Classification:</w:t>
      </w:r>
      <w:r>
        <w:rPr>
          <w:rStyle w:val="Descriptorheader"/>
        </w:rPr>
        <w:t xml:space="preserve"> </w:t>
      </w:r>
      <w:r>
        <w:t xml:space="preserve">A –  Surgical patient </w:t>
      </w:r>
      <w:r w:rsidRPr="00EE1C08">
        <w:rPr>
          <w:rStyle w:val="Descriptorheader"/>
        </w:rPr>
        <w:t>Clinical Category:</w:t>
      </w:r>
      <w:r w:rsidRPr="00EE1C08">
        <w:rPr>
          <w:b/>
          <w:noProof/>
        </w:rPr>
        <w:t xml:space="preserve"> </w:t>
      </w:r>
      <w:r w:rsidRPr="008F6E6F">
        <w:t>Digestive system</w:t>
      </w:r>
    </w:p>
    <w:p w14:paraId="727C0240" w14:textId="25CA4225" w:rsidR="006E4F3B" w:rsidRDefault="006E4F3B" w:rsidP="00F16B7A"/>
    <w:p w14:paraId="033E4C07" w14:textId="77A5FF20" w:rsidR="00281DCB" w:rsidRDefault="00281DCB" w:rsidP="00281DCB">
      <w:pPr>
        <w:rPr>
          <w:rStyle w:val="NEWItemNumber"/>
          <w:noProof/>
          <w:sz w:val="28"/>
        </w:rPr>
      </w:pPr>
      <w:r w:rsidRPr="00C85BCE">
        <w:rPr>
          <w:rStyle w:val="NEWItemNumber"/>
          <w:noProof/>
          <w:sz w:val="28"/>
        </w:rPr>
        <w:t>Explanatory Note</w:t>
      </w:r>
      <w:r>
        <w:rPr>
          <w:rStyle w:val="NEWItemNumber"/>
          <w:noProof/>
          <w:sz w:val="28"/>
        </w:rPr>
        <w:t xml:space="preserve">TN.8.# </w:t>
      </w:r>
      <w:r w:rsidR="00C17069">
        <w:rPr>
          <w:noProof/>
          <w:color w:val="001A70" w:themeColor="text2"/>
          <w:sz w:val="28"/>
        </w:rPr>
        <w:t xml:space="preserve"> </w:t>
      </w:r>
      <w:r w:rsidR="00EE63C4" w:rsidRPr="00EE63C4">
        <w:rPr>
          <w:noProof/>
          <w:color w:val="001A70" w:themeColor="text2"/>
          <w:sz w:val="28"/>
        </w:rPr>
        <w:t>Exploration of pancreas or duodenum for endocrine tumour</w:t>
      </w:r>
      <w:r w:rsidR="00EE63C4">
        <w:rPr>
          <w:noProof/>
          <w:color w:val="001A70" w:themeColor="text2"/>
          <w:sz w:val="28"/>
        </w:rPr>
        <w:t xml:space="preserve"> (</w:t>
      </w:r>
      <w:r w:rsidR="00C17069">
        <w:rPr>
          <w:noProof/>
          <w:color w:val="001A70" w:themeColor="text2"/>
          <w:sz w:val="28"/>
        </w:rPr>
        <w:t>I</w:t>
      </w:r>
      <w:r w:rsidRPr="006560B6">
        <w:rPr>
          <w:noProof/>
          <w:color w:val="001A70" w:themeColor="text2"/>
          <w:sz w:val="28"/>
        </w:rPr>
        <w:t xml:space="preserve">tem </w:t>
      </w:r>
      <w:r>
        <w:rPr>
          <w:noProof/>
          <w:color w:val="001A70" w:themeColor="text2"/>
          <w:sz w:val="28"/>
        </w:rPr>
        <w:t>30810</w:t>
      </w:r>
      <w:r w:rsidR="00EE63C4">
        <w:rPr>
          <w:noProof/>
          <w:color w:val="001A70" w:themeColor="text2"/>
          <w:sz w:val="28"/>
        </w:rPr>
        <w:t>)</w:t>
      </w:r>
    </w:p>
    <w:p w14:paraId="07F76BB8" w14:textId="47B06A43" w:rsidR="00281DCB" w:rsidRDefault="00281DCB" w:rsidP="00281DCB">
      <w:pPr>
        <w:rPr>
          <w:rFonts w:asciiTheme="minorHAnsi" w:hAnsiTheme="minorHAnsi"/>
          <w:b/>
          <w:bCs/>
          <w:iCs/>
          <w:noProof/>
          <w:spacing w:val="5"/>
          <w:sz w:val="22"/>
        </w:rPr>
      </w:pPr>
      <w:r w:rsidRPr="007E13D5">
        <w:rPr>
          <w:rFonts w:asciiTheme="minorHAnsi" w:hAnsiTheme="minorHAnsi"/>
          <w:b/>
          <w:bCs/>
          <w:iCs/>
          <w:noProof/>
          <w:spacing w:val="5"/>
          <w:sz w:val="22"/>
        </w:rPr>
        <w:t>Overview</w:t>
      </w:r>
      <w:r w:rsidR="00EE63C4">
        <w:rPr>
          <w:rFonts w:asciiTheme="minorHAnsi" w:hAnsiTheme="minorHAnsi"/>
          <w:b/>
          <w:bCs/>
          <w:iCs/>
          <w:noProof/>
          <w:spacing w:val="5"/>
          <w:sz w:val="22"/>
        </w:rPr>
        <w:t xml:space="preserve">: </w:t>
      </w:r>
      <w:r w:rsidR="00EE63C4" w:rsidRPr="007E13D5">
        <w:t xml:space="preserve">Introducing a new explanatory note </w:t>
      </w:r>
      <w:r w:rsidR="00EE63C4" w:rsidRPr="00D2790B">
        <w:t xml:space="preserve">to </w:t>
      </w:r>
      <w:r w:rsidR="00EE63C4">
        <w:t>define ‘extensive exploration’ in item 30810.</w:t>
      </w:r>
    </w:p>
    <w:p w14:paraId="486AAE80" w14:textId="156FF285" w:rsidR="00281DCB" w:rsidRDefault="00281DCB" w:rsidP="00C17069">
      <w:pPr>
        <w:rPr>
          <w:rFonts w:asciiTheme="minorHAnsi" w:hAnsiTheme="minorHAnsi"/>
          <w:b/>
          <w:bCs/>
          <w:iCs/>
          <w:noProof/>
          <w:spacing w:val="5"/>
          <w:sz w:val="22"/>
        </w:rPr>
      </w:pPr>
      <w:r>
        <w:rPr>
          <w:rFonts w:asciiTheme="minorHAnsi" w:hAnsiTheme="minorHAnsi"/>
          <w:b/>
          <w:bCs/>
          <w:iCs/>
          <w:noProof/>
          <w:spacing w:val="5"/>
          <w:sz w:val="22"/>
        </w:rPr>
        <w:t xml:space="preserve">Explanatory note text: </w:t>
      </w:r>
      <w:r>
        <w:rPr>
          <w:rFonts w:asciiTheme="minorHAnsi" w:hAnsiTheme="minorHAnsi"/>
          <w:b/>
          <w:bCs/>
          <w:iCs/>
          <w:noProof/>
          <w:spacing w:val="5"/>
          <w:sz w:val="22"/>
        </w:rPr>
        <w:br/>
      </w:r>
      <w:r w:rsidR="00C17069">
        <w:t>Extensive exploration includes full surgical exposure ot the pancreas with intraoperative ultrasound or endoscopy as required</w:t>
      </w:r>
      <w:r w:rsidR="00EE63C4">
        <w:t>.</w:t>
      </w:r>
    </w:p>
    <w:p w14:paraId="5B5854A4" w14:textId="7EEBB282" w:rsidR="00253731" w:rsidRDefault="00253731">
      <w:pPr>
        <w:spacing w:line="259" w:lineRule="auto"/>
      </w:pPr>
      <w:r>
        <w:br w:type="page"/>
      </w:r>
    </w:p>
    <w:p w14:paraId="332C1266" w14:textId="77777777" w:rsidR="00281DCB" w:rsidRPr="00F16B7A" w:rsidRDefault="00281DCB" w:rsidP="00F16B7A"/>
    <w:p w14:paraId="7ACBB1F7" w14:textId="034B7674" w:rsidR="004E23A3" w:rsidRPr="004E23A3" w:rsidRDefault="00F16B7A" w:rsidP="004E23A3">
      <w:pPr>
        <w:pStyle w:val="Tabletext"/>
        <w:rPr>
          <w:rFonts w:ascii="Arial" w:eastAsiaTheme="minorEastAsia" w:hAnsi="Arial" w:cstheme="minorBidi"/>
          <w:noProof/>
          <w:color w:val="001A70" w:themeColor="text2"/>
          <w:sz w:val="28"/>
          <w:szCs w:val="21"/>
          <w:lang w:eastAsia="en-US"/>
        </w:rPr>
      </w:pPr>
      <w:r>
        <w:rPr>
          <w:rStyle w:val="DeletedItemNumber"/>
          <w:noProof/>
          <w:sz w:val="28"/>
        </w:rPr>
        <w:t xml:space="preserve">Deleted item </w:t>
      </w:r>
      <w:r w:rsidR="00447993">
        <w:rPr>
          <w:rStyle w:val="DeletedItemNumber"/>
          <w:noProof/>
          <w:sz w:val="28"/>
        </w:rPr>
        <w:t xml:space="preserve"> </w:t>
      </w:r>
      <w:r w:rsidR="006E4F3B" w:rsidRPr="0024576B">
        <w:rPr>
          <w:rStyle w:val="DeletedItemNumber"/>
          <w:noProof/>
          <w:sz w:val="28"/>
        </w:rPr>
        <w:t>30578</w:t>
      </w:r>
      <w:r w:rsidR="006E4F3B" w:rsidRPr="001013ED">
        <w:rPr>
          <w:rStyle w:val="DeletedItemNumber"/>
        </w:rPr>
        <w:t xml:space="preserve"> </w:t>
      </w:r>
      <w:r w:rsidR="00447993">
        <w:rPr>
          <w:noProof/>
          <w:color w:val="001A70" w:themeColor="text2"/>
          <w:sz w:val="28"/>
          <w:szCs w:val="21"/>
        </w:rPr>
        <w:t xml:space="preserve"> </w:t>
      </w:r>
      <w:r w:rsidR="0024576B" w:rsidRPr="0024576B">
        <w:rPr>
          <w:rFonts w:ascii="Arial" w:eastAsiaTheme="minorEastAsia" w:hAnsi="Arial" w:cstheme="minorBidi"/>
          <w:noProof/>
          <w:color w:val="001A70" w:themeColor="text2"/>
          <w:sz w:val="28"/>
          <w:szCs w:val="21"/>
          <w:lang w:eastAsia="en-US"/>
        </w:rPr>
        <w:t>Endocrine tumour, exploration of pancreas or duodenum, followed by local excision of pancreatic tumour (H) (Anaes.) (Assist.)</w:t>
      </w:r>
    </w:p>
    <w:p w14:paraId="1A3C70F8" w14:textId="3BB805DF" w:rsidR="00DC2695" w:rsidRPr="00447993" w:rsidRDefault="00746A00" w:rsidP="00447993">
      <w:pPr>
        <w:pStyle w:val="CommentText"/>
      </w:pPr>
      <w:r>
        <w:rPr>
          <w:noProof/>
          <w:color w:val="001A70" w:themeColor="text2"/>
          <w:sz w:val="28"/>
          <w:szCs w:val="21"/>
        </w:rPr>
        <w:t xml:space="preserve">MBS Fee: </w:t>
      </w:r>
      <w:r w:rsidR="0024576B" w:rsidRPr="0024576B">
        <w:rPr>
          <w:noProof/>
          <w:color w:val="001A70" w:themeColor="text2"/>
          <w:sz w:val="28"/>
          <w:szCs w:val="21"/>
        </w:rPr>
        <w:t>1,183.05</w:t>
      </w:r>
      <w:r w:rsidR="00DC2695" w:rsidRPr="00C85BCE">
        <w:rPr>
          <w:i/>
          <w:noProof/>
          <w:color w:val="001A70" w:themeColor="text2"/>
          <w:sz w:val="28"/>
          <w:szCs w:val="21"/>
        </w:rPr>
        <w:t xml:space="preserve"> </w:t>
      </w:r>
      <w:r w:rsidR="00245EB1" w:rsidRPr="00746A00">
        <w:rPr>
          <w:szCs w:val="21"/>
        </w:rPr>
        <w:t>(</w:t>
      </w:r>
      <w:r w:rsidR="009016E5">
        <w:rPr>
          <w:szCs w:val="21"/>
        </w:rPr>
        <w:t xml:space="preserve">combined into new item </w:t>
      </w:r>
      <w:r w:rsidR="0024576B">
        <w:t>30810</w:t>
      </w:r>
      <w:r w:rsidR="00D92038" w:rsidRPr="00746A00">
        <w:rPr>
          <w:szCs w:val="21"/>
        </w:rPr>
        <w:t>)</w:t>
      </w:r>
      <w:r w:rsidR="00D92038" w:rsidRPr="00746A00">
        <w:rPr>
          <w:szCs w:val="21"/>
        </w:rPr>
        <w:br/>
      </w:r>
    </w:p>
    <w:p w14:paraId="22BE04CC" w14:textId="2174B6D4" w:rsidR="0085778E" w:rsidRDefault="00DC2695" w:rsidP="009016E5">
      <w:pPr>
        <w:pStyle w:val="Tabletext"/>
        <w:rPr>
          <w:rFonts w:ascii="Arial" w:eastAsiaTheme="minorEastAsia" w:hAnsi="Arial" w:cstheme="minorBidi"/>
          <w:szCs w:val="21"/>
          <w:lang w:eastAsia="en-US"/>
        </w:rPr>
      </w:pPr>
      <w:r w:rsidRPr="00447993">
        <w:rPr>
          <w:rStyle w:val="DeletedItemNumber"/>
          <w:rFonts w:eastAsiaTheme="minorEastAsia" w:cstheme="minorBidi"/>
          <w:noProof/>
          <w:sz w:val="28"/>
          <w:lang w:eastAsia="en-US"/>
        </w:rPr>
        <w:t xml:space="preserve">Deleted </w:t>
      </w:r>
      <w:r w:rsidRPr="0024576B">
        <w:rPr>
          <w:rStyle w:val="DeletedItemNumber"/>
          <w:rFonts w:eastAsiaTheme="minorEastAsia" w:cstheme="minorBidi"/>
          <w:noProof/>
          <w:sz w:val="28"/>
          <w:lang w:eastAsia="en-US"/>
        </w:rPr>
        <w:t>item</w:t>
      </w:r>
      <w:r w:rsidR="006E4F3B" w:rsidRPr="0024576B">
        <w:rPr>
          <w:rStyle w:val="DeletedItemNumber"/>
          <w:rFonts w:eastAsiaTheme="minorEastAsia" w:cstheme="minorBidi"/>
          <w:noProof/>
          <w:sz w:val="28"/>
          <w:lang w:eastAsia="en-US"/>
        </w:rPr>
        <w:t xml:space="preserve"> 30580</w:t>
      </w:r>
      <w:r w:rsidR="006E4F3B" w:rsidRPr="001013ED">
        <w:rPr>
          <w:rStyle w:val="DeletedItemNumber"/>
        </w:rPr>
        <w:t xml:space="preserve"> </w:t>
      </w:r>
      <w:r w:rsidRPr="004E23A3">
        <w:rPr>
          <w:rStyle w:val="DeletedItemNumber"/>
          <w:noProof/>
          <w:sz w:val="28"/>
        </w:rPr>
        <w:t xml:space="preserve"> </w:t>
      </w:r>
      <w:r w:rsidR="00746A00" w:rsidRPr="00447993">
        <w:rPr>
          <w:rFonts w:ascii="Arial" w:eastAsiaTheme="minorEastAsia" w:hAnsi="Arial" w:cstheme="minorBidi"/>
          <w:noProof/>
          <w:color w:val="001A70" w:themeColor="text2"/>
          <w:sz w:val="28"/>
          <w:szCs w:val="21"/>
          <w:lang w:eastAsia="en-US"/>
        </w:rPr>
        <w:t xml:space="preserve"> </w:t>
      </w:r>
      <w:r w:rsidR="0024576B" w:rsidRPr="0024576B">
        <w:rPr>
          <w:rFonts w:ascii="Arial" w:eastAsiaTheme="minorEastAsia" w:hAnsi="Arial" w:cstheme="minorBidi"/>
          <w:noProof/>
          <w:color w:val="001A70" w:themeColor="text2"/>
          <w:sz w:val="28"/>
          <w:szCs w:val="21"/>
          <w:lang w:eastAsia="en-US"/>
        </w:rPr>
        <w:t>Endocrine tumour, exploration of pancreas or duodenum, followed by local excision of duodenal tumour (H) (Anaes.) (Assist.)</w:t>
      </w:r>
      <w:r w:rsidR="0024576B" w:rsidRPr="0024576B">
        <w:rPr>
          <w:color w:val="FF0000"/>
        </w:rPr>
        <w:t xml:space="preserve"> </w:t>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24576B" w:rsidRPr="0024576B">
        <w:rPr>
          <w:rFonts w:ascii="Arial" w:eastAsiaTheme="minorEastAsia" w:hAnsi="Arial" w:cstheme="minorBidi"/>
          <w:noProof/>
          <w:color w:val="001A70" w:themeColor="text2"/>
          <w:sz w:val="28"/>
          <w:szCs w:val="21"/>
          <w:lang w:eastAsia="en-US"/>
        </w:rPr>
        <w:t>1,078.10</w:t>
      </w:r>
      <w:r w:rsidR="00B13380" w:rsidRPr="00B13380">
        <w:rPr>
          <w:rFonts w:ascii="Arial" w:eastAsiaTheme="minorEastAsia" w:hAnsi="Arial" w:cstheme="minorBidi"/>
          <w:noProof/>
          <w:color w:val="001A70" w:themeColor="text2"/>
          <w:sz w:val="28"/>
          <w:szCs w:val="21"/>
          <w:lang w:eastAsia="en-US"/>
        </w:rPr>
        <w:t xml:space="preserve"> </w:t>
      </w:r>
      <w:r w:rsidR="0024576B">
        <w:rPr>
          <w:rFonts w:ascii="Arial" w:eastAsiaTheme="minorEastAsia" w:hAnsi="Arial" w:cstheme="minorBidi"/>
          <w:szCs w:val="21"/>
          <w:lang w:eastAsia="en-US"/>
        </w:rPr>
        <w:t>(combined into new item 3081</w:t>
      </w:r>
      <w:r w:rsidR="004E23A3">
        <w:rPr>
          <w:rFonts w:ascii="Arial" w:eastAsiaTheme="minorEastAsia" w:hAnsi="Arial" w:cstheme="minorBidi"/>
          <w:szCs w:val="21"/>
          <w:lang w:eastAsia="en-US"/>
        </w:rPr>
        <w:t>0</w:t>
      </w:r>
      <w:r w:rsidR="00D92038" w:rsidRPr="004D2292">
        <w:rPr>
          <w:rFonts w:ascii="Arial" w:eastAsiaTheme="minorEastAsia" w:hAnsi="Arial" w:cstheme="minorBidi"/>
          <w:szCs w:val="21"/>
          <w:lang w:eastAsia="en-US"/>
        </w:rPr>
        <w:t>)</w:t>
      </w:r>
    </w:p>
    <w:p w14:paraId="1804BE93" w14:textId="695FAE5B" w:rsidR="006E4F3B" w:rsidRDefault="006E4F3B" w:rsidP="009016E5">
      <w:pPr>
        <w:pStyle w:val="Tabletext"/>
        <w:rPr>
          <w:rFonts w:ascii="Arial" w:eastAsiaTheme="minorEastAsia" w:hAnsi="Arial" w:cstheme="minorBidi"/>
          <w:szCs w:val="21"/>
          <w:lang w:eastAsia="en-US"/>
        </w:rPr>
      </w:pPr>
    </w:p>
    <w:p w14:paraId="4E1D669C" w14:textId="58F64AFB" w:rsidR="0024576B" w:rsidRPr="0024576B" w:rsidRDefault="006E4F3B" w:rsidP="0024576B">
      <w:pPr>
        <w:pStyle w:val="Tabletext"/>
        <w:rPr>
          <w:rFonts w:ascii="Arial" w:eastAsiaTheme="minorEastAsia" w:hAnsi="Arial" w:cstheme="minorBidi"/>
          <w:noProof/>
          <w:color w:val="001A70" w:themeColor="text2"/>
          <w:sz w:val="28"/>
          <w:szCs w:val="21"/>
          <w:lang w:eastAsia="en-US"/>
        </w:rPr>
      </w:pPr>
      <w:r w:rsidRPr="00447993">
        <w:rPr>
          <w:rStyle w:val="DeletedItemNumber"/>
          <w:rFonts w:eastAsiaTheme="minorEastAsia" w:cstheme="minorBidi"/>
          <w:noProof/>
          <w:sz w:val="28"/>
          <w:lang w:eastAsia="en-US"/>
        </w:rPr>
        <w:t xml:space="preserve">Deleted </w:t>
      </w:r>
      <w:r w:rsidRPr="004E23A3">
        <w:rPr>
          <w:rStyle w:val="DeletedItemNumber"/>
          <w:noProof/>
          <w:sz w:val="28"/>
        </w:rPr>
        <w:t>item</w:t>
      </w:r>
      <w:r>
        <w:rPr>
          <w:rStyle w:val="DeletedItemNumber"/>
          <w:noProof/>
          <w:sz w:val="28"/>
        </w:rPr>
        <w:t xml:space="preserve"> </w:t>
      </w:r>
      <w:r w:rsidRPr="0024576B">
        <w:rPr>
          <w:rStyle w:val="DeletedItemNumber"/>
          <w:rFonts w:eastAsiaTheme="minorEastAsia" w:cstheme="minorBidi"/>
          <w:noProof/>
          <w:sz w:val="28"/>
          <w:lang w:eastAsia="en-US"/>
        </w:rPr>
        <w:t>30581</w:t>
      </w:r>
      <w:r w:rsidRPr="004E23A3">
        <w:rPr>
          <w:rStyle w:val="DeletedItemNumber"/>
          <w:noProof/>
          <w:sz w:val="28"/>
        </w:rPr>
        <w:t xml:space="preserve"> </w:t>
      </w:r>
      <w:r w:rsidRPr="00447993">
        <w:rPr>
          <w:rFonts w:ascii="Arial" w:eastAsiaTheme="minorEastAsia" w:hAnsi="Arial" w:cstheme="minorBidi"/>
          <w:noProof/>
          <w:color w:val="001A70" w:themeColor="text2"/>
          <w:sz w:val="28"/>
          <w:szCs w:val="21"/>
          <w:lang w:eastAsia="en-US"/>
        </w:rPr>
        <w:t xml:space="preserve"> </w:t>
      </w:r>
      <w:r w:rsidR="0024576B" w:rsidRPr="0024576B">
        <w:rPr>
          <w:rFonts w:ascii="Arial" w:eastAsiaTheme="minorEastAsia" w:hAnsi="Arial" w:cstheme="minorBidi"/>
          <w:noProof/>
          <w:color w:val="001A70" w:themeColor="text2"/>
          <w:sz w:val="28"/>
          <w:szCs w:val="21"/>
          <w:lang w:eastAsia="en-US"/>
        </w:rPr>
        <w:t>Endocrine tumour, exploration of pancreas or duodenum for, but no tumour found (H) (Anaes.) (Assist.)</w:t>
      </w:r>
    </w:p>
    <w:p w14:paraId="765E2939" w14:textId="5C36291D" w:rsidR="006E4F3B" w:rsidRDefault="006E4F3B" w:rsidP="006E4F3B">
      <w:pPr>
        <w:pStyle w:val="Tabletext"/>
        <w:rPr>
          <w:rFonts w:ascii="Arial" w:eastAsiaTheme="minorEastAsia" w:hAnsi="Arial" w:cstheme="minorBidi"/>
          <w:szCs w:val="21"/>
          <w:lang w:eastAsia="en-US"/>
        </w:rPr>
      </w:pPr>
      <w:r w:rsidRPr="00B13380">
        <w:rPr>
          <w:rFonts w:ascii="Arial" w:eastAsiaTheme="minorEastAsia" w:hAnsi="Arial" w:cstheme="minorBidi"/>
          <w:noProof/>
          <w:color w:val="001A70" w:themeColor="text2"/>
          <w:sz w:val="28"/>
          <w:szCs w:val="21"/>
          <w:lang w:eastAsia="en-US"/>
        </w:rPr>
        <w:t>MBS Fee: $</w:t>
      </w:r>
      <w:r w:rsidR="0024576B" w:rsidRPr="0024576B">
        <w:rPr>
          <w:rFonts w:ascii="Arial" w:eastAsiaTheme="minorEastAsia" w:hAnsi="Arial" w:cstheme="minorBidi"/>
          <w:noProof/>
          <w:color w:val="001A70" w:themeColor="text2"/>
          <w:sz w:val="28"/>
          <w:szCs w:val="21"/>
          <w:lang w:eastAsia="en-US"/>
        </w:rPr>
        <w:t>786.15</w:t>
      </w:r>
      <w:r w:rsidRPr="00B13380">
        <w:rPr>
          <w:rFonts w:ascii="Arial" w:eastAsiaTheme="minorEastAsia" w:hAnsi="Arial" w:cstheme="minorBidi"/>
          <w:noProof/>
          <w:color w:val="001A70" w:themeColor="text2"/>
          <w:sz w:val="28"/>
          <w:szCs w:val="21"/>
          <w:lang w:eastAsia="en-US"/>
        </w:rPr>
        <w:t xml:space="preserve"> </w:t>
      </w:r>
      <w:r w:rsidR="0024576B">
        <w:rPr>
          <w:rFonts w:ascii="Arial" w:eastAsiaTheme="minorEastAsia" w:hAnsi="Arial" w:cstheme="minorBidi"/>
          <w:szCs w:val="21"/>
          <w:lang w:eastAsia="en-US"/>
        </w:rPr>
        <w:t>(combined into new item 3081</w:t>
      </w:r>
      <w:r>
        <w:rPr>
          <w:rFonts w:ascii="Arial" w:eastAsiaTheme="minorEastAsia" w:hAnsi="Arial" w:cstheme="minorBidi"/>
          <w:szCs w:val="21"/>
          <w:lang w:eastAsia="en-US"/>
        </w:rPr>
        <w:t>0</w:t>
      </w:r>
      <w:r w:rsidRPr="004D2292">
        <w:rPr>
          <w:rFonts w:ascii="Arial" w:eastAsiaTheme="minorEastAsia" w:hAnsi="Arial" w:cstheme="minorBidi"/>
          <w:szCs w:val="21"/>
          <w:lang w:eastAsia="en-US"/>
        </w:rPr>
        <w:t>)</w:t>
      </w:r>
    </w:p>
    <w:p w14:paraId="16B0DAD6" w14:textId="77777777" w:rsidR="006E4F3B" w:rsidRDefault="006E4F3B" w:rsidP="009016E5">
      <w:pPr>
        <w:pStyle w:val="Tabletext"/>
        <w:rPr>
          <w:strike/>
          <w:color w:val="FF0000"/>
        </w:rPr>
      </w:pPr>
    </w:p>
    <w:p w14:paraId="511FFBC3" w14:textId="77777777" w:rsidR="00B13380" w:rsidRPr="00B13380" w:rsidRDefault="00B13380" w:rsidP="00B13380">
      <w:pPr>
        <w:pStyle w:val="Tabletext"/>
        <w:rPr>
          <w:strike/>
          <w:color w:val="FF0000"/>
        </w:rPr>
      </w:pPr>
    </w:p>
    <w:p w14:paraId="4F837B41" w14:textId="77777777" w:rsidR="007D70B2" w:rsidRDefault="007D70B2" w:rsidP="007D70B2">
      <w:pPr>
        <w:pStyle w:val="Heading2"/>
      </w:pPr>
      <w:r>
        <w:t>Where can I find more information?</w:t>
      </w:r>
    </w:p>
    <w:p w14:paraId="37F07E4A" w14:textId="77777777" w:rsidR="001162D6" w:rsidRDefault="001162D6" w:rsidP="001162D6">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13" w:history="1">
        <w:r>
          <w:rPr>
            <w:rStyle w:val="Hyperlink"/>
          </w:rPr>
          <w:t>1july2021MBSchanges.generalsurgery@health.gov.au</w:t>
        </w:r>
      </w:hyperlink>
      <w:r>
        <w:rPr>
          <w:u w:val="single"/>
        </w:rPr>
        <w:t>.</w:t>
      </w:r>
      <w:r>
        <w:t xml:space="preserve"> Questions regarding the proposed PHI classifications should be directed to </w:t>
      </w:r>
      <w:hyperlink r:id="rId14" w:history="1">
        <w:r>
          <w:rPr>
            <w:rStyle w:val="Hyperlink"/>
            <w:szCs w:val="20"/>
          </w:rPr>
          <w:t>PHI@health.gov.au</w:t>
        </w:r>
      </w:hyperlink>
      <w:r>
        <w:rPr>
          <w:rStyle w:val="Hyperlink"/>
          <w:b/>
          <w:szCs w:val="20"/>
        </w:rPr>
        <w:t>.</w:t>
      </w:r>
    </w:p>
    <w:p w14:paraId="2029A1AB" w14:textId="77777777" w:rsidR="001162D6" w:rsidRDefault="001162D6" w:rsidP="001162D6">
      <w:pPr>
        <w:rPr>
          <w:u w:val="single"/>
        </w:rPr>
      </w:pPr>
      <w:r>
        <w:t xml:space="preserve">If you have a query relating exclusively to interpretation of the Schedule after the changes to the general surgery items have been implemented on 1 July 2021, please email </w:t>
      </w:r>
      <w:hyperlink r:id="rId15" w:history="1">
        <w:r>
          <w:rPr>
            <w:rStyle w:val="Hyperlink"/>
          </w:rPr>
          <w:t>askMBS@health.gov.au</w:t>
        </w:r>
      </w:hyperlink>
      <w:r>
        <w:rPr>
          <w:u w:val="single"/>
        </w:rPr>
        <w:t>.</w:t>
      </w:r>
    </w:p>
    <w:p w14:paraId="782BED37" w14:textId="77777777" w:rsidR="001162D6" w:rsidRDefault="001162D6" w:rsidP="001162D6">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2D3FCCE4" w:rsidR="0029176A" w:rsidRPr="009A54FA" w:rsidRDefault="0029176A" w:rsidP="009A54FA">
      <w:pPr>
        <w:pStyle w:val="Disclaimer"/>
      </w:pPr>
    </w:p>
    <w:sectPr w:rsidR="0029176A" w:rsidRPr="009A54FA" w:rsidSect="00017D5D">
      <w:headerReference w:type="default" r:id="rId16"/>
      <w:footerReference w:type="default" r:id="rId17"/>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F053" w14:textId="77777777" w:rsidR="00DB16D5" w:rsidRDefault="00DB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DB16D5"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785048E8"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4A351D">
      <w:rPr>
        <w:b/>
        <w:color w:val="001A70" w:themeColor="text2"/>
        <w:sz w:val="16"/>
      </w:rPr>
      <w:t>to Oncology</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DB16D5">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DB16D5">
                  <w:rPr>
                    <w:b/>
                    <w:bCs/>
                    <w:noProof/>
                    <w:color w:val="001A70" w:themeColor="text2"/>
                    <w:sz w:val="16"/>
                  </w:rPr>
                  <w:t>3</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DB16D5"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0F0324D4" w:rsidR="004E6BF7" w:rsidRPr="000D67BC" w:rsidRDefault="004E6BF7" w:rsidP="005B7573">
    <w:pPr>
      <w:tabs>
        <w:tab w:val="center" w:pos="4513"/>
        <w:tab w:val="right" w:pos="9026"/>
      </w:tabs>
      <w:spacing w:after="0" w:line="240" w:lineRule="auto"/>
      <w:rPr>
        <w:b/>
        <w:color w:val="001A70" w:themeColor="text2"/>
        <w:sz w:val="16"/>
      </w:rPr>
    </w:pPr>
    <w:bookmarkStart w:id="4" w:name="_Hlk6912109"/>
    <w:bookmarkStart w:id="5" w:name="_Hlk6912110"/>
    <w:r w:rsidRPr="000D67BC">
      <w:rPr>
        <w:b/>
        <w:color w:val="001A70" w:themeColor="text2"/>
        <w:sz w:val="16"/>
      </w:rPr>
      <w:t xml:space="preserve">Last updated –  </w:t>
    </w:r>
    <w:r w:rsidR="000D67BC" w:rsidRPr="000D67BC">
      <w:rPr>
        <w:b/>
        <w:color w:val="001A70" w:themeColor="text2"/>
        <w:sz w:val="16"/>
      </w:rPr>
      <w:t>0</w:t>
    </w:r>
    <w:r w:rsidR="00972DA7">
      <w:rPr>
        <w:b/>
        <w:color w:val="001A70" w:themeColor="text2"/>
        <w:sz w:val="16"/>
      </w:rPr>
      <w:t>6</w:t>
    </w:r>
    <w:r w:rsidR="000D67BC" w:rsidRPr="000D67BC">
      <w:rPr>
        <w:b/>
        <w:color w:val="001A70" w:themeColor="text2"/>
        <w:sz w:val="16"/>
      </w:rPr>
      <w:t xml:space="preserve"> July </w:t>
    </w:r>
    <w:r w:rsidRPr="000D67BC">
      <w:rPr>
        <w:b/>
        <w:color w:val="001A70" w:themeColor="text2"/>
        <w:sz w:val="16"/>
      </w:rPr>
      <w:t>20</w:t>
    </w:r>
    <w:bookmarkEnd w:id="4"/>
    <w:bookmarkEnd w:id="5"/>
    <w:r w:rsidR="001162D6" w:rsidRPr="000D67BC">
      <w:rPr>
        <w:b/>
        <w:color w:val="001A70" w:themeColor="text2"/>
        <w:sz w:val="16"/>
      </w:rPr>
      <w:t>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E0B2" w14:textId="77777777" w:rsidR="00DB16D5" w:rsidRDefault="00DB16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DB16D5"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27F88A51"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4A351D">
      <w:rPr>
        <w:b/>
        <w:color w:val="001A70" w:themeColor="text2"/>
        <w:sz w:val="16"/>
      </w:rPr>
      <w:t>es to Oncology</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DB16D5">
                  <w:rPr>
                    <w:bCs/>
                    <w:noProof/>
                    <w:color w:val="001A70" w:themeColor="text2"/>
                    <w:sz w:val="16"/>
                  </w:rPr>
                  <w:t>3</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DB16D5">
                  <w:rPr>
                    <w:bCs/>
                    <w:noProof/>
                    <w:color w:val="001A70" w:themeColor="text2"/>
                    <w:sz w:val="16"/>
                  </w:rPr>
                  <w:t>3</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DB16D5"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3558C117"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1162D6" w:rsidRPr="001162D6">
      <w:rPr>
        <w:b/>
        <w:color w:val="001A70" w:themeColor="text2"/>
        <w:sz w:val="16"/>
      </w:rPr>
      <w:t xml:space="preserve"> </w:t>
    </w:r>
    <w:r w:rsidR="00972DA7">
      <w:rPr>
        <w:b/>
        <w:color w:val="001A70" w:themeColor="text2"/>
        <w:sz w:val="16"/>
      </w:rPr>
      <w:t>06</w:t>
    </w:r>
    <w:r w:rsidR="00397858">
      <w:rPr>
        <w:b/>
        <w:color w:val="001A70" w:themeColor="text2"/>
        <w:sz w:val="16"/>
      </w:rPr>
      <w:t xml:space="preserve"> Ju</w:t>
    </w:r>
    <w:r w:rsidR="00972DA7">
      <w:rPr>
        <w:b/>
        <w:color w:val="001A70" w:themeColor="text2"/>
        <w:sz w:val="16"/>
      </w:rPr>
      <w:t>ly</w:t>
    </w:r>
    <w:r w:rsidR="00397858">
      <w:rPr>
        <w:b/>
        <w:color w:val="001A70" w:themeColor="text2"/>
        <w:sz w:val="16"/>
      </w:rPr>
      <w:t xml:space="preserve"> </w:t>
    </w:r>
    <w:r w:rsidR="001162D6" w:rsidRPr="001162D6">
      <w:rPr>
        <w:b/>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4739" w14:textId="77777777" w:rsidR="00DB16D5" w:rsidRDefault="00DB1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7365" w14:textId="77777777" w:rsidR="00DB16D5" w:rsidRDefault="00DB16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10"/>
  </w:num>
  <w:num w:numId="16">
    <w:abstractNumId w:val="3"/>
  </w:num>
  <w:num w:numId="17">
    <w:abstractNumId w:val="11"/>
  </w:num>
  <w:num w:numId="18">
    <w:abstractNumId w:val="3"/>
  </w:num>
  <w:num w:numId="19">
    <w:abstractNumId w:val="1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49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61A0"/>
    <w:rsid w:val="00087AE5"/>
    <w:rsid w:val="000A37C5"/>
    <w:rsid w:val="000A43C6"/>
    <w:rsid w:val="000A6560"/>
    <w:rsid w:val="000B01AE"/>
    <w:rsid w:val="000B1C57"/>
    <w:rsid w:val="000B1C83"/>
    <w:rsid w:val="000B2E05"/>
    <w:rsid w:val="000B4851"/>
    <w:rsid w:val="000B5D25"/>
    <w:rsid w:val="000B7B54"/>
    <w:rsid w:val="000C48FC"/>
    <w:rsid w:val="000C546B"/>
    <w:rsid w:val="000C668D"/>
    <w:rsid w:val="000C730C"/>
    <w:rsid w:val="000D052C"/>
    <w:rsid w:val="000D6618"/>
    <w:rsid w:val="000D67BC"/>
    <w:rsid w:val="000D6DC4"/>
    <w:rsid w:val="000E1A3D"/>
    <w:rsid w:val="000E499E"/>
    <w:rsid w:val="000E7D2B"/>
    <w:rsid w:val="000F3FF2"/>
    <w:rsid w:val="000F48CB"/>
    <w:rsid w:val="000F658B"/>
    <w:rsid w:val="00100783"/>
    <w:rsid w:val="00101643"/>
    <w:rsid w:val="00104EF5"/>
    <w:rsid w:val="00107BE4"/>
    <w:rsid w:val="00107E32"/>
    <w:rsid w:val="0011235D"/>
    <w:rsid w:val="00114BC8"/>
    <w:rsid w:val="001162D6"/>
    <w:rsid w:val="00116B77"/>
    <w:rsid w:val="00126243"/>
    <w:rsid w:val="0013584E"/>
    <w:rsid w:val="001372D9"/>
    <w:rsid w:val="001428D6"/>
    <w:rsid w:val="00143300"/>
    <w:rsid w:val="00143450"/>
    <w:rsid w:val="00147D27"/>
    <w:rsid w:val="001620B2"/>
    <w:rsid w:val="001715BA"/>
    <w:rsid w:val="00180302"/>
    <w:rsid w:val="0018145D"/>
    <w:rsid w:val="00181B52"/>
    <w:rsid w:val="0018226E"/>
    <w:rsid w:val="00184A4F"/>
    <w:rsid w:val="00184BC4"/>
    <w:rsid w:val="00186F73"/>
    <w:rsid w:val="00191DE6"/>
    <w:rsid w:val="00194F62"/>
    <w:rsid w:val="001A5EAB"/>
    <w:rsid w:val="001A6007"/>
    <w:rsid w:val="001A7162"/>
    <w:rsid w:val="001A73A5"/>
    <w:rsid w:val="001B0EB1"/>
    <w:rsid w:val="001C065B"/>
    <w:rsid w:val="001C2E6A"/>
    <w:rsid w:val="001C39EA"/>
    <w:rsid w:val="001C3B15"/>
    <w:rsid w:val="001C4056"/>
    <w:rsid w:val="001D0D6B"/>
    <w:rsid w:val="001D7BC7"/>
    <w:rsid w:val="001E31E8"/>
    <w:rsid w:val="001E3873"/>
    <w:rsid w:val="001E4AAE"/>
    <w:rsid w:val="001E6AB8"/>
    <w:rsid w:val="001F047B"/>
    <w:rsid w:val="001F1B42"/>
    <w:rsid w:val="002041C5"/>
    <w:rsid w:val="00206B7A"/>
    <w:rsid w:val="0020724A"/>
    <w:rsid w:val="00207CE3"/>
    <w:rsid w:val="00215F3B"/>
    <w:rsid w:val="0022001B"/>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76B"/>
    <w:rsid w:val="00245EB1"/>
    <w:rsid w:val="002460C3"/>
    <w:rsid w:val="0025371F"/>
    <w:rsid w:val="00253731"/>
    <w:rsid w:val="00264E25"/>
    <w:rsid w:val="0026547E"/>
    <w:rsid w:val="00265AF9"/>
    <w:rsid w:val="002672AF"/>
    <w:rsid w:val="00270AB0"/>
    <w:rsid w:val="00271F02"/>
    <w:rsid w:val="002746BB"/>
    <w:rsid w:val="0027565A"/>
    <w:rsid w:val="00281DCB"/>
    <w:rsid w:val="00284D64"/>
    <w:rsid w:val="002858CA"/>
    <w:rsid w:val="0028672C"/>
    <w:rsid w:val="0029176A"/>
    <w:rsid w:val="0029344E"/>
    <w:rsid w:val="00296DD0"/>
    <w:rsid w:val="002A3C7C"/>
    <w:rsid w:val="002B06A5"/>
    <w:rsid w:val="002B1467"/>
    <w:rsid w:val="002B3424"/>
    <w:rsid w:val="002B36A2"/>
    <w:rsid w:val="002B39B2"/>
    <w:rsid w:val="002B543A"/>
    <w:rsid w:val="002C0776"/>
    <w:rsid w:val="002C6D3C"/>
    <w:rsid w:val="002C78C4"/>
    <w:rsid w:val="002D02F1"/>
    <w:rsid w:val="002E24C6"/>
    <w:rsid w:val="002E272C"/>
    <w:rsid w:val="002E3FE8"/>
    <w:rsid w:val="002F0178"/>
    <w:rsid w:val="0030446A"/>
    <w:rsid w:val="00306A61"/>
    <w:rsid w:val="00306F24"/>
    <w:rsid w:val="003072A0"/>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4E98"/>
    <w:rsid w:val="00365CEC"/>
    <w:rsid w:val="00365E4C"/>
    <w:rsid w:val="00366685"/>
    <w:rsid w:val="00366D94"/>
    <w:rsid w:val="0037154A"/>
    <w:rsid w:val="00372A70"/>
    <w:rsid w:val="00372CD0"/>
    <w:rsid w:val="003737F7"/>
    <w:rsid w:val="0037670E"/>
    <w:rsid w:val="00376BF9"/>
    <w:rsid w:val="003813CE"/>
    <w:rsid w:val="00384C43"/>
    <w:rsid w:val="0038652F"/>
    <w:rsid w:val="003876F9"/>
    <w:rsid w:val="00395FE7"/>
    <w:rsid w:val="00397858"/>
    <w:rsid w:val="003A0784"/>
    <w:rsid w:val="003A2EE6"/>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F2E62"/>
    <w:rsid w:val="003F53C7"/>
    <w:rsid w:val="003F5EB1"/>
    <w:rsid w:val="003F7346"/>
    <w:rsid w:val="004007BE"/>
    <w:rsid w:val="00402829"/>
    <w:rsid w:val="00404D59"/>
    <w:rsid w:val="00405592"/>
    <w:rsid w:val="0040562E"/>
    <w:rsid w:val="0040573F"/>
    <w:rsid w:val="00411F90"/>
    <w:rsid w:val="0041360F"/>
    <w:rsid w:val="00415F5E"/>
    <w:rsid w:val="00416574"/>
    <w:rsid w:val="00432212"/>
    <w:rsid w:val="00432485"/>
    <w:rsid w:val="004327F7"/>
    <w:rsid w:val="004362C9"/>
    <w:rsid w:val="0044560A"/>
    <w:rsid w:val="0044625D"/>
    <w:rsid w:val="00447993"/>
    <w:rsid w:val="004517A8"/>
    <w:rsid w:val="00453FCB"/>
    <w:rsid w:val="00456BF4"/>
    <w:rsid w:val="00461F1D"/>
    <w:rsid w:val="00464E24"/>
    <w:rsid w:val="00466A32"/>
    <w:rsid w:val="00470DD5"/>
    <w:rsid w:val="00475508"/>
    <w:rsid w:val="004762A0"/>
    <w:rsid w:val="004775B0"/>
    <w:rsid w:val="00483353"/>
    <w:rsid w:val="004910D2"/>
    <w:rsid w:val="004922A7"/>
    <w:rsid w:val="00492DDB"/>
    <w:rsid w:val="00493BC3"/>
    <w:rsid w:val="00497386"/>
    <w:rsid w:val="004A351D"/>
    <w:rsid w:val="004A36D7"/>
    <w:rsid w:val="004A5360"/>
    <w:rsid w:val="004A627F"/>
    <w:rsid w:val="004A6607"/>
    <w:rsid w:val="004B1C42"/>
    <w:rsid w:val="004B2D3F"/>
    <w:rsid w:val="004B4334"/>
    <w:rsid w:val="004B6590"/>
    <w:rsid w:val="004C0F76"/>
    <w:rsid w:val="004C1290"/>
    <w:rsid w:val="004C3B44"/>
    <w:rsid w:val="004C69B3"/>
    <w:rsid w:val="004D18D9"/>
    <w:rsid w:val="004D2292"/>
    <w:rsid w:val="004D7A4F"/>
    <w:rsid w:val="004E23A3"/>
    <w:rsid w:val="004E6BF7"/>
    <w:rsid w:val="004E721C"/>
    <w:rsid w:val="004F2A0E"/>
    <w:rsid w:val="004F3581"/>
    <w:rsid w:val="004F4B92"/>
    <w:rsid w:val="0050042D"/>
    <w:rsid w:val="005008F4"/>
    <w:rsid w:val="00503A6B"/>
    <w:rsid w:val="00503E8D"/>
    <w:rsid w:val="00520161"/>
    <w:rsid w:val="00522101"/>
    <w:rsid w:val="005229D8"/>
    <w:rsid w:val="00532C16"/>
    <w:rsid w:val="00533A4C"/>
    <w:rsid w:val="005428EE"/>
    <w:rsid w:val="00551374"/>
    <w:rsid w:val="00557A00"/>
    <w:rsid w:val="00562A42"/>
    <w:rsid w:val="00562DEF"/>
    <w:rsid w:val="005657CF"/>
    <w:rsid w:val="005721A7"/>
    <w:rsid w:val="005760C3"/>
    <w:rsid w:val="00585B33"/>
    <w:rsid w:val="005862F3"/>
    <w:rsid w:val="0059277A"/>
    <w:rsid w:val="005935A8"/>
    <w:rsid w:val="005940E6"/>
    <w:rsid w:val="00596D8A"/>
    <w:rsid w:val="005A1F6C"/>
    <w:rsid w:val="005A3E55"/>
    <w:rsid w:val="005A6093"/>
    <w:rsid w:val="005B20A9"/>
    <w:rsid w:val="005B302E"/>
    <w:rsid w:val="005B40FE"/>
    <w:rsid w:val="005B5A69"/>
    <w:rsid w:val="005B7573"/>
    <w:rsid w:val="005C425E"/>
    <w:rsid w:val="005D68EF"/>
    <w:rsid w:val="005E175A"/>
    <w:rsid w:val="005E4DC4"/>
    <w:rsid w:val="005E6BD6"/>
    <w:rsid w:val="005E729B"/>
    <w:rsid w:val="005F146C"/>
    <w:rsid w:val="005F624C"/>
    <w:rsid w:val="005F70A1"/>
    <w:rsid w:val="006009C7"/>
    <w:rsid w:val="00602681"/>
    <w:rsid w:val="006054CC"/>
    <w:rsid w:val="00605562"/>
    <w:rsid w:val="0061179A"/>
    <w:rsid w:val="00612E10"/>
    <w:rsid w:val="00616D51"/>
    <w:rsid w:val="00617A39"/>
    <w:rsid w:val="006210E1"/>
    <w:rsid w:val="00623477"/>
    <w:rsid w:val="00627DF5"/>
    <w:rsid w:val="00630329"/>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3A3C"/>
    <w:rsid w:val="006D68E8"/>
    <w:rsid w:val="006D68F3"/>
    <w:rsid w:val="006E4F3B"/>
    <w:rsid w:val="006F03DA"/>
    <w:rsid w:val="006F054D"/>
    <w:rsid w:val="006F27B7"/>
    <w:rsid w:val="006F5785"/>
    <w:rsid w:val="006F6358"/>
    <w:rsid w:val="006F755D"/>
    <w:rsid w:val="0070201F"/>
    <w:rsid w:val="007020BF"/>
    <w:rsid w:val="00702D01"/>
    <w:rsid w:val="00707670"/>
    <w:rsid w:val="00712091"/>
    <w:rsid w:val="00712438"/>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4C9D"/>
    <w:rsid w:val="00780EF8"/>
    <w:rsid w:val="00781237"/>
    <w:rsid w:val="0078496D"/>
    <w:rsid w:val="00784CE3"/>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1049"/>
    <w:rsid w:val="00805D4B"/>
    <w:rsid w:val="0080635A"/>
    <w:rsid w:val="00811A92"/>
    <w:rsid w:val="00811D2D"/>
    <w:rsid w:val="00814AE2"/>
    <w:rsid w:val="00814E9B"/>
    <w:rsid w:val="008178A3"/>
    <w:rsid w:val="00817974"/>
    <w:rsid w:val="00820EBE"/>
    <w:rsid w:val="00821361"/>
    <w:rsid w:val="00822C59"/>
    <w:rsid w:val="008238F3"/>
    <w:rsid w:val="00825ABD"/>
    <w:rsid w:val="00830DFD"/>
    <w:rsid w:val="00841042"/>
    <w:rsid w:val="00844F7F"/>
    <w:rsid w:val="00847B94"/>
    <w:rsid w:val="00851FA7"/>
    <w:rsid w:val="00852651"/>
    <w:rsid w:val="00852687"/>
    <w:rsid w:val="0085778E"/>
    <w:rsid w:val="00860376"/>
    <w:rsid w:val="00860A02"/>
    <w:rsid w:val="008629C0"/>
    <w:rsid w:val="00865A0A"/>
    <w:rsid w:val="00874995"/>
    <w:rsid w:val="008751D1"/>
    <w:rsid w:val="00882BF4"/>
    <w:rsid w:val="00884022"/>
    <w:rsid w:val="0088774D"/>
    <w:rsid w:val="00892EFB"/>
    <w:rsid w:val="00893C1C"/>
    <w:rsid w:val="00897D38"/>
    <w:rsid w:val="008A1973"/>
    <w:rsid w:val="008A4976"/>
    <w:rsid w:val="008A71B5"/>
    <w:rsid w:val="008A72FC"/>
    <w:rsid w:val="008A7ED1"/>
    <w:rsid w:val="008B0313"/>
    <w:rsid w:val="008B049A"/>
    <w:rsid w:val="008B3526"/>
    <w:rsid w:val="008B36A6"/>
    <w:rsid w:val="008C370C"/>
    <w:rsid w:val="008C3BE4"/>
    <w:rsid w:val="008C667D"/>
    <w:rsid w:val="008D2398"/>
    <w:rsid w:val="008D2EF9"/>
    <w:rsid w:val="008D4339"/>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6169"/>
    <w:rsid w:val="00910AE3"/>
    <w:rsid w:val="009111CE"/>
    <w:rsid w:val="00911BCA"/>
    <w:rsid w:val="00915F4D"/>
    <w:rsid w:val="00916BB3"/>
    <w:rsid w:val="0092459A"/>
    <w:rsid w:val="00925E9E"/>
    <w:rsid w:val="00930EE4"/>
    <w:rsid w:val="0093279E"/>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72DA7"/>
    <w:rsid w:val="009800BA"/>
    <w:rsid w:val="00980B0D"/>
    <w:rsid w:val="00982BD0"/>
    <w:rsid w:val="00984734"/>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D036A"/>
    <w:rsid w:val="009D08B7"/>
    <w:rsid w:val="009D412F"/>
    <w:rsid w:val="009D5686"/>
    <w:rsid w:val="009D6CD1"/>
    <w:rsid w:val="009E11CB"/>
    <w:rsid w:val="009E7FAC"/>
    <w:rsid w:val="009F1E88"/>
    <w:rsid w:val="009F5041"/>
    <w:rsid w:val="009F5535"/>
    <w:rsid w:val="009F5E70"/>
    <w:rsid w:val="00A03571"/>
    <w:rsid w:val="00A040C1"/>
    <w:rsid w:val="00A12B19"/>
    <w:rsid w:val="00A12C9C"/>
    <w:rsid w:val="00A20ECA"/>
    <w:rsid w:val="00A24EFD"/>
    <w:rsid w:val="00A3145F"/>
    <w:rsid w:val="00A33ACB"/>
    <w:rsid w:val="00A41C50"/>
    <w:rsid w:val="00A44582"/>
    <w:rsid w:val="00A44E96"/>
    <w:rsid w:val="00A506CD"/>
    <w:rsid w:val="00A5706B"/>
    <w:rsid w:val="00A57A17"/>
    <w:rsid w:val="00A6628C"/>
    <w:rsid w:val="00A7039C"/>
    <w:rsid w:val="00A71A0F"/>
    <w:rsid w:val="00A74962"/>
    <w:rsid w:val="00A75EAC"/>
    <w:rsid w:val="00A76BB2"/>
    <w:rsid w:val="00A770C4"/>
    <w:rsid w:val="00A80234"/>
    <w:rsid w:val="00A821C8"/>
    <w:rsid w:val="00A86881"/>
    <w:rsid w:val="00A86A03"/>
    <w:rsid w:val="00A90310"/>
    <w:rsid w:val="00A90325"/>
    <w:rsid w:val="00A97817"/>
    <w:rsid w:val="00AB2425"/>
    <w:rsid w:val="00AB2B77"/>
    <w:rsid w:val="00AB7FA7"/>
    <w:rsid w:val="00AC0C2D"/>
    <w:rsid w:val="00AC2975"/>
    <w:rsid w:val="00AC679F"/>
    <w:rsid w:val="00AC7D12"/>
    <w:rsid w:val="00AD2DB9"/>
    <w:rsid w:val="00AD327B"/>
    <w:rsid w:val="00AD4CDF"/>
    <w:rsid w:val="00AD581A"/>
    <w:rsid w:val="00AE0D93"/>
    <w:rsid w:val="00AE78A2"/>
    <w:rsid w:val="00AF16E0"/>
    <w:rsid w:val="00AF1DE0"/>
    <w:rsid w:val="00AF4CF0"/>
    <w:rsid w:val="00B040AB"/>
    <w:rsid w:val="00B074DF"/>
    <w:rsid w:val="00B13380"/>
    <w:rsid w:val="00B14AE1"/>
    <w:rsid w:val="00B21E9C"/>
    <w:rsid w:val="00B23A4C"/>
    <w:rsid w:val="00B23A92"/>
    <w:rsid w:val="00B3107B"/>
    <w:rsid w:val="00B31C3E"/>
    <w:rsid w:val="00B32BB7"/>
    <w:rsid w:val="00B344DF"/>
    <w:rsid w:val="00B34E0E"/>
    <w:rsid w:val="00B364A0"/>
    <w:rsid w:val="00B42229"/>
    <w:rsid w:val="00B45B2D"/>
    <w:rsid w:val="00B472BF"/>
    <w:rsid w:val="00B52AEB"/>
    <w:rsid w:val="00B53A5B"/>
    <w:rsid w:val="00B547A6"/>
    <w:rsid w:val="00B577D8"/>
    <w:rsid w:val="00B605A6"/>
    <w:rsid w:val="00B623B0"/>
    <w:rsid w:val="00B63FB9"/>
    <w:rsid w:val="00B64112"/>
    <w:rsid w:val="00B70DD3"/>
    <w:rsid w:val="00B759C2"/>
    <w:rsid w:val="00B869CD"/>
    <w:rsid w:val="00B9118C"/>
    <w:rsid w:val="00B92192"/>
    <w:rsid w:val="00B9746C"/>
    <w:rsid w:val="00BA17F4"/>
    <w:rsid w:val="00BA4E45"/>
    <w:rsid w:val="00BA657E"/>
    <w:rsid w:val="00BB30BB"/>
    <w:rsid w:val="00BB347C"/>
    <w:rsid w:val="00BC01C4"/>
    <w:rsid w:val="00BC1193"/>
    <w:rsid w:val="00BC19CF"/>
    <w:rsid w:val="00BC2D1F"/>
    <w:rsid w:val="00BC4E46"/>
    <w:rsid w:val="00BD1349"/>
    <w:rsid w:val="00BD558C"/>
    <w:rsid w:val="00BE034E"/>
    <w:rsid w:val="00BE1D85"/>
    <w:rsid w:val="00BE4395"/>
    <w:rsid w:val="00BE4DBD"/>
    <w:rsid w:val="00BF1E71"/>
    <w:rsid w:val="00BF4300"/>
    <w:rsid w:val="00BF775D"/>
    <w:rsid w:val="00C060D4"/>
    <w:rsid w:val="00C06F0B"/>
    <w:rsid w:val="00C11575"/>
    <w:rsid w:val="00C136F9"/>
    <w:rsid w:val="00C13B16"/>
    <w:rsid w:val="00C15400"/>
    <w:rsid w:val="00C17069"/>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7370"/>
    <w:rsid w:val="00C72C2D"/>
    <w:rsid w:val="00C736D6"/>
    <w:rsid w:val="00C81B2A"/>
    <w:rsid w:val="00C8223A"/>
    <w:rsid w:val="00C831ED"/>
    <w:rsid w:val="00C85BCE"/>
    <w:rsid w:val="00C86856"/>
    <w:rsid w:val="00C967C0"/>
    <w:rsid w:val="00CA4B80"/>
    <w:rsid w:val="00CA4B81"/>
    <w:rsid w:val="00CA69FB"/>
    <w:rsid w:val="00CA743D"/>
    <w:rsid w:val="00CB2472"/>
    <w:rsid w:val="00CB6266"/>
    <w:rsid w:val="00CC23AF"/>
    <w:rsid w:val="00CC3118"/>
    <w:rsid w:val="00CC4242"/>
    <w:rsid w:val="00CD4806"/>
    <w:rsid w:val="00CE2BE8"/>
    <w:rsid w:val="00CF2530"/>
    <w:rsid w:val="00CF45C7"/>
    <w:rsid w:val="00D01EC1"/>
    <w:rsid w:val="00D03755"/>
    <w:rsid w:val="00D119F0"/>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53F6"/>
    <w:rsid w:val="00D46BFF"/>
    <w:rsid w:val="00D47DD1"/>
    <w:rsid w:val="00D531DE"/>
    <w:rsid w:val="00D545DC"/>
    <w:rsid w:val="00D57FE5"/>
    <w:rsid w:val="00D61FAB"/>
    <w:rsid w:val="00D640CC"/>
    <w:rsid w:val="00D741E4"/>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6D5"/>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CE"/>
    <w:rsid w:val="00E42C71"/>
    <w:rsid w:val="00E43F4A"/>
    <w:rsid w:val="00E4512F"/>
    <w:rsid w:val="00E46170"/>
    <w:rsid w:val="00E51E56"/>
    <w:rsid w:val="00E53F12"/>
    <w:rsid w:val="00E53FF9"/>
    <w:rsid w:val="00E55B31"/>
    <w:rsid w:val="00E60F91"/>
    <w:rsid w:val="00E61304"/>
    <w:rsid w:val="00E62523"/>
    <w:rsid w:val="00E63FC0"/>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E63C4"/>
    <w:rsid w:val="00EF0CBC"/>
    <w:rsid w:val="00EF4317"/>
    <w:rsid w:val="00EF7676"/>
    <w:rsid w:val="00EF7CA9"/>
    <w:rsid w:val="00F02D74"/>
    <w:rsid w:val="00F03026"/>
    <w:rsid w:val="00F074CE"/>
    <w:rsid w:val="00F11625"/>
    <w:rsid w:val="00F12C86"/>
    <w:rsid w:val="00F136CA"/>
    <w:rsid w:val="00F16B7A"/>
    <w:rsid w:val="00F23348"/>
    <w:rsid w:val="00F247D4"/>
    <w:rsid w:val="00F24FDD"/>
    <w:rsid w:val="00F254AE"/>
    <w:rsid w:val="00F273D9"/>
    <w:rsid w:val="00F30EA8"/>
    <w:rsid w:val="00F333A7"/>
    <w:rsid w:val="00F33706"/>
    <w:rsid w:val="00F339C1"/>
    <w:rsid w:val="00F36A84"/>
    <w:rsid w:val="00F37C06"/>
    <w:rsid w:val="00F44E61"/>
    <w:rsid w:val="00F46D9B"/>
    <w:rsid w:val="00F472AE"/>
    <w:rsid w:val="00F51BC4"/>
    <w:rsid w:val="00F54496"/>
    <w:rsid w:val="00F54658"/>
    <w:rsid w:val="00F61BB4"/>
    <w:rsid w:val="00F625C9"/>
    <w:rsid w:val="00F636E2"/>
    <w:rsid w:val="00F64965"/>
    <w:rsid w:val="00F65902"/>
    <w:rsid w:val="00F67CB6"/>
    <w:rsid w:val="00F76A55"/>
    <w:rsid w:val="00F81D22"/>
    <w:rsid w:val="00F8662A"/>
    <w:rsid w:val="00F86706"/>
    <w:rsid w:val="00F93246"/>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31"/>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389304966">
      <w:bodyDiv w:val="1"/>
      <w:marLeft w:val="0"/>
      <w:marRight w:val="0"/>
      <w:marTop w:val="0"/>
      <w:marBottom w:val="0"/>
      <w:divBdr>
        <w:top w:val="none" w:sz="0" w:space="0" w:color="auto"/>
        <w:left w:val="none" w:sz="0" w:space="0" w:color="auto"/>
        <w:bottom w:val="none" w:sz="0" w:space="0" w:color="auto"/>
        <w:right w:val="none" w:sz="0" w:space="0" w:color="auto"/>
      </w:divBdr>
    </w:div>
    <w:div w:id="1572234632">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697924664">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91592530">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1july2021MBSchanges.generalsurgery@health.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HI@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2021-07-05T06:59:00Z</dcterms:created>
  <dcterms:modified xsi:type="dcterms:W3CDTF">2021-07-05T22:17:00Z</dcterms:modified>
</cp:coreProperties>
</file>