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7FD81C98" w:rsidR="00C72C2D" w:rsidRPr="00702D01" w:rsidRDefault="00E40DE1" w:rsidP="00962435">
      <w:pPr>
        <w:pStyle w:val="Heading1"/>
      </w:pPr>
      <w:bookmarkStart w:id="0" w:name="_GoBack"/>
      <w:bookmarkEnd w:id="0"/>
      <w:r>
        <w:t>Changes to bariatric</w:t>
      </w:r>
      <w:r w:rsidR="000D052C">
        <w:t xml:space="preserve"> procedure</w:t>
      </w:r>
      <w:r w:rsidR="00933CFA" w:rsidRPr="00702D01">
        <w:t xml:space="preserve"> </w:t>
      </w:r>
      <w:r w:rsidR="00702D01" w:rsidRPr="00702D01">
        <w:t>MBS services - Reference G</w:t>
      </w:r>
      <w:r w:rsidR="003F2E62" w:rsidRPr="00702D01">
        <w:t>uide</w:t>
      </w:r>
    </w:p>
    <w:p w14:paraId="4E095C64" w14:textId="35A67FC0" w:rsidR="00FA7AAF" w:rsidRDefault="00FA7AAF" w:rsidP="00FA7AAF">
      <w:pPr>
        <w:pStyle w:val="Heading2"/>
        <w:rPr>
          <w:b/>
        </w:rPr>
      </w:pPr>
      <w:r w:rsidRPr="004D1141">
        <w:rPr>
          <w:b/>
        </w:rPr>
        <w:t>Date of change:</w:t>
      </w:r>
      <w:r w:rsidRPr="00432212">
        <w:tab/>
      </w:r>
      <w:r w:rsidRPr="008402C5">
        <w:rPr>
          <w:b/>
        </w:rPr>
        <w:t xml:space="preserve">1 </w:t>
      </w:r>
      <w:r>
        <w:rPr>
          <w:b/>
        </w:rPr>
        <w:t>July</w:t>
      </w:r>
      <w:r w:rsidRPr="008402C5">
        <w:rPr>
          <w:b/>
        </w:rPr>
        <w:t xml:space="preserve"> 202</w:t>
      </w:r>
      <w:r>
        <w:rPr>
          <w:b/>
        </w:rPr>
        <w:t>1</w:t>
      </w:r>
    </w:p>
    <w:p w14:paraId="4F7FA6A4" w14:textId="5DDF5559" w:rsidR="00E40DE1" w:rsidRPr="00E40DE1" w:rsidRDefault="00E40DE1" w:rsidP="00E40DE1">
      <w:pPr>
        <w:pStyle w:val="Heading2"/>
        <w:ind w:left="2160" w:hanging="2160"/>
        <w:rPr>
          <w:b/>
          <w:color w:val="FFFFFF" w:themeColor="background1"/>
          <w:u w:color="006341" w:themeColor="accent1"/>
          <w:shd w:val="clear" w:color="auto" w:fill="789D4A" w:themeFill="accent2"/>
        </w:rPr>
      </w:pPr>
      <w:r>
        <w:rPr>
          <w:szCs w:val="28"/>
        </w:rPr>
        <w:t>New</w:t>
      </w:r>
      <w:r w:rsidRPr="00561D56">
        <w:rPr>
          <w:szCs w:val="28"/>
        </w:rPr>
        <w:t xml:space="preserve"> items:</w:t>
      </w:r>
      <w:r w:rsidRPr="00C160BC">
        <w:rPr>
          <w:szCs w:val="28"/>
        </w:rPr>
        <w:tab/>
      </w:r>
      <w:r>
        <w:rPr>
          <w:szCs w:val="28"/>
        </w:rPr>
        <w:tab/>
      </w:r>
      <w:r w:rsidRPr="001E1B23">
        <w:rPr>
          <w:rStyle w:val="NEWItemNumber"/>
        </w:rPr>
        <w:t>31585</w:t>
      </w:r>
    </w:p>
    <w:p w14:paraId="162F90F4" w14:textId="04C17263" w:rsidR="00BA40B0" w:rsidRPr="00BA40B0" w:rsidRDefault="00A71A0F" w:rsidP="00BA40B0">
      <w:pPr>
        <w:pStyle w:val="Heading2"/>
        <w:ind w:left="2160" w:hanging="2160"/>
        <w:rPr>
          <w:b/>
          <w:color w:val="FFFFFF" w:themeColor="background1"/>
          <w:u w:color="006341" w:themeColor="accent1"/>
          <w:shd w:val="clear" w:color="auto" w:fill="789D4A" w:themeFill="accent2"/>
        </w:rPr>
      </w:pPr>
      <w:bookmarkStart w:id="1" w:name="_Hlk10794542"/>
      <w:r>
        <w:rPr>
          <w:szCs w:val="28"/>
        </w:rPr>
        <w:t>Amended</w:t>
      </w:r>
      <w:r w:rsidRPr="00561D56">
        <w:rPr>
          <w:szCs w:val="28"/>
        </w:rPr>
        <w:t xml:space="preserve"> items:</w:t>
      </w:r>
      <w:r w:rsidRPr="00C160BC">
        <w:rPr>
          <w:szCs w:val="28"/>
        </w:rPr>
        <w:tab/>
      </w:r>
      <w:r>
        <w:rPr>
          <w:szCs w:val="28"/>
        </w:rPr>
        <w:tab/>
      </w:r>
      <w:r w:rsidR="00E40DE1">
        <w:rPr>
          <w:rStyle w:val="AmendedItemNumber"/>
        </w:rPr>
        <w:t>31584</w:t>
      </w:r>
      <w:bookmarkEnd w:id="1"/>
    </w:p>
    <w:p w14:paraId="4E3497D9" w14:textId="6D209636" w:rsidR="00F625C9" w:rsidRPr="00520161" w:rsidRDefault="00F625C9" w:rsidP="00F625C9">
      <w:pPr>
        <w:pStyle w:val="Heading2"/>
      </w:pPr>
      <w:r w:rsidRPr="00520161">
        <w:t>Revised structure</w:t>
      </w:r>
    </w:p>
    <w:p w14:paraId="22510B1C" w14:textId="57C7FD48" w:rsidR="00692C2F" w:rsidRPr="004403E8" w:rsidRDefault="00372584" w:rsidP="009334A5">
      <w:pPr>
        <w:pStyle w:val="ListParagraph"/>
        <w:numPr>
          <w:ilvl w:val="0"/>
          <w:numId w:val="1"/>
        </w:numPr>
        <w:rPr>
          <w:b/>
        </w:rPr>
      </w:pPr>
      <w:bookmarkStart w:id="2" w:name="_Hlk535506978"/>
      <w:r>
        <w:rPr>
          <w:b/>
        </w:rPr>
        <w:t>6</w:t>
      </w:r>
      <w:r w:rsidR="001F723F">
        <w:rPr>
          <w:b/>
        </w:rPr>
        <w:t xml:space="preserve"> July</w:t>
      </w:r>
      <w:r w:rsidR="00692C2F">
        <w:rPr>
          <w:b/>
        </w:rPr>
        <w:t xml:space="preserve"> 2021 update: this factsheet now includes the final item descriptor and fee (inclusive of 1 July 2021 indexation) for the new </w:t>
      </w:r>
      <w:r w:rsidR="00A751D7">
        <w:rPr>
          <w:b/>
        </w:rPr>
        <w:t xml:space="preserve">and amended </w:t>
      </w:r>
      <w:r w:rsidR="00692C2F">
        <w:rPr>
          <w:b/>
        </w:rPr>
        <w:t>item</w:t>
      </w:r>
      <w:r w:rsidR="00A751D7">
        <w:rPr>
          <w:b/>
        </w:rPr>
        <w:t>s</w:t>
      </w:r>
      <w:r w:rsidR="00692C2F">
        <w:rPr>
          <w:b/>
        </w:rPr>
        <w:t xml:space="preserve"> listed above.</w:t>
      </w:r>
      <w:r w:rsidR="009334A5">
        <w:rPr>
          <w:b/>
        </w:rPr>
        <w:t xml:space="preserve"> </w:t>
      </w:r>
      <w:r w:rsidR="009334A5" w:rsidRPr="00D3768B">
        <w:rPr>
          <w:b/>
        </w:rPr>
        <w:t xml:space="preserve">Only minor wording changes were made to the item descriptors during the drafting of the legislation, </w:t>
      </w:r>
      <w:r w:rsidR="009334A5">
        <w:rPr>
          <w:b/>
        </w:rPr>
        <w:t>there have been no changes to the clinical intent of the items.</w:t>
      </w:r>
    </w:p>
    <w:p w14:paraId="11E0282A" w14:textId="0EE5D60B"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444813B4"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4B5450">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6CDA1738" w14:textId="350C1FE5" w:rsidR="00530765" w:rsidRPr="004403E8" w:rsidRDefault="00F625C9" w:rsidP="004403E8">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2E191431" w14:textId="3B6B3C83" w:rsidR="005D68EF" w:rsidRPr="005D68EF" w:rsidRDefault="00E40DE1" w:rsidP="002A54A4">
      <w:pPr>
        <w:pStyle w:val="Heading1"/>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r>
        <w:t>Bariatric</w:t>
      </w:r>
      <w:r w:rsidR="000D052C">
        <w:t xml:space="preserve"> procedure</w:t>
      </w:r>
      <w:r w:rsidR="00E163A3">
        <w:t xml:space="preserve"> MBS services</w:t>
      </w:r>
      <w:r w:rsidR="00237A74" w:rsidRPr="00962435">
        <w:t xml:space="preserve"> </w:t>
      </w:r>
      <w:r w:rsidR="00AC2975" w:rsidRPr="00962435">
        <w:t>changes</w:t>
      </w:r>
    </w:p>
    <w:p w14:paraId="7229D6D5" w14:textId="1CEC344F" w:rsidR="00E40DE1" w:rsidRPr="00C85BCE" w:rsidRDefault="00E40DE1" w:rsidP="00E40DE1">
      <w:pPr>
        <w:pStyle w:val="Heading2"/>
        <w:rPr>
          <w:rStyle w:val="Descriptorheader"/>
          <w:rFonts w:ascii="Arial" w:hAnsi="Arial"/>
          <w:b w:val="0"/>
          <w:bCs w:val="0"/>
          <w:i/>
          <w:iCs w:val="0"/>
          <w:color w:val="auto"/>
          <w:spacing w:val="0"/>
          <w:sz w:val="28"/>
        </w:rPr>
      </w:pPr>
      <w:r w:rsidRPr="005D68EF">
        <w:rPr>
          <w:rStyle w:val="NEWItemNumber"/>
        </w:rPr>
        <w:t xml:space="preserve">New item </w:t>
      </w:r>
      <w:r>
        <w:rPr>
          <w:rStyle w:val="NEWItemNumber"/>
        </w:rPr>
        <w:t>31585</w:t>
      </w:r>
      <w:r w:rsidR="00BA40B0">
        <w:rPr>
          <w:rStyle w:val="NEWItemNumber"/>
        </w:rPr>
        <w:t xml:space="preserve"> </w:t>
      </w:r>
      <w:r w:rsidR="00BA40B0" w:rsidRPr="00BA40B0">
        <w:t>Removal of adjustable gastric band</w:t>
      </w:r>
    </w:p>
    <w:p w14:paraId="4A23A1CA" w14:textId="1CFC872F" w:rsidR="00E40DE1" w:rsidRPr="00882BF4" w:rsidRDefault="00E40DE1" w:rsidP="00E40DE1">
      <w:r w:rsidRPr="00882BF4">
        <w:rPr>
          <w:rStyle w:val="Descriptorheader"/>
        </w:rPr>
        <w:t>Overview:</w:t>
      </w:r>
      <w:r w:rsidRPr="00882BF4">
        <w:t xml:space="preserve"> </w:t>
      </w:r>
      <w:r w:rsidR="00875458">
        <w:t>New item to provide for the removal of</w:t>
      </w:r>
      <w:r w:rsidR="00D0078E">
        <w:t xml:space="preserve"> an adjustable gastric ban</w:t>
      </w:r>
      <w:r w:rsidR="004403E8">
        <w:t>d</w:t>
      </w:r>
    </w:p>
    <w:p w14:paraId="54029853" w14:textId="26ACF9EC" w:rsidR="00E40DE1" w:rsidRPr="005B5A69" w:rsidRDefault="00E40DE1" w:rsidP="00E40DE1">
      <w:pPr>
        <w:pStyle w:val="Tabletext"/>
        <w:rPr>
          <w:rFonts w:ascii="Arial" w:eastAsiaTheme="minorEastAsia" w:hAnsi="Arial" w:cstheme="minorBidi"/>
          <w:szCs w:val="21"/>
          <w:lang w:eastAsia="en-US"/>
        </w:rPr>
      </w:pPr>
      <w:r w:rsidRPr="00882BF4">
        <w:rPr>
          <w:rStyle w:val="Descriptorheader"/>
        </w:rPr>
        <w:t>Item Descriptor</w:t>
      </w:r>
      <w:r w:rsidRPr="00882BF4">
        <w:rPr>
          <w:rFonts w:ascii="Arial" w:eastAsiaTheme="minorEastAsia" w:hAnsi="Arial" w:cstheme="minorBidi"/>
          <w:b/>
          <w:bCs/>
          <w:iCs/>
          <w:szCs w:val="21"/>
          <w:lang w:eastAsia="en-US"/>
        </w:rPr>
        <w:t>:</w:t>
      </w:r>
      <w:r w:rsidRPr="00882BF4">
        <w:rPr>
          <w:rFonts w:ascii="Arial" w:eastAsiaTheme="minorEastAsia" w:hAnsi="Arial" w:cstheme="minorBidi"/>
          <w:szCs w:val="21"/>
          <w:lang w:eastAsia="en-US"/>
        </w:rPr>
        <w:t xml:space="preserve"> </w:t>
      </w:r>
      <w:r w:rsidRPr="00E40DE1">
        <w:rPr>
          <w:rFonts w:ascii="Arial" w:eastAsiaTheme="minorEastAsia" w:hAnsi="Arial" w:cstheme="minorBidi"/>
          <w:szCs w:val="21"/>
          <w:lang w:eastAsia="en-US"/>
        </w:rPr>
        <w:t>Removal of adjustable gastric band (H) (</w:t>
      </w:r>
      <w:proofErr w:type="spellStart"/>
      <w:r w:rsidRPr="00E40DE1">
        <w:rPr>
          <w:rFonts w:ascii="Arial" w:eastAsiaTheme="minorEastAsia" w:hAnsi="Arial" w:cstheme="minorBidi"/>
          <w:szCs w:val="21"/>
          <w:lang w:eastAsia="en-US"/>
        </w:rPr>
        <w:t>Anaes</w:t>
      </w:r>
      <w:proofErr w:type="spellEnd"/>
      <w:r w:rsidRPr="00E40DE1">
        <w:rPr>
          <w:rFonts w:ascii="Arial" w:eastAsiaTheme="minorEastAsia" w:hAnsi="Arial" w:cstheme="minorBidi"/>
          <w:szCs w:val="21"/>
          <w:lang w:eastAsia="en-US"/>
        </w:rPr>
        <w:t>.) (Assist.)</w:t>
      </w:r>
    </w:p>
    <w:p w14:paraId="029A8F1C" w14:textId="77777777" w:rsidR="00E40DE1" w:rsidRDefault="00E40DE1" w:rsidP="00E40DE1">
      <w:pPr>
        <w:pStyle w:val="Tabletext"/>
        <w:rPr>
          <w:rFonts w:ascii="Arial" w:eastAsiaTheme="minorEastAsia" w:hAnsi="Arial" w:cstheme="minorBidi"/>
          <w:szCs w:val="21"/>
          <w:lang w:eastAsia="en-US"/>
        </w:rPr>
      </w:pPr>
    </w:p>
    <w:p w14:paraId="7E70C84F" w14:textId="3E67B2D4" w:rsidR="00E40DE1" w:rsidRPr="00882BF4" w:rsidRDefault="00E40DE1" w:rsidP="00E40DE1">
      <w:r w:rsidRPr="00882BF4">
        <w:rPr>
          <w:rStyle w:val="Descriptorheader"/>
        </w:rPr>
        <w:t>MBS fee</w:t>
      </w:r>
      <w:r w:rsidRPr="00EF2163">
        <w:rPr>
          <w:rStyle w:val="Descriptorheader"/>
          <w:rFonts w:cstheme="minorHAnsi"/>
        </w:rPr>
        <w:t>:</w:t>
      </w:r>
      <w:r w:rsidRPr="004403E8">
        <w:rPr>
          <w:rFonts w:asciiTheme="minorHAnsi" w:hAnsiTheme="minorHAnsi" w:cstheme="minorHAnsi"/>
          <w:i/>
          <w:noProof/>
        </w:rPr>
        <w:t xml:space="preserve"> </w:t>
      </w:r>
      <w:r w:rsidR="00EF2163" w:rsidRPr="004403E8">
        <w:rPr>
          <w:rFonts w:asciiTheme="minorHAnsi" w:eastAsia="Times New Roman" w:hAnsiTheme="minorHAnsi" w:cstheme="minorHAnsi"/>
          <w:color w:val="000000"/>
          <w:szCs w:val="20"/>
          <w:lang w:eastAsia="en-AU"/>
        </w:rPr>
        <w:t>$865.85</w:t>
      </w:r>
      <w:r w:rsidR="00EF2163">
        <w:rPr>
          <w:rFonts w:ascii="Calibri" w:eastAsia="Times New Roman" w:hAnsi="Calibri" w:cs="Calibri"/>
          <w:color w:val="000000"/>
          <w:szCs w:val="20"/>
          <w:lang w:eastAsia="en-AU"/>
        </w:rPr>
        <w:t xml:space="preserve"> </w:t>
      </w:r>
    </w:p>
    <w:p w14:paraId="47C1862C" w14:textId="0EB99D32" w:rsidR="00E40DE1" w:rsidRDefault="00E40DE1" w:rsidP="00E40DE1">
      <w:pPr>
        <w:rPr>
          <w:noProof/>
        </w:rPr>
      </w:pPr>
      <w:r w:rsidRPr="00882BF4">
        <w:rPr>
          <w:rStyle w:val="Descriptorheader"/>
        </w:rPr>
        <w:t>PHI Classification:</w:t>
      </w:r>
      <w:r w:rsidRPr="00882BF4">
        <w:t xml:space="preserve"> </w:t>
      </w:r>
      <w:r>
        <w:t xml:space="preserve">A </w:t>
      </w:r>
      <w:proofErr w:type="gramStart"/>
      <w:r>
        <w:t>–  Surgical</w:t>
      </w:r>
      <w:proofErr w:type="gramEnd"/>
      <w:r>
        <w:t xml:space="preserve"> patient</w:t>
      </w:r>
      <w:r w:rsidRPr="00C85BCE">
        <w:rPr>
          <w:b/>
          <w:i/>
          <w:noProof/>
        </w:rPr>
        <w:t xml:space="preserve"> </w:t>
      </w:r>
      <w:r w:rsidRPr="00882BF4">
        <w:rPr>
          <w:rStyle w:val="Descriptorheader"/>
        </w:rPr>
        <w:t>Clinical Category:</w:t>
      </w:r>
      <w:r w:rsidRPr="00882BF4">
        <w:rPr>
          <w:b/>
          <w:noProof/>
        </w:rPr>
        <w:t xml:space="preserve"> </w:t>
      </w:r>
      <w:r w:rsidRPr="00E40DE1">
        <w:t>Weight loss surgery</w:t>
      </w:r>
    </w:p>
    <w:p w14:paraId="55709D21" w14:textId="3A97F418" w:rsidR="002E24C6" w:rsidRDefault="002E24C6" w:rsidP="00F16B7A"/>
    <w:p w14:paraId="369D5623" w14:textId="347139B0" w:rsidR="006E4F3B" w:rsidRPr="00EE1C08" w:rsidRDefault="006E4F3B" w:rsidP="006E4F3B">
      <w:pPr>
        <w:pStyle w:val="Heading2"/>
      </w:pPr>
      <w:r>
        <w:rPr>
          <w:rStyle w:val="AmendedItemNumber"/>
          <w:noProof w:val="0"/>
          <w:szCs w:val="28"/>
        </w:rPr>
        <w:t xml:space="preserve">Amended item </w:t>
      </w:r>
      <w:r w:rsidR="00E40DE1">
        <w:rPr>
          <w:rStyle w:val="AmendedItemNumber"/>
        </w:rPr>
        <w:t>31584</w:t>
      </w:r>
      <w:r w:rsidR="0047635F">
        <w:rPr>
          <w:rStyle w:val="AmendedItemNumber"/>
        </w:rPr>
        <w:t xml:space="preserve"> </w:t>
      </w:r>
      <w:r w:rsidR="0047635F">
        <w:t xml:space="preserve"> Reversal, revision or </w:t>
      </w:r>
      <w:r w:rsidR="0047635F" w:rsidRPr="00E40DE1">
        <w:t>conversion</w:t>
      </w:r>
      <w:r w:rsidR="00433D2A">
        <w:t xml:space="preserve"> of a previous</w:t>
      </w:r>
      <w:r w:rsidR="0047635F" w:rsidRPr="000E449A">
        <w:rPr>
          <w:rFonts w:asciiTheme="minorHAnsi" w:hAnsiTheme="minorHAnsi" w:cstheme="minorHAnsi"/>
          <w:lang w:eastAsia="en-AU"/>
        </w:rPr>
        <w:t xml:space="preserve"> bariatric procedure</w:t>
      </w:r>
    </w:p>
    <w:p w14:paraId="4CFE4865" w14:textId="6FA255A1" w:rsidR="006E4F3B" w:rsidRPr="00EE1C08" w:rsidRDefault="006E4F3B" w:rsidP="006E4F3B">
      <w:r w:rsidRPr="00EE1C08">
        <w:rPr>
          <w:rStyle w:val="Descriptorheader"/>
        </w:rPr>
        <w:t>Overview:</w:t>
      </w:r>
      <w:r>
        <w:t xml:space="preserve"> </w:t>
      </w:r>
      <w:r w:rsidR="0047635F">
        <w:t xml:space="preserve">Clarification that the item provides for reversal, revision or </w:t>
      </w:r>
      <w:r w:rsidR="0047635F" w:rsidRPr="00E40DE1">
        <w:t>conversion</w:t>
      </w:r>
      <w:r w:rsidR="00433D2A">
        <w:t xml:space="preserve"> of a previous</w:t>
      </w:r>
      <w:r w:rsidR="0047635F" w:rsidRPr="000E449A">
        <w:rPr>
          <w:rFonts w:asciiTheme="minorHAnsi" w:hAnsiTheme="minorHAnsi" w:cstheme="minorHAnsi"/>
          <w:lang w:eastAsia="en-AU"/>
        </w:rPr>
        <w:t xml:space="preserve"> bariatric procedure</w:t>
      </w:r>
      <w:r w:rsidR="0047635F">
        <w:rPr>
          <w:rFonts w:asciiTheme="minorHAnsi" w:hAnsiTheme="minorHAnsi" w:cstheme="minorHAnsi"/>
          <w:lang w:eastAsia="en-AU"/>
        </w:rPr>
        <w:t>.</w:t>
      </w:r>
    </w:p>
    <w:p w14:paraId="119B74BC" w14:textId="77777777" w:rsidR="00EF2163" w:rsidRPr="004403E8" w:rsidRDefault="006E4F3B" w:rsidP="00EF2163">
      <w:pPr>
        <w:pStyle w:val="Tabletext"/>
        <w:rPr>
          <w:rFonts w:asciiTheme="minorHAnsi" w:eastAsiaTheme="minorHAnsi" w:hAnsiTheme="minorHAnsi" w:cstheme="minorHAnsi"/>
          <w:lang w:eastAsia="en-US"/>
        </w:rPr>
      </w:pPr>
      <w:r w:rsidRPr="00EE1C08">
        <w:rPr>
          <w:rStyle w:val="Descriptorheader"/>
        </w:rPr>
        <w:t>Item Descriptor</w:t>
      </w:r>
      <w:r w:rsidRPr="00E40DE1">
        <w:rPr>
          <w:b/>
          <w:bCs/>
          <w:iCs/>
        </w:rPr>
        <w:t>:</w:t>
      </w:r>
      <w:r w:rsidRPr="00E40DE1">
        <w:t xml:space="preserve"> </w:t>
      </w:r>
      <w:r w:rsidR="00F86942">
        <w:t xml:space="preserve"> </w:t>
      </w:r>
      <w:r w:rsidR="00EF2163" w:rsidRPr="004403E8">
        <w:rPr>
          <w:rFonts w:asciiTheme="minorHAnsi" w:eastAsiaTheme="minorHAnsi" w:hAnsiTheme="minorHAnsi" w:cstheme="minorHAnsi"/>
          <w:lang w:eastAsia="en-US"/>
        </w:rPr>
        <w:t>Surgical reversal of previous bariatric procedure, including revision or conversion, if:</w:t>
      </w:r>
    </w:p>
    <w:p w14:paraId="13DA1310" w14:textId="77777777" w:rsidR="00EF2163" w:rsidRPr="004403E8" w:rsidRDefault="00EF2163" w:rsidP="00EF2163">
      <w:pPr>
        <w:pStyle w:val="Tablea"/>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(a) the previous procedure involved any of the following:</w:t>
      </w:r>
    </w:p>
    <w:p w14:paraId="3019FA38" w14:textId="77777777" w:rsidR="00EF2163" w:rsidRPr="004403E8" w:rsidRDefault="00EF2163" w:rsidP="00EF2163">
      <w:pPr>
        <w:pStyle w:val="Tablei"/>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w:t>
      </w:r>
      <w:proofErr w:type="spellStart"/>
      <w:r w:rsidRPr="004403E8">
        <w:rPr>
          <w:rFonts w:asciiTheme="minorHAnsi" w:eastAsiaTheme="minorHAnsi" w:hAnsiTheme="minorHAnsi" w:cstheme="minorHAnsi"/>
          <w:lang w:eastAsia="en-US"/>
        </w:rPr>
        <w:t>i</w:t>
      </w:r>
      <w:proofErr w:type="spellEnd"/>
      <w:r w:rsidRPr="004403E8">
        <w:rPr>
          <w:rFonts w:asciiTheme="minorHAnsi" w:eastAsiaTheme="minorHAnsi" w:hAnsiTheme="minorHAnsi" w:cstheme="minorHAnsi"/>
          <w:lang w:eastAsia="en-US"/>
        </w:rPr>
        <w:t xml:space="preserve">) </w:t>
      </w:r>
      <w:proofErr w:type="gramStart"/>
      <w:r w:rsidRPr="004403E8">
        <w:rPr>
          <w:rFonts w:asciiTheme="minorHAnsi" w:eastAsiaTheme="minorHAnsi" w:hAnsiTheme="minorHAnsi" w:cstheme="minorHAnsi"/>
          <w:lang w:eastAsia="en-US"/>
        </w:rPr>
        <w:t>placement</w:t>
      </w:r>
      <w:proofErr w:type="gramEnd"/>
      <w:r w:rsidRPr="004403E8">
        <w:rPr>
          <w:rFonts w:asciiTheme="minorHAnsi" w:eastAsiaTheme="minorHAnsi" w:hAnsiTheme="minorHAnsi" w:cstheme="minorHAnsi"/>
          <w:lang w:eastAsia="en-US"/>
        </w:rPr>
        <w:t xml:space="preserve"> of adjustable gastric banding;</w:t>
      </w:r>
    </w:p>
    <w:p w14:paraId="6FA11307" w14:textId="77777777" w:rsidR="00EF2163" w:rsidRPr="004403E8" w:rsidRDefault="00EF2163" w:rsidP="00EF2163">
      <w:pPr>
        <w:pStyle w:val="Tablei"/>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 xml:space="preserve">(ii) </w:t>
      </w:r>
      <w:proofErr w:type="gramStart"/>
      <w:r w:rsidRPr="004403E8">
        <w:rPr>
          <w:rFonts w:asciiTheme="minorHAnsi" w:eastAsiaTheme="minorHAnsi" w:hAnsiTheme="minorHAnsi" w:cstheme="minorHAnsi"/>
          <w:lang w:eastAsia="en-US"/>
        </w:rPr>
        <w:t>gastric</w:t>
      </w:r>
      <w:proofErr w:type="gramEnd"/>
      <w:r w:rsidRPr="004403E8">
        <w:rPr>
          <w:rFonts w:asciiTheme="minorHAnsi" w:eastAsiaTheme="minorHAnsi" w:hAnsiTheme="minorHAnsi" w:cstheme="minorHAnsi"/>
          <w:lang w:eastAsia="en-US"/>
        </w:rPr>
        <w:t xml:space="preserve"> bypass;</w:t>
      </w:r>
    </w:p>
    <w:p w14:paraId="1163E7D6" w14:textId="77777777" w:rsidR="00EF2163" w:rsidRPr="004403E8" w:rsidRDefault="00EF2163" w:rsidP="00EF2163">
      <w:pPr>
        <w:pStyle w:val="Tablei"/>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 xml:space="preserve">(iii) </w:t>
      </w:r>
      <w:proofErr w:type="gramStart"/>
      <w:r w:rsidRPr="004403E8">
        <w:rPr>
          <w:rFonts w:asciiTheme="minorHAnsi" w:eastAsiaTheme="minorHAnsi" w:hAnsiTheme="minorHAnsi" w:cstheme="minorHAnsi"/>
          <w:lang w:eastAsia="en-US"/>
        </w:rPr>
        <w:t>sleeve</w:t>
      </w:r>
      <w:proofErr w:type="gramEnd"/>
      <w:r w:rsidRPr="004403E8">
        <w:rPr>
          <w:rFonts w:asciiTheme="minorHAnsi" w:eastAsiaTheme="minorHAnsi" w:hAnsiTheme="minorHAnsi" w:cstheme="minorHAnsi"/>
          <w:lang w:eastAsia="en-US"/>
        </w:rPr>
        <w:t xml:space="preserve"> gastrectomy;</w:t>
      </w:r>
    </w:p>
    <w:p w14:paraId="40C1AC9F" w14:textId="77777777" w:rsidR="00EF2163" w:rsidRPr="004403E8" w:rsidRDefault="00EF2163" w:rsidP="00EF2163">
      <w:pPr>
        <w:pStyle w:val="Tablei"/>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 xml:space="preserve">(iv) </w:t>
      </w:r>
      <w:proofErr w:type="gramStart"/>
      <w:r w:rsidRPr="004403E8">
        <w:rPr>
          <w:rFonts w:asciiTheme="minorHAnsi" w:eastAsiaTheme="minorHAnsi" w:hAnsiTheme="minorHAnsi" w:cstheme="minorHAnsi"/>
          <w:lang w:eastAsia="en-US"/>
        </w:rPr>
        <w:t>gastroplasty</w:t>
      </w:r>
      <w:proofErr w:type="gramEnd"/>
      <w:r w:rsidRPr="004403E8">
        <w:rPr>
          <w:rFonts w:asciiTheme="minorHAnsi" w:eastAsiaTheme="minorHAnsi" w:hAnsiTheme="minorHAnsi" w:cstheme="minorHAnsi"/>
          <w:lang w:eastAsia="en-US"/>
        </w:rPr>
        <w:t xml:space="preserve"> (excluding gastric plication);</w:t>
      </w:r>
    </w:p>
    <w:p w14:paraId="61082C39" w14:textId="77777777" w:rsidR="00EF2163" w:rsidRPr="004403E8" w:rsidRDefault="00EF2163" w:rsidP="00EF2163">
      <w:pPr>
        <w:pStyle w:val="Tablei"/>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(v) biliopancreatic diversion; and</w:t>
      </w:r>
    </w:p>
    <w:p w14:paraId="11956618" w14:textId="77777777" w:rsidR="00EF2163" w:rsidRPr="004403E8" w:rsidRDefault="00EF2163" w:rsidP="00EF2163">
      <w:pPr>
        <w:pStyle w:val="Tablea"/>
        <w:rPr>
          <w:rFonts w:asciiTheme="minorHAnsi" w:eastAsiaTheme="minorHAnsi" w:hAnsiTheme="minorHAnsi" w:cstheme="minorHAnsi"/>
          <w:lang w:eastAsia="en-US"/>
        </w:rPr>
      </w:pPr>
      <w:r w:rsidRPr="004403E8">
        <w:rPr>
          <w:rFonts w:asciiTheme="minorHAnsi" w:eastAsiaTheme="minorHAnsi" w:hAnsiTheme="minorHAnsi" w:cstheme="minorHAnsi"/>
          <w:lang w:eastAsia="en-US"/>
        </w:rPr>
        <w:t xml:space="preserve">(b) </w:t>
      </w:r>
      <w:proofErr w:type="gramStart"/>
      <w:r w:rsidRPr="004403E8">
        <w:rPr>
          <w:rFonts w:asciiTheme="minorHAnsi" w:eastAsiaTheme="minorHAnsi" w:hAnsiTheme="minorHAnsi" w:cstheme="minorHAnsi"/>
          <w:lang w:eastAsia="en-US"/>
        </w:rPr>
        <w:t>any</w:t>
      </w:r>
      <w:proofErr w:type="gramEnd"/>
      <w:r w:rsidRPr="004403E8">
        <w:rPr>
          <w:rFonts w:asciiTheme="minorHAnsi" w:eastAsiaTheme="minorHAnsi" w:hAnsiTheme="minorHAnsi" w:cstheme="minorHAnsi"/>
          <w:lang w:eastAsia="en-US"/>
        </w:rPr>
        <w:t xml:space="preserve"> of items 31569 to 31581 applied to the previous procedure;</w:t>
      </w:r>
    </w:p>
    <w:p w14:paraId="7CDE540F" w14:textId="773F9FAB" w:rsidR="00E40DE1" w:rsidRPr="00EE1C08" w:rsidRDefault="00EF2163" w:rsidP="004403E8">
      <w:pPr>
        <w:spacing w:after="240" w:line="240" w:lineRule="auto"/>
      </w:pPr>
      <w:r w:rsidRPr="004403E8">
        <w:rPr>
          <w:rFonts w:asciiTheme="minorHAnsi" w:hAnsiTheme="minorHAnsi" w:cstheme="minorHAnsi"/>
          <w:szCs w:val="20"/>
        </w:rPr>
        <w:t>other than a service associated with a service to which item 31585 applies (H) (</w:t>
      </w:r>
      <w:proofErr w:type="spellStart"/>
      <w:r w:rsidRPr="004403E8">
        <w:rPr>
          <w:rFonts w:asciiTheme="minorHAnsi" w:hAnsiTheme="minorHAnsi" w:cstheme="minorHAnsi"/>
          <w:szCs w:val="20"/>
        </w:rPr>
        <w:t>Anaes</w:t>
      </w:r>
      <w:proofErr w:type="spellEnd"/>
      <w:r w:rsidRPr="004403E8">
        <w:rPr>
          <w:rFonts w:asciiTheme="minorHAnsi" w:hAnsiTheme="minorHAnsi" w:cstheme="minorHAnsi"/>
          <w:szCs w:val="20"/>
        </w:rPr>
        <w:t>.) (Assist.)</w:t>
      </w:r>
    </w:p>
    <w:p w14:paraId="58E7A27C" w14:textId="06D8BE41" w:rsidR="006E4F3B" w:rsidRPr="00EE1C08" w:rsidRDefault="006E4F3B" w:rsidP="006E4F3B">
      <w:r w:rsidRPr="00EE1C08">
        <w:rPr>
          <w:rStyle w:val="Descriptorheader"/>
        </w:rPr>
        <w:t>MBS fee:</w:t>
      </w:r>
      <w:r w:rsidRPr="00EE1C08">
        <w:rPr>
          <w:noProof/>
        </w:rPr>
        <w:t xml:space="preserve"> </w:t>
      </w:r>
      <w:r w:rsidR="00EF2163" w:rsidRPr="004403E8">
        <w:rPr>
          <w:rFonts w:asciiTheme="minorHAnsi" w:hAnsiTheme="minorHAnsi" w:cstheme="minorHAnsi"/>
          <w:szCs w:val="20"/>
        </w:rPr>
        <w:t>$1,601.50</w:t>
      </w:r>
      <w:r w:rsidR="00EF2163">
        <w:rPr>
          <w:rFonts w:ascii="Calibri" w:hAnsi="Calibri" w:cs="Calibri"/>
          <w:szCs w:val="20"/>
        </w:rPr>
        <w:t xml:space="preserve"> </w:t>
      </w:r>
    </w:p>
    <w:p w14:paraId="49514824" w14:textId="5B9446A1" w:rsidR="006E4F3B" w:rsidRDefault="006E4F3B" w:rsidP="006E4F3B">
      <w:r w:rsidRPr="00EE1C08">
        <w:rPr>
          <w:rStyle w:val="Descriptorheader"/>
        </w:rPr>
        <w:t>PHI Classification:</w:t>
      </w:r>
      <w:r>
        <w:rPr>
          <w:rStyle w:val="Descriptorheader"/>
        </w:rPr>
        <w:t xml:space="preserve"> </w:t>
      </w:r>
      <w:r>
        <w:t xml:space="preserve">A </w:t>
      </w:r>
      <w:proofErr w:type="gramStart"/>
      <w:r>
        <w:t xml:space="preserve">–  </w:t>
      </w:r>
      <w:r w:rsidR="00E40DE1">
        <w:t>Advanced</w:t>
      </w:r>
      <w:proofErr w:type="gramEnd"/>
      <w:r w:rsidR="00E40DE1">
        <w:t xml:space="preserve"> s</w:t>
      </w:r>
      <w:r>
        <w:t xml:space="preserve">urgical patient </w:t>
      </w:r>
      <w:r w:rsidR="003018A4">
        <w:br/>
      </w:r>
      <w:r w:rsidRPr="00EE1C08">
        <w:rPr>
          <w:rStyle w:val="Descriptorheader"/>
        </w:rPr>
        <w:t>Clinical Category:</w:t>
      </w:r>
      <w:r w:rsidRPr="00EE1C08">
        <w:rPr>
          <w:b/>
          <w:noProof/>
        </w:rPr>
        <w:t xml:space="preserve"> </w:t>
      </w:r>
      <w:r w:rsidR="00E40DE1" w:rsidRPr="00E40DE1">
        <w:t>Weight loss surgery</w:t>
      </w:r>
    </w:p>
    <w:p w14:paraId="511FFBC3" w14:textId="21F3EB0A" w:rsidR="00B13380" w:rsidRPr="00B13380" w:rsidRDefault="00B13380" w:rsidP="00B13380">
      <w:pPr>
        <w:pStyle w:val="Tabletext"/>
        <w:rPr>
          <w:strike/>
          <w:color w:val="FF0000"/>
        </w:rPr>
      </w:pPr>
    </w:p>
    <w:p w14:paraId="4F837B41" w14:textId="77777777" w:rsidR="007D70B2" w:rsidRDefault="007D70B2" w:rsidP="007D70B2">
      <w:pPr>
        <w:pStyle w:val="Heading2"/>
      </w:pPr>
      <w:r>
        <w:t>Where can I find more information?</w:t>
      </w:r>
    </w:p>
    <w:p w14:paraId="23089F64" w14:textId="77777777" w:rsidR="003018A4" w:rsidRDefault="003018A4" w:rsidP="003018A4">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proposed PHI classifications should be directed to </w:t>
      </w:r>
      <w:hyperlink r:id="rId10" w:history="1">
        <w:r>
          <w:rPr>
            <w:rStyle w:val="Hyperlink"/>
            <w:szCs w:val="20"/>
          </w:rPr>
          <w:t>PHI@health.gov.au</w:t>
        </w:r>
      </w:hyperlink>
      <w:r>
        <w:rPr>
          <w:rStyle w:val="Hyperlink"/>
          <w:b/>
          <w:szCs w:val="20"/>
        </w:rPr>
        <w:t>.</w:t>
      </w:r>
    </w:p>
    <w:p w14:paraId="1CD797AC" w14:textId="77777777" w:rsidR="003018A4" w:rsidRDefault="003018A4" w:rsidP="003018A4">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5845C118" w14:textId="322A74A9" w:rsidR="0029176A" w:rsidRPr="009A54FA" w:rsidRDefault="003018A4" w:rsidP="004403E8">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C062B9"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11A04B2C"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6178F4">
      <w:rPr>
        <w:b/>
        <w:color w:val="001A70" w:themeColor="text2"/>
        <w:sz w:val="16"/>
      </w:rPr>
      <w:t>to Bariatric</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C062B9">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C062B9">
                  <w:rPr>
                    <w:b/>
                    <w:bCs/>
                    <w:noProof/>
                    <w:color w:val="001A70" w:themeColor="text2"/>
                    <w:sz w:val="16"/>
                  </w:rPr>
                  <w:t>2</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C062B9"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05A78EDC"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 xml:space="preserve">Last updated – </w:t>
    </w:r>
    <w:r w:rsidR="001F723F">
      <w:rPr>
        <w:color w:val="001A70" w:themeColor="text2"/>
        <w:sz w:val="16"/>
      </w:rPr>
      <w:t>0</w:t>
    </w:r>
    <w:r w:rsidR="00372584">
      <w:rPr>
        <w:color w:val="001A70" w:themeColor="text2"/>
        <w:sz w:val="16"/>
      </w:rPr>
      <w:t>6</w:t>
    </w:r>
    <w:r w:rsidR="001F723F">
      <w:rPr>
        <w:color w:val="001A70" w:themeColor="text2"/>
        <w:sz w:val="16"/>
      </w:rPr>
      <w:t xml:space="preserve"> July</w:t>
    </w:r>
    <w:r w:rsidR="00692C2F">
      <w:rPr>
        <w:color w:val="001A70" w:themeColor="text2"/>
        <w:sz w:val="16"/>
      </w:rPr>
      <w:t xml:space="preserve"> </w:t>
    </w:r>
    <w:r w:rsidRPr="00A57A17">
      <w:rPr>
        <w:color w:val="001A70" w:themeColor="text2"/>
        <w:sz w:val="16"/>
      </w:rPr>
      <w:t>20</w:t>
    </w:r>
    <w:bookmarkEnd w:id="4"/>
    <w:bookmarkEnd w:id="5"/>
    <w:r w:rsidR="003018A4">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C062B9"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11506B94"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0575CB">
      <w:rPr>
        <w:b/>
        <w:color w:val="001A70" w:themeColor="text2"/>
        <w:sz w:val="16"/>
      </w:rPr>
      <w:t>es to Oesophageal</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4403E8">
                  <w:rPr>
                    <w:bCs/>
                    <w:noProof/>
                    <w:color w:val="001A70" w:themeColor="text2"/>
                    <w:sz w:val="16"/>
                  </w:rPr>
                  <w:t>3</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4403E8">
                  <w:rPr>
                    <w:bCs/>
                    <w:noProof/>
                    <w:color w:val="001A70" w:themeColor="text2"/>
                    <w:sz w:val="16"/>
                  </w:rPr>
                  <w:t>3</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C062B9"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25C16B12"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Last updated –</w:t>
    </w:r>
    <w:r w:rsidR="00692C2F" w:rsidRPr="004403E8">
      <w:rPr>
        <w:color w:val="001A70" w:themeColor="text2"/>
        <w:sz w:val="16"/>
        <w:highlight w:val="yellow"/>
      </w:rPr>
      <w:t>XX</w:t>
    </w:r>
    <w:r w:rsidR="00692C2F">
      <w:rPr>
        <w:color w:val="001A70" w:themeColor="text2"/>
        <w:sz w:val="16"/>
      </w:rPr>
      <w:t xml:space="preserve"> June </w:t>
    </w:r>
    <w:r>
      <w:rPr>
        <w:color w:val="001A70" w:themeColor="text2"/>
        <w:sz w:val="16"/>
      </w:rPr>
      <w:t>r</w:t>
    </w:r>
    <w:r w:rsidRPr="00A57A17">
      <w:rPr>
        <w:color w:val="001A70" w:themeColor="text2"/>
        <w:sz w:val="16"/>
      </w:rPr>
      <w:t xml:space="preserve"> 202</w:t>
    </w:r>
    <w:r w:rsidR="00692C2F">
      <w:rPr>
        <w:color w:val="001A70" w:themeColor="text2"/>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10"/>
  </w:num>
  <w:num w:numId="16">
    <w:abstractNumId w:val="3"/>
  </w:num>
  <w:num w:numId="17">
    <w:abstractNumId w:val="11"/>
  </w:num>
  <w:num w:numId="18">
    <w:abstractNumId w:val="3"/>
  </w:num>
  <w:num w:numId="19">
    <w:abstractNumId w:val="1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351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29E5"/>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5295D"/>
    <w:rsid w:val="00053819"/>
    <w:rsid w:val="00054029"/>
    <w:rsid w:val="000575CB"/>
    <w:rsid w:val="000711BC"/>
    <w:rsid w:val="000721D0"/>
    <w:rsid w:val="000729F0"/>
    <w:rsid w:val="000742F2"/>
    <w:rsid w:val="00074AD7"/>
    <w:rsid w:val="00074D67"/>
    <w:rsid w:val="00074D9E"/>
    <w:rsid w:val="00077BFD"/>
    <w:rsid w:val="000802AA"/>
    <w:rsid w:val="0008555D"/>
    <w:rsid w:val="000856E4"/>
    <w:rsid w:val="000861A0"/>
    <w:rsid w:val="00087AE5"/>
    <w:rsid w:val="000A37C5"/>
    <w:rsid w:val="000A43C6"/>
    <w:rsid w:val="000A6560"/>
    <w:rsid w:val="000B01AE"/>
    <w:rsid w:val="000B1C57"/>
    <w:rsid w:val="000B1C83"/>
    <w:rsid w:val="000B2E05"/>
    <w:rsid w:val="000B4851"/>
    <w:rsid w:val="000B7B54"/>
    <w:rsid w:val="000C3B56"/>
    <w:rsid w:val="000C48FC"/>
    <w:rsid w:val="000C546B"/>
    <w:rsid w:val="000C668D"/>
    <w:rsid w:val="000C730C"/>
    <w:rsid w:val="000D052C"/>
    <w:rsid w:val="000D6618"/>
    <w:rsid w:val="000D6DC4"/>
    <w:rsid w:val="000E1A3D"/>
    <w:rsid w:val="000E499E"/>
    <w:rsid w:val="000E7D2B"/>
    <w:rsid w:val="000F3FF2"/>
    <w:rsid w:val="000F48CB"/>
    <w:rsid w:val="000F658B"/>
    <w:rsid w:val="00100783"/>
    <w:rsid w:val="00101643"/>
    <w:rsid w:val="00104EF5"/>
    <w:rsid w:val="00107BE4"/>
    <w:rsid w:val="00107E32"/>
    <w:rsid w:val="0011235D"/>
    <w:rsid w:val="00114BC8"/>
    <w:rsid w:val="00116B77"/>
    <w:rsid w:val="00126243"/>
    <w:rsid w:val="0013584E"/>
    <w:rsid w:val="001372D9"/>
    <w:rsid w:val="001428D6"/>
    <w:rsid w:val="00143300"/>
    <w:rsid w:val="00143450"/>
    <w:rsid w:val="001620B2"/>
    <w:rsid w:val="001715BA"/>
    <w:rsid w:val="00180302"/>
    <w:rsid w:val="0018145D"/>
    <w:rsid w:val="00181B52"/>
    <w:rsid w:val="0018226E"/>
    <w:rsid w:val="00184A4F"/>
    <w:rsid w:val="00184BC4"/>
    <w:rsid w:val="00186F73"/>
    <w:rsid w:val="00191DE6"/>
    <w:rsid w:val="00194F62"/>
    <w:rsid w:val="001A5EAB"/>
    <w:rsid w:val="001A6007"/>
    <w:rsid w:val="001A7162"/>
    <w:rsid w:val="001A73A5"/>
    <w:rsid w:val="001B0EB1"/>
    <w:rsid w:val="001C065B"/>
    <w:rsid w:val="001C2E6A"/>
    <w:rsid w:val="001C39EA"/>
    <w:rsid w:val="001C3B15"/>
    <w:rsid w:val="001D0D6B"/>
    <w:rsid w:val="001D7BC7"/>
    <w:rsid w:val="001E31E8"/>
    <w:rsid w:val="001E3873"/>
    <w:rsid w:val="001E4AAE"/>
    <w:rsid w:val="001E6AB8"/>
    <w:rsid w:val="001F047B"/>
    <w:rsid w:val="001F1B42"/>
    <w:rsid w:val="001F723F"/>
    <w:rsid w:val="002041C5"/>
    <w:rsid w:val="0020724A"/>
    <w:rsid w:val="00207CE3"/>
    <w:rsid w:val="00215F3B"/>
    <w:rsid w:val="0022001B"/>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76B"/>
    <w:rsid w:val="00245EB1"/>
    <w:rsid w:val="0025371F"/>
    <w:rsid w:val="00264E25"/>
    <w:rsid w:val="0026547E"/>
    <w:rsid w:val="00265AF9"/>
    <w:rsid w:val="002672AF"/>
    <w:rsid w:val="00270AB0"/>
    <w:rsid w:val="00271F02"/>
    <w:rsid w:val="002746BB"/>
    <w:rsid w:val="0027565A"/>
    <w:rsid w:val="00284D64"/>
    <w:rsid w:val="0028672C"/>
    <w:rsid w:val="0029176A"/>
    <w:rsid w:val="0029344E"/>
    <w:rsid w:val="00296DD0"/>
    <w:rsid w:val="002A3C7C"/>
    <w:rsid w:val="002A54A4"/>
    <w:rsid w:val="002B3424"/>
    <w:rsid w:val="002B36A2"/>
    <w:rsid w:val="002B39B2"/>
    <w:rsid w:val="002B543A"/>
    <w:rsid w:val="002C0776"/>
    <w:rsid w:val="002C6D3C"/>
    <w:rsid w:val="002C78C4"/>
    <w:rsid w:val="002D02F1"/>
    <w:rsid w:val="002E24C6"/>
    <w:rsid w:val="002E272C"/>
    <w:rsid w:val="002E3FE8"/>
    <w:rsid w:val="002F0178"/>
    <w:rsid w:val="003018A4"/>
    <w:rsid w:val="0030446A"/>
    <w:rsid w:val="00306A61"/>
    <w:rsid w:val="00306F24"/>
    <w:rsid w:val="003072A0"/>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584"/>
    <w:rsid w:val="00372A70"/>
    <w:rsid w:val="00372CD0"/>
    <w:rsid w:val="003737F7"/>
    <w:rsid w:val="0037670E"/>
    <w:rsid w:val="00376BF9"/>
    <w:rsid w:val="00384C43"/>
    <w:rsid w:val="003876F9"/>
    <w:rsid w:val="00395FE7"/>
    <w:rsid w:val="003A2EE6"/>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F2E62"/>
    <w:rsid w:val="003F53C7"/>
    <w:rsid w:val="003F5EB1"/>
    <w:rsid w:val="003F7346"/>
    <w:rsid w:val="0040058C"/>
    <w:rsid w:val="004007BE"/>
    <w:rsid w:val="00402829"/>
    <w:rsid w:val="00404D59"/>
    <w:rsid w:val="00405592"/>
    <w:rsid w:val="0040562E"/>
    <w:rsid w:val="0040573F"/>
    <w:rsid w:val="0041360F"/>
    <w:rsid w:val="00415F5E"/>
    <w:rsid w:val="00416574"/>
    <w:rsid w:val="00432212"/>
    <w:rsid w:val="00432485"/>
    <w:rsid w:val="004327F7"/>
    <w:rsid w:val="00433D2A"/>
    <w:rsid w:val="004362C9"/>
    <w:rsid w:val="004403E8"/>
    <w:rsid w:val="0044560A"/>
    <w:rsid w:val="0044625D"/>
    <w:rsid w:val="00447993"/>
    <w:rsid w:val="004517A8"/>
    <w:rsid w:val="00453FCB"/>
    <w:rsid w:val="00456BF4"/>
    <w:rsid w:val="00461F1D"/>
    <w:rsid w:val="00464E24"/>
    <w:rsid w:val="004656AC"/>
    <w:rsid w:val="00466A32"/>
    <w:rsid w:val="00470DD5"/>
    <w:rsid w:val="00475508"/>
    <w:rsid w:val="004762A0"/>
    <w:rsid w:val="0047635F"/>
    <w:rsid w:val="004775B0"/>
    <w:rsid w:val="00483353"/>
    <w:rsid w:val="004910D2"/>
    <w:rsid w:val="004922A7"/>
    <w:rsid w:val="00492DDB"/>
    <w:rsid w:val="00493BC3"/>
    <w:rsid w:val="00497386"/>
    <w:rsid w:val="004A36D7"/>
    <w:rsid w:val="004A5360"/>
    <w:rsid w:val="004A627F"/>
    <w:rsid w:val="004A6607"/>
    <w:rsid w:val="004B2D3F"/>
    <w:rsid w:val="004B4334"/>
    <w:rsid w:val="004B5450"/>
    <w:rsid w:val="004B6590"/>
    <w:rsid w:val="004C0F76"/>
    <w:rsid w:val="004C1290"/>
    <w:rsid w:val="004C3B44"/>
    <w:rsid w:val="004C69B3"/>
    <w:rsid w:val="004D18D9"/>
    <w:rsid w:val="004D2292"/>
    <w:rsid w:val="004D7A4F"/>
    <w:rsid w:val="004E23A3"/>
    <w:rsid w:val="004E6BF7"/>
    <w:rsid w:val="004E721C"/>
    <w:rsid w:val="004F2A0E"/>
    <w:rsid w:val="004F3581"/>
    <w:rsid w:val="004F4B92"/>
    <w:rsid w:val="0050042D"/>
    <w:rsid w:val="005008F4"/>
    <w:rsid w:val="00503A6B"/>
    <w:rsid w:val="00503E8D"/>
    <w:rsid w:val="00520161"/>
    <w:rsid w:val="00522101"/>
    <w:rsid w:val="0052614B"/>
    <w:rsid w:val="00530765"/>
    <w:rsid w:val="00532C16"/>
    <w:rsid w:val="00533A4C"/>
    <w:rsid w:val="005428EE"/>
    <w:rsid w:val="00551374"/>
    <w:rsid w:val="00557A00"/>
    <w:rsid w:val="00562A42"/>
    <w:rsid w:val="00562DEF"/>
    <w:rsid w:val="005657CF"/>
    <w:rsid w:val="005721A7"/>
    <w:rsid w:val="005760C3"/>
    <w:rsid w:val="00585B33"/>
    <w:rsid w:val="005862F3"/>
    <w:rsid w:val="0059277A"/>
    <w:rsid w:val="005935A8"/>
    <w:rsid w:val="005940E6"/>
    <w:rsid w:val="00596D8A"/>
    <w:rsid w:val="005A1F6C"/>
    <w:rsid w:val="005A3E55"/>
    <w:rsid w:val="005A6093"/>
    <w:rsid w:val="005B20A9"/>
    <w:rsid w:val="005B302E"/>
    <w:rsid w:val="005B40FE"/>
    <w:rsid w:val="005B5A69"/>
    <w:rsid w:val="005B7573"/>
    <w:rsid w:val="005C425E"/>
    <w:rsid w:val="005D68EF"/>
    <w:rsid w:val="005E175A"/>
    <w:rsid w:val="005E4DC4"/>
    <w:rsid w:val="005E6BD6"/>
    <w:rsid w:val="005E729B"/>
    <w:rsid w:val="005F146C"/>
    <w:rsid w:val="005F3D1B"/>
    <w:rsid w:val="005F624C"/>
    <w:rsid w:val="005F70A1"/>
    <w:rsid w:val="006009C7"/>
    <w:rsid w:val="00602681"/>
    <w:rsid w:val="006054CC"/>
    <w:rsid w:val="00605562"/>
    <w:rsid w:val="00610A01"/>
    <w:rsid w:val="0061179A"/>
    <w:rsid w:val="00612E10"/>
    <w:rsid w:val="00616D51"/>
    <w:rsid w:val="006178F4"/>
    <w:rsid w:val="00617A39"/>
    <w:rsid w:val="006210E1"/>
    <w:rsid w:val="00623477"/>
    <w:rsid w:val="00627DF5"/>
    <w:rsid w:val="00630329"/>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2C2F"/>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E4F3B"/>
    <w:rsid w:val="006F03DA"/>
    <w:rsid w:val="006F054D"/>
    <w:rsid w:val="006F27B7"/>
    <w:rsid w:val="006F5785"/>
    <w:rsid w:val="006F6358"/>
    <w:rsid w:val="006F755D"/>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4C9D"/>
    <w:rsid w:val="00780EF8"/>
    <w:rsid w:val="00781237"/>
    <w:rsid w:val="0078496D"/>
    <w:rsid w:val="00784CE3"/>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1A92"/>
    <w:rsid w:val="00811D2D"/>
    <w:rsid w:val="00814AE2"/>
    <w:rsid w:val="00814E9B"/>
    <w:rsid w:val="00815F5E"/>
    <w:rsid w:val="008178A3"/>
    <w:rsid w:val="00817974"/>
    <w:rsid w:val="00820EBE"/>
    <w:rsid w:val="00821361"/>
    <w:rsid w:val="00822C59"/>
    <w:rsid w:val="008238F3"/>
    <w:rsid w:val="00825ABD"/>
    <w:rsid w:val="00830DFD"/>
    <w:rsid w:val="00841042"/>
    <w:rsid w:val="00844F7F"/>
    <w:rsid w:val="00847B94"/>
    <w:rsid w:val="00851FA7"/>
    <w:rsid w:val="00852651"/>
    <w:rsid w:val="00852687"/>
    <w:rsid w:val="0085778E"/>
    <w:rsid w:val="00860376"/>
    <w:rsid w:val="00860A02"/>
    <w:rsid w:val="008629C0"/>
    <w:rsid w:val="00865A0A"/>
    <w:rsid w:val="00866DE0"/>
    <w:rsid w:val="00874995"/>
    <w:rsid w:val="008751D1"/>
    <w:rsid w:val="00875458"/>
    <w:rsid w:val="00882BF4"/>
    <w:rsid w:val="00884022"/>
    <w:rsid w:val="0088774D"/>
    <w:rsid w:val="00892EFB"/>
    <w:rsid w:val="00893C1C"/>
    <w:rsid w:val="00897D38"/>
    <w:rsid w:val="008A1973"/>
    <w:rsid w:val="008A4976"/>
    <w:rsid w:val="008A71B5"/>
    <w:rsid w:val="008A72FC"/>
    <w:rsid w:val="008B0313"/>
    <w:rsid w:val="008B049A"/>
    <w:rsid w:val="008B3526"/>
    <w:rsid w:val="008B36A6"/>
    <w:rsid w:val="008C370C"/>
    <w:rsid w:val="008C3BE4"/>
    <w:rsid w:val="008C667D"/>
    <w:rsid w:val="008D2398"/>
    <w:rsid w:val="008D2EF9"/>
    <w:rsid w:val="008D4339"/>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6169"/>
    <w:rsid w:val="00910AE3"/>
    <w:rsid w:val="009111CE"/>
    <w:rsid w:val="00911BCA"/>
    <w:rsid w:val="00915F4D"/>
    <w:rsid w:val="00916BB3"/>
    <w:rsid w:val="0092459A"/>
    <w:rsid w:val="00925E9E"/>
    <w:rsid w:val="00930EE4"/>
    <w:rsid w:val="0093279E"/>
    <w:rsid w:val="009334A5"/>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2B3B"/>
    <w:rsid w:val="00992DB3"/>
    <w:rsid w:val="00993FAA"/>
    <w:rsid w:val="009A01C4"/>
    <w:rsid w:val="009A4B09"/>
    <w:rsid w:val="009A4D5D"/>
    <w:rsid w:val="009A54FA"/>
    <w:rsid w:val="009A55BA"/>
    <w:rsid w:val="009B07CC"/>
    <w:rsid w:val="009B678C"/>
    <w:rsid w:val="009C0ED3"/>
    <w:rsid w:val="009C1A2A"/>
    <w:rsid w:val="009C2140"/>
    <w:rsid w:val="009C49FB"/>
    <w:rsid w:val="009C677C"/>
    <w:rsid w:val="009C6BED"/>
    <w:rsid w:val="009D036A"/>
    <w:rsid w:val="009D08B7"/>
    <w:rsid w:val="009D412F"/>
    <w:rsid w:val="009D5686"/>
    <w:rsid w:val="009D6CD1"/>
    <w:rsid w:val="009E11CB"/>
    <w:rsid w:val="009E7FAC"/>
    <w:rsid w:val="009F1E88"/>
    <w:rsid w:val="009F5041"/>
    <w:rsid w:val="009F5E70"/>
    <w:rsid w:val="00A03571"/>
    <w:rsid w:val="00A040C1"/>
    <w:rsid w:val="00A12B19"/>
    <w:rsid w:val="00A12C9C"/>
    <w:rsid w:val="00A20ECA"/>
    <w:rsid w:val="00A24EFD"/>
    <w:rsid w:val="00A3145F"/>
    <w:rsid w:val="00A33ACB"/>
    <w:rsid w:val="00A41C50"/>
    <w:rsid w:val="00A44582"/>
    <w:rsid w:val="00A44E96"/>
    <w:rsid w:val="00A506CD"/>
    <w:rsid w:val="00A5706B"/>
    <w:rsid w:val="00A57A17"/>
    <w:rsid w:val="00A6628C"/>
    <w:rsid w:val="00A7039C"/>
    <w:rsid w:val="00A71A0F"/>
    <w:rsid w:val="00A74962"/>
    <w:rsid w:val="00A751D7"/>
    <w:rsid w:val="00A75EAC"/>
    <w:rsid w:val="00A76BB2"/>
    <w:rsid w:val="00A770C4"/>
    <w:rsid w:val="00A80234"/>
    <w:rsid w:val="00A821C8"/>
    <w:rsid w:val="00A86881"/>
    <w:rsid w:val="00A86A03"/>
    <w:rsid w:val="00A90310"/>
    <w:rsid w:val="00A90325"/>
    <w:rsid w:val="00A97817"/>
    <w:rsid w:val="00AB2425"/>
    <w:rsid w:val="00AB2B77"/>
    <w:rsid w:val="00AB7FA7"/>
    <w:rsid w:val="00AC0C2D"/>
    <w:rsid w:val="00AC2975"/>
    <w:rsid w:val="00AC679F"/>
    <w:rsid w:val="00AC7D12"/>
    <w:rsid w:val="00AD2DB9"/>
    <w:rsid w:val="00AD327B"/>
    <w:rsid w:val="00AD4CDF"/>
    <w:rsid w:val="00AD581A"/>
    <w:rsid w:val="00AE0D93"/>
    <w:rsid w:val="00AE78A2"/>
    <w:rsid w:val="00AF16E0"/>
    <w:rsid w:val="00AF1DE0"/>
    <w:rsid w:val="00AF4CF0"/>
    <w:rsid w:val="00B040AB"/>
    <w:rsid w:val="00B074DF"/>
    <w:rsid w:val="00B12489"/>
    <w:rsid w:val="00B13380"/>
    <w:rsid w:val="00B14AE1"/>
    <w:rsid w:val="00B21E9C"/>
    <w:rsid w:val="00B23A4C"/>
    <w:rsid w:val="00B23A92"/>
    <w:rsid w:val="00B2607B"/>
    <w:rsid w:val="00B3107B"/>
    <w:rsid w:val="00B31C3E"/>
    <w:rsid w:val="00B32BB7"/>
    <w:rsid w:val="00B344DF"/>
    <w:rsid w:val="00B34E0E"/>
    <w:rsid w:val="00B364A0"/>
    <w:rsid w:val="00B45B2D"/>
    <w:rsid w:val="00B472BF"/>
    <w:rsid w:val="00B52AEB"/>
    <w:rsid w:val="00B53A5B"/>
    <w:rsid w:val="00B53BB9"/>
    <w:rsid w:val="00B547A6"/>
    <w:rsid w:val="00B577D8"/>
    <w:rsid w:val="00B605A6"/>
    <w:rsid w:val="00B623B0"/>
    <w:rsid w:val="00B63FB9"/>
    <w:rsid w:val="00B64112"/>
    <w:rsid w:val="00B70DD3"/>
    <w:rsid w:val="00B759C2"/>
    <w:rsid w:val="00B869CD"/>
    <w:rsid w:val="00B9118C"/>
    <w:rsid w:val="00B92192"/>
    <w:rsid w:val="00B9746C"/>
    <w:rsid w:val="00BA17F4"/>
    <w:rsid w:val="00BA40B0"/>
    <w:rsid w:val="00BA4E45"/>
    <w:rsid w:val="00BA657E"/>
    <w:rsid w:val="00BB30BB"/>
    <w:rsid w:val="00BB347C"/>
    <w:rsid w:val="00BC01C4"/>
    <w:rsid w:val="00BC1193"/>
    <w:rsid w:val="00BC19CF"/>
    <w:rsid w:val="00BC2D1F"/>
    <w:rsid w:val="00BC451A"/>
    <w:rsid w:val="00BC4E46"/>
    <w:rsid w:val="00BD1349"/>
    <w:rsid w:val="00BD558C"/>
    <w:rsid w:val="00BE034E"/>
    <w:rsid w:val="00BE1D85"/>
    <w:rsid w:val="00BE4395"/>
    <w:rsid w:val="00BE4DBD"/>
    <w:rsid w:val="00BF1E71"/>
    <w:rsid w:val="00BF4300"/>
    <w:rsid w:val="00BF775D"/>
    <w:rsid w:val="00C060D4"/>
    <w:rsid w:val="00C062B9"/>
    <w:rsid w:val="00C06F0B"/>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7370"/>
    <w:rsid w:val="00C72C2D"/>
    <w:rsid w:val="00C736D6"/>
    <w:rsid w:val="00C81B2A"/>
    <w:rsid w:val="00C8223A"/>
    <w:rsid w:val="00C831ED"/>
    <w:rsid w:val="00C85BCE"/>
    <w:rsid w:val="00C86856"/>
    <w:rsid w:val="00C967C0"/>
    <w:rsid w:val="00CA4B80"/>
    <w:rsid w:val="00CA4B81"/>
    <w:rsid w:val="00CA69FB"/>
    <w:rsid w:val="00CA743D"/>
    <w:rsid w:val="00CB2472"/>
    <w:rsid w:val="00CB6266"/>
    <w:rsid w:val="00CC23AF"/>
    <w:rsid w:val="00CC3118"/>
    <w:rsid w:val="00CC4242"/>
    <w:rsid w:val="00CD4806"/>
    <w:rsid w:val="00CE2BE8"/>
    <w:rsid w:val="00CE62A7"/>
    <w:rsid w:val="00CF2530"/>
    <w:rsid w:val="00CF2C5C"/>
    <w:rsid w:val="00CF45C7"/>
    <w:rsid w:val="00D0078E"/>
    <w:rsid w:val="00D01EC1"/>
    <w:rsid w:val="00D03755"/>
    <w:rsid w:val="00D119F0"/>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53F6"/>
    <w:rsid w:val="00D46BFF"/>
    <w:rsid w:val="00D47DD1"/>
    <w:rsid w:val="00D531DE"/>
    <w:rsid w:val="00D545DC"/>
    <w:rsid w:val="00D57FE5"/>
    <w:rsid w:val="00D61FAB"/>
    <w:rsid w:val="00D640CC"/>
    <w:rsid w:val="00D741E4"/>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CE"/>
    <w:rsid w:val="00E40DE1"/>
    <w:rsid w:val="00E42C71"/>
    <w:rsid w:val="00E43F4A"/>
    <w:rsid w:val="00E4512F"/>
    <w:rsid w:val="00E46170"/>
    <w:rsid w:val="00E51E56"/>
    <w:rsid w:val="00E53F12"/>
    <w:rsid w:val="00E53FF9"/>
    <w:rsid w:val="00E55B31"/>
    <w:rsid w:val="00E60F91"/>
    <w:rsid w:val="00E61304"/>
    <w:rsid w:val="00E62523"/>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2163"/>
    <w:rsid w:val="00EF4317"/>
    <w:rsid w:val="00EF7676"/>
    <w:rsid w:val="00EF7CA9"/>
    <w:rsid w:val="00F02D74"/>
    <w:rsid w:val="00F03026"/>
    <w:rsid w:val="00F074CE"/>
    <w:rsid w:val="00F11625"/>
    <w:rsid w:val="00F12C86"/>
    <w:rsid w:val="00F136CA"/>
    <w:rsid w:val="00F16B7A"/>
    <w:rsid w:val="00F23348"/>
    <w:rsid w:val="00F247D4"/>
    <w:rsid w:val="00F254AE"/>
    <w:rsid w:val="00F273D9"/>
    <w:rsid w:val="00F30EA8"/>
    <w:rsid w:val="00F333A7"/>
    <w:rsid w:val="00F33706"/>
    <w:rsid w:val="00F36A84"/>
    <w:rsid w:val="00F37C06"/>
    <w:rsid w:val="00F44E61"/>
    <w:rsid w:val="00F46D9B"/>
    <w:rsid w:val="00F472AE"/>
    <w:rsid w:val="00F51BC4"/>
    <w:rsid w:val="00F54496"/>
    <w:rsid w:val="00F54658"/>
    <w:rsid w:val="00F61BB4"/>
    <w:rsid w:val="00F625C9"/>
    <w:rsid w:val="00F636E2"/>
    <w:rsid w:val="00F64965"/>
    <w:rsid w:val="00F64E4F"/>
    <w:rsid w:val="00F65902"/>
    <w:rsid w:val="00F67CB6"/>
    <w:rsid w:val="00F76A55"/>
    <w:rsid w:val="00F81D22"/>
    <w:rsid w:val="00F8662A"/>
    <w:rsid w:val="00F86706"/>
    <w:rsid w:val="00F86942"/>
    <w:rsid w:val="00F93246"/>
    <w:rsid w:val="00F95354"/>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71"/>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 w:type="paragraph" w:customStyle="1" w:styleId="Tablei">
    <w:name w:val="Table(i)"/>
    <w:aliases w:val="taa"/>
    <w:basedOn w:val="Normal"/>
    <w:rsid w:val="00EF2163"/>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10015297">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33957966">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3814482">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11191754">
      <w:bodyDiv w:val="1"/>
      <w:marLeft w:val="0"/>
      <w:marRight w:val="0"/>
      <w:marTop w:val="0"/>
      <w:marBottom w:val="0"/>
      <w:divBdr>
        <w:top w:val="none" w:sz="0" w:space="0" w:color="auto"/>
        <w:left w:val="none" w:sz="0" w:space="0" w:color="auto"/>
        <w:bottom w:val="none" w:sz="0" w:space="0" w:color="auto"/>
        <w:right w:val="none" w:sz="0" w:space="0" w:color="auto"/>
      </w:divBdr>
    </w:div>
    <w:div w:id="1417898885">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2021-07-05T07:12:00Z</dcterms:created>
  <dcterms:modified xsi:type="dcterms:W3CDTF">2021-07-05T22:08:00Z</dcterms:modified>
</cp:coreProperties>
</file>