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C7" w:rsidRPr="009B517F" w:rsidRDefault="00E82B2E" w:rsidP="00AD63C7">
      <w:pPr>
        <w:pStyle w:val="Heading1"/>
        <w:rPr>
          <w:sz w:val="40"/>
          <w:szCs w:val="40"/>
        </w:rPr>
      </w:pPr>
      <w:bookmarkStart w:id="0" w:name="_Ref394501517"/>
      <w:r w:rsidRPr="009B517F">
        <w:rPr>
          <w:sz w:val="40"/>
          <w:szCs w:val="40"/>
        </w:rPr>
        <w:t>New Medicare Benefits Schedule (MBS) Items for multiparametric magnetic reso</w:t>
      </w:r>
      <w:bookmarkStart w:id="1" w:name="_GoBack"/>
      <w:bookmarkEnd w:id="1"/>
      <w:r w:rsidRPr="009B517F">
        <w:rPr>
          <w:sz w:val="40"/>
          <w:szCs w:val="40"/>
        </w:rPr>
        <w:t>nance imaging (mpMRI) of the prostate</w:t>
      </w:r>
      <w:bookmarkEnd w:id="0"/>
    </w:p>
    <w:p w:rsidR="00AD63C7" w:rsidRDefault="00AD63C7" w:rsidP="00D14EB3">
      <w:pPr>
        <w:pStyle w:val="Footnote"/>
      </w:pPr>
      <w:r w:rsidRPr="00990076">
        <w:t xml:space="preserve">Last updated: </w:t>
      </w:r>
      <w:r w:rsidR="000B52B1">
        <w:t>2</w:t>
      </w:r>
      <w:r w:rsidR="003C4437">
        <w:t>0</w:t>
      </w:r>
      <w:r w:rsidR="00656305">
        <w:t>/0</w:t>
      </w:r>
      <w:r w:rsidR="003C4437">
        <w:t>6</w:t>
      </w:r>
      <w:r w:rsidR="00656305">
        <w:t>/2018</w:t>
      </w:r>
    </w:p>
    <w:p w:rsidR="00E32BFD" w:rsidRDefault="00E32BFD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</w:p>
    <w:p w:rsidR="00AD63C7" w:rsidRPr="009B517F" w:rsidRDefault="00D14EB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 xml:space="preserve">What </w:t>
      </w:r>
      <w:r w:rsidR="00993972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are the new services</w:t>
      </w: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A12BDA" w:rsidRPr="009B517F" w:rsidRDefault="00993972" w:rsidP="00365657">
      <w:pPr>
        <w:spacing w:before="0"/>
      </w:pPr>
      <w:r>
        <w:t xml:space="preserve">From 1 July 2018, </w:t>
      </w:r>
      <w:r w:rsidR="00E82B2E">
        <w:t xml:space="preserve">Medicare rebates will be available for </w:t>
      </w:r>
      <w:r>
        <w:t>four</w:t>
      </w:r>
      <w:r w:rsidR="00977CF1">
        <w:t xml:space="preserve"> new items covering mpMRI</w:t>
      </w:r>
      <w:r w:rsidR="00977CF1" w:rsidRPr="00977CF1">
        <w:t xml:space="preserve"> prostate scans for both the diagnosis of prostate cancer (</w:t>
      </w:r>
      <w:r w:rsidR="00E82B2E">
        <w:t xml:space="preserve">items </w:t>
      </w:r>
      <w:r w:rsidR="00977CF1" w:rsidRPr="00977CF1">
        <w:t xml:space="preserve">63541 K &amp; 63542 NK) and the active surveillance of patients with a proven diagnosis </w:t>
      </w:r>
      <w:r w:rsidR="004E340A">
        <w:t xml:space="preserve">following </w:t>
      </w:r>
      <w:r w:rsidR="00656305" w:rsidRPr="00656305">
        <w:t>biopsy histopathology</w:t>
      </w:r>
      <w:r w:rsidR="004E340A">
        <w:t xml:space="preserve"> </w:t>
      </w:r>
      <w:r w:rsidR="00977CF1" w:rsidRPr="00977CF1">
        <w:t>(</w:t>
      </w:r>
      <w:r w:rsidR="00E82B2E">
        <w:t xml:space="preserve">items </w:t>
      </w:r>
      <w:r w:rsidR="00977CF1" w:rsidRPr="00977CF1">
        <w:t>63543 K &amp; 63544 NK)</w:t>
      </w:r>
      <w:r w:rsidR="00E82B2E">
        <w:t xml:space="preserve">. </w:t>
      </w:r>
      <w:r>
        <w:t xml:space="preserve"> </w:t>
      </w:r>
      <w:r w:rsidR="00977CF1">
        <w:t xml:space="preserve">The </w:t>
      </w:r>
      <w:r>
        <w:t>MBS fee for</w:t>
      </w:r>
      <w:r w:rsidR="00E82B2E">
        <w:t xml:space="preserve"> K</w:t>
      </w:r>
      <w:r w:rsidR="00D0522C">
        <w:t xml:space="preserve"> items 63541 and 63543</w:t>
      </w:r>
      <w:r>
        <w:t xml:space="preserve"> will be </w:t>
      </w:r>
      <w:r w:rsidR="00E82B2E">
        <w:t xml:space="preserve">$450. </w:t>
      </w:r>
      <w:r w:rsidR="00977CF1">
        <w:t xml:space="preserve"> </w:t>
      </w:r>
      <w:r w:rsidR="00E82B2E">
        <w:t>For t</w:t>
      </w:r>
      <w:r w:rsidR="00977CF1">
        <w:t xml:space="preserve">he NK </w:t>
      </w:r>
      <w:r>
        <w:t>equivalents</w:t>
      </w:r>
      <w:r w:rsidR="00E82B2E">
        <w:t>,</w:t>
      </w:r>
      <w:r w:rsidR="00D0522C">
        <w:t xml:space="preserve"> 63542</w:t>
      </w:r>
      <w:r>
        <w:t xml:space="preserve"> and 63544</w:t>
      </w:r>
      <w:r w:rsidR="00E82B2E">
        <w:t xml:space="preserve">, the MBS fee will be </w:t>
      </w:r>
      <w:r>
        <w:t xml:space="preserve">$225. </w:t>
      </w:r>
      <w:r w:rsidR="00E82B2E">
        <w:t>A</w:t>
      </w:r>
      <w:r w:rsidR="004E340A">
        <w:t>ll</w:t>
      </w:r>
      <w:r w:rsidR="00E82B2E">
        <w:t xml:space="preserve"> item</w:t>
      </w:r>
      <w:r w:rsidR="004A6DE3">
        <w:t xml:space="preserve">s </w:t>
      </w:r>
      <w:r w:rsidR="00977CF1">
        <w:t>include</w:t>
      </w:r>
      <w:r w:rsidR="004A6DE3">
        <w:t xml:space="preserve"> the use of</w:t>
      </w:r>
      <w:r w:rsidR="00977CF1">
        <w:t xml:space="preserve"> contrast.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Who can request these items?</w:t>
      </w:r>
    </w:p>
    <w:p w:rsidR="00A12BDA" w:rsidRPr="009B517F" w:rsidRDefault="0071655B" w:rsidP="00365657">
      <w:pPr>
        <w:spacing w:before="0"/>
      </w:pPr>
      <w:r w:rsidRPr="00F43419">
        <w:t>Urologists, radiation oncologists and medical oncologists</w:t>
      </w:r>
      <w:r>
        <w:t xml:space="preserve"> </w:t>
      </w:r>
      <w:r w:rsidR="00A12BDA">
        <w:t xml:space="preserve">are eligible to request these items. General practitioners are not eligible to request these items. </w:t>
      </w:r>
    </w:p>
    <w:p w:rsidR="007B6FF7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What are the patient eligibility requirements</w:t>
      </w:r>
      <w:r w:rsidR="007B6FF7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993972" w:rsidRDefault="00977CF1" w:rsidP="00365657">
      <w:pPr>
        <w:spacing w:before="0"/>
      </w:pPr>
      <w:r>
        <w:t xml:space="preserve">These items </w:t>
      </w:r>
      <w:r w:rsidR="00841525">
        <w:t>are only for scans of patients with specified indications</w:t>
      </w:r>
      <w:r w:rsidR="007B6FF7">
        <w:t>.</w:t>
      </w:r>
      <w:r w:rsidR="007E6770">
        <w:t xml:space="preserve"> </w:t>
      </w:r>
      <w:r w:rsidR="00630269">
        <w:t xml:space="preserve"> </w:t>
      </w:r>
      <w:r w:rsidR="007B6FF7">
        <w:t>T</w:t>
      </w:r>
      <w:r w:rsidR="00841525">
        <w:t xml:space="preserve">he request form must </w:t>
      </w:r>
      <w:r w:rsidR="009B4F4A">
        <w:t xml:space="preserve">list the relevant clinical </w:t>
      </w:r>
      <w:r w:rsidR="00841525">
        <w:t>indicat</w:t>
      </w:r>
      <w:r w:rsidR="009B4F4A">
        <w:t>ions.</w:t>
      </w:r>
      <w:r w:rsidR="00630269">
        <w:t xml:space="preserve"> </w:t>
      </w:r>
    </w:p>
    <w:p w:rsidR="00993972" w:rsidRDefault="004A6DE3" w:rsidP="00365657">
      <w:pPr>
        <w:spacing w:before="0"/>
      </w:pPr>
      <w:r>
        <w:t>For MBS</w:t>
      </w:r>
      <w:r w:rsidR="00993972">
        <w:t xml:space="preserve"> items 63541 and 63542</w:t>
      </w:r>
      <w:r w:rsidR="000B3ACD">
        <w:t xml:space="preserve"> </w:t>
      </w:r>
      <w:r w:rsidR="004E340A">
        <w:t>(NK)</w:t>
      </w:r>
      <w:r w:rsidR="00993972">
        <w:t xml:space="preserve"> the patient must be suspected of having prostate cancer based on:</w:t>
      </w:r>
    </w:p>
    <w:p w:rsidR="00993972" w:rsidRPr="00993972" w:rsidRDefault="004E340A" w:rsidP="00365657">
      <w:pPr>
        <w:numPr>
          <w:ilvl w:val="0"/>
          <w:numId w:val="4"/>
        </w:numPr>
        <w:spacing w:before="0"/>
        <w:ind w:left="720"/>
      </w:pPr>
      <w:r>
        <w:t>a</w:t>
      </w:r>
      <w:r w:rsidR="00993972" w:rsidRPr="00993972">
        <w:t xml:space="preserve"> digital rectal examination (DRE) which is suspicious for prostate cancer; or</w:t>
      </w:r>
    </w:p>
    <w:p w:rsidR="00993972" w:rsidRPr="00993972" w:rsidRDefault="004E340A" w:rsidP="00365657">
      <w:pPr>
        <w:numPr>
          <w:ilvl w:val="0"/>
          <w:numId w:val="4"/>
        </w:numPr>
        <w:spacing w:before="0"/>
        <w:ind w:left="720"/>
      </w:pPr>
      <w:r>
        <w:t>i</w:t>
      </w:r>
      <w:r w:rsidR="00993972" w:rsidRPr="00993972">
        <w:t>n a person aged less than 70 years, at least two prostate specific antigen (PSA) tests performed within an interval of 1- 3 months are greater than 3.0 ng/ml, and the free/total PSA ratio is less than 25% or the repeat PSA exceeds 5.5 ng/ml; or</w:t>
      </w:r>
    </w:p>
    <w:p w:rsidR="00993972" w:rsidRPr="00993972" w:rsidRDefault="004E340A" w:rsidP="00365657">
      <w:pPr>
        <w:numPr>
          <w:ilvl w:val="0"/>
          <w:numId w:val="4"/>
        </w:numPr>
        <w:spacing w:before="0"/>
        <w:ind w:left="720"/>
      </w:pPr>
      <w:r>
        <w:t>i</w:t>
      </w:r>
      <w:r w:rsidR="00993972" w:rsidRPr="00993972">
        <w:t>n a person aged less than 70 years, whose risk of developing prostate cancer based on family history is at least double the average risk , at least two PSA tests performed within an interval of 1- 3 months are greater than 2.0 ng/ml, and the free/total PSA  ratio is less than 25%; or</w:t>
      </w:r>
    </w:p>
    <w:p w:rsidR="00993972" w:rsidRPr="00993972" w:rsidRDefault="004E340A" w:rsidP="00365657">
      <w:pPr>
        <w:numPr>
          <w:ilvl w:val="0"/>
          <w:numId w:val="4"/>
        </w:numPr>
        <w:spacing w:before="0"/>
        <w:ind w:left="720"/>
      </w:pPr>
      <w:r>
        <w:t>i</w:t>
      </w:r>
      <w:r w:rsidR="00993972" w:rsidRPr="00993972">
        <w:t>n a person aged 70 years or older, at least two PSA tests performed within an interval of 1- 3 months are greater than 5.5ng/ml and the free/total PSA ratio is less than 25%.</w:t>
      </w:r>
    </w:p>
    <w:p w:rsidR="00993972" w:rsidRPr="004E340A" w:rsidRDefault="004E340A" w:rsidP="00365657">
      <w:pPr>
        <w:spacing w:before="0"/>
        <w:ind w:left="142"/>
        <w:rPr>
          <w:i/>
        </w:rPr>
      </w:pPr>
      <w:r w:rsidRPr="004E340A">
        <w:rPr>
          <w:i/>
        </w:rPr>
        <w:t xml:space="preserve">Note: </w:t>
      </w:r>
      <w:r w:rsidR="00993972" w:rsidRPr="004E340A">
        <w:rPr>
          <w:i/>
        </w:rPr>
        <w:t xml:space="preserve">Relevant family history is </w:t>
      </w:r>
      <w:r w:rsidR="0052766A">
        <w:rPr>
          <w:i/>
        </w:rPr>
        <w:t xml:space="preserve">a </w:t>
      </w:r>
      <w:r w:rsidR="00993972" w:rsidRPr="004E340A">
        <w:rPr>
          <w:i/>
        </w:rPr>
        <w:t>first degree relative with prostate cancer or suspected of carrying a BRCA 1, BRCA 2 mutation.</w:t>
      </w:r>
      <w:r w:rsidR="00873B8C" w:rsidRPr="004E340A">
        <w:rPr>
          <w:i/>
        </w:rPr>
        <w:t xml:space="preserve"> </w:t>
      </w:r>
    </w:p>
    <w:p w:rsidR="00993972" w:rsidRDefault="004A6DE3" w:rsidP="00365657">
      <w:pPr>
        <w:spacing w:before="0"/>
      </w:pPr>
      <w:r>
        <w:t>For MBS</w:t>
      </w:r>
      <w:r w:rsidR="00993972">
        <w:t xml:space="preserve"> items 63543 and 63544</w:t>
      </w:r>
      <w:r w:rsidR="000B3ACD">
        <w:t xml:space="preserve"> </w:t>
      </w:r>
      <w:r w:rsidR="004E340A">
        <w:t>(NK)</w:t>
      </w:r>
      <w:r w:rsidR="00993972">
        <w:t xml:space="preserve"> the below clinical criteria must be met:</w:t>
      </w:r>
    </w:p>
    <w:p w:rsidR="00993972" w:rsidRPr="00993972" w:rsidRDefault="00993972" w:rsidP="00365657">
      <w:pPr>
        <w:pStyle w:val="ListParagraph"/>
        <w:numPr>
          <w:ilvl w:val="0"/>
          <w:numId w:val="6"/>
        </w:numPr>
        <w:spacing w:before="0"/>
        <w:ind w:left="714" w:hanging="357"/>
        <w:contextualSpacing w:val="0"/>
      </w:pPr>
      <w:r w:rsidRPr="00993972">
        <w:t>the patient is under active surveillance following a confirmed diagnosis of prostate cancer by biopsy histopathology; and</w:t>
      </w:r>
    </w:p>
    <w:p w:rsidR="004A6DE3" w:rsidRDefault="00993972" w:rsidP="00365657">
      <w:pPr>
        <w:pStyle w:val="ListParagraph"/>
        <w:numPr>
          <w:ilvl w:val="0"/>
          <w:numId w:val="6"/>
        </w:numPr>
        <w:spacing w:before="0"/>
      </w:pPr>
      <w:r w:rsidRPr="00993972">
        <w:t xml:space="preserve">the patient is not planning or undergoing treatment for prostate cancer. </w:t>
      </w:r>
    </w:p>
    <w:p w:rsidR="004A6DE3" w:rsidRPr="009B517F" w:rsidRDefault="004A6DE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lastRenderedPageBreak/>
        <w:t>Are there any restrictions on the number of services?</w:t>
      </w:r>
    </w:p>
    <w:p w:rsidR="009B517F" w:rsidRDefault="00993972" w:rsidP="00365657">
      <w:pPr>
        <w:spacing w:before="0"/>
      </w:pPr>
      <w:r>
        <w:t>Medicare b</w:t>
      </w:r>
      <w:r w:rsidR="007B6FF7">
        <w:t xml:space="preserve">enefits for </w:t>
      </w:r>
      <w:r w:rsidR="009B517F">
        <w:t xml:space="preserve">MBS items </w:t>
      </w:r>
      <w:r w:rsidR="007B6FF7">
        <w:t xml:space="preserve">63541 and </w:t>
      </w:r>
      <w:r w:rsidR="009B517F">
        <w:t>63542</w:t>
      </w:r>
      <w:r w:rsidR="000B3ACD">
        <w:t xml:space="preserve"> </w:t>
      </w:r>
      <w:r w:rsidR="004E340A">
        <w:t>(NK)</w:t>
      </w:r>
      <w:r w:rsidR="007B6FF7">
        <w:t xml:space="preserve"> are only payable once per patient in a twelve month period.</w:t>
      </w:r>
      <w:r w:rsidR="00630269">
        <w:t xml:space="preserve"> </w:t>
      </w:r>
    </w:p>
    <w:p w:rsidR="004E340A" w:rsidRDefault="00993972" w:rsidP="00365657">
      <w:pPr>
        <w:spacing w:before="0"/>
      </w:pPr>
      <w:r>
        <w:t>Benefits f</w:t>
      </w:r>
      <w:r w:rsidR="007B6FF7">
        <w:t xml:space="preserve">or </w:t>
      </w:r>
      <w:r w:rsidR="009B517F">
        <w:t>MBS items 63543 and 63544</w:t>
      </w:r>
      <w:r w:rsidR="000B3ACD">
        <w:t xml:space="preserve"> </w:t>
      </w:r>
      <w:r w:rsidR="004E340A">
        <w:t>(NK)</w:t>
      </w:r>
      <w:r w:rsidR="003A79BE">
        <w:t xml:space="preserve"> are payable </w:t>
      </w:r>
      <w:r w:rsidR="004E340A">
        <w:t>for patients</w:t>
      </w:r>
      <w:r w:rsidR="00F36486">
        <w:t xml:space="preserve"> with proven diagnosis of </w:t>
      </w:r>
      <w:r w:rsidR="00656305">
        <w:t xml:space="preserve">prostate cancer following biopsy </w:t>
      </w:r>
      <w:r w:rsidR="00656305" w:rsidRPr="00656305">
        <w:t xml:space="preserve">histopathology </w:t>
      </w:r>
      <w:r w:rsidR="004E340A">
        <w:t>who:</w:t>
      </w:r>
    </w:p>
    <w:p w:rsidR="004E340A" w:rsidRDefault="000B3ACD" w:rsidP="00365657">
      <w:pPr>
        <w:pStyle w:val="ListParagraph"/>
        <w:numPr>
          <w:ilvl w:val="0"/>
          <w:numId w:val="9"/>
        </w:numPr>
        <w:spacing w:before="0"/>
        <w:ind w:left="771" w:hanging="357"/>
        <w:contextualSpacing w:val="0"/>
      </w:pPr>
      <w:r>
        <w:t>have</w:t>
      </w:r>
      <w:r w:rsidR="004E340A">
        <w:t xml:space="preserve"> </w:t>
      </w:r>
      <w:r w:rsidR="00C22F12">
        <w:t>not had a</w:t>
      </w:r>
      <w:r w:rsidR="004E340A">
        <w:t xml:space="preserve"> diagnostic mpMRI, and are</w:t>
      </w:r>
      <w:r w:rsidR="004E340A" w:rsidRPr="004E340A">
        <w:t xml:space="preserve"> placed on active surveillance </w:t>
      </w:r>
      <w:r w:rsidR="004E340A">
        <w:t>following confirmed diagnosis</w:t>
      </w:r>
      <w:r w:rsidR="00335866">
        <w:t>; or</w:t>
      </w:r>
    </w:p>
    <w:p w:rsidR="004E340A" w:rsidRDefault="003A79BE" w:rsidP="00365657">
      <w:pPr>
        <w:pStyle w:val="ListParagraph"/>
        <w:numPr>
          <w:ilvl w:val="0"/>
          <w:numId w:val="9"/>
        </w:numPr>
        <w:spacing w:before="0"/>
        <w:ind w:left="771" w:hanging="357"/>
        <w:contextualSpacing w:val="0"/>
      </w:pPr>
      <w:r>
        <w:t xml:space="preserve">12 months following </w:t>
      </w:r>
      <w:r w:rsidR="00C22F12">
        <w:t xml:space="preserve">confirmed </w:t>
      </w:r>
      <w:r>
        <w:t>diagnosis and t</w:t>
      </w:r>
      <w:r w:rsidR="004E340A">
        <w:t>hen every third year thereafter;</w:t>
      </w:r>
      <w:r>
        <w:t xml:space="preserve"> or </w:t>
      </w:r>
    </w:p>
    <w:p w:rsidR="00A12BDA" w:rsidRDefault="003A79BE" w:rsidP="00365657">
      <w:pPr>
        <w:pStyle w:val="ListParagraph"/>
        <w:numPr>
          <w:ilvl w:val="0"/>
          <w:numId w:val="9"/>
        </w:numPr>
        <w:spacing w:before="0"/>
        <w:ind w:left="771" w:hanging="357"/>
        <w:contextualSpacing w:val="0"/>
      </w:pPr>
      <w:r>
        <w:t>at any t</w:t>
      </w:r>
      <w:r w:rsidR="00F36486">
        <w:t>ime</w:t>
      </w:r>
      <w:r w:rsidR="00335866">
        <w:t xml:space="preserve"> ther</w:t>
      </w:r>
      <w:r>
        <w:t xml:space="preserve">e is a </w:t>
      </w:r>
      <w:r w:rsidR="00C22F12">
        <w:t xml:space="preserve">clinical </w:t>
      </w:r>
      <w:r w:rsidR="00C22F12" w:rsidRPr="00C22F12">
        <w:t>concern</w:t>
      </w:r>
      <w:r w:rsidR="00C22F12">
        <w:t>,</w:t>
      </w:r>
      <w:r w:rsidR="00C22F12" w:rsidRPr="00C22F12">
        <w:t xml:space="preserve"> </w:t>
      </w:r>
      <w:r>
        <w:t xml:space="preserve">or </w:t>
      </w:r>
      <w:r w:rsidR="0052766A">
        <w:t xml:space="preserve">concern </w:t>
      </w:r>
      <w:r>
        <w:t>with PSA progression.</w:t>
      </w:r>
    </w:p>
    <w:p w:rsidR="00335866" w:rsidRPr="00335866" w:rsidRDefault="00335866" w:rsidP="00365657">
      <w:pPr>
        <w:spacing w:before="0"/>
        <w:ind w:left="142"/>
        <w:rPr>
          <w:i/>
        </w:rPr>
      </w:pPr>
      <w:r w:rsidRPr="00335866">
        <w:rPr>
          <w:i/>
        </w:rPr>
        <w:t xml:space="preserve">Note: MBS items 63543 and 63544(NK) are not to be used for the purpose of treatment, planning or for monitoring after treatment.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Where can the procedure take place to be eligible for a Medicare rebate?</w:t>
      </w:r>
    </w:p>
    <w:p w:rsidR="00A12BDA" w:rsidRPr="009B517F" w:rsidRDefault="00993972" w:rsidP="00365657">
      <w:pPr>
        <w:spacing w:before="0"/>
        <w:rPr>
          <w:bCs/>
          <w:iCs/>
        </w:rPr>
      </w:pPr>
      <w:r>
        <w:t>A Medicare bene</w:t>
      </w:r>
      <w:r w:rsidR="00A12BDA">
        <w:t>fit will only be payable for a</w:t>
      </w:r>
      <w:r>
        <w:t xml:space="preserve"> </w:t>
      </w:r>
      <w:r w:rsidR="00A12BDA">
        <w:t>mpMRI</w:t>
      </w:r>
      <w:r w:rsidR="00873B8C">
        <w:t xml:space="preserve"> prostate scan</w:t>
      </w:r>
      <w:r w:rsidR="00A12BDA">
        <w:t xml:space="preserve"> if the service is </w:t>
      </w:r>
      <w:r w:rsidR="008453EC">
        <w:t>pe</w:t>
      </w:r>
      <w:r>
        <w:t>rformed on an eligible MRI unit</w:t>
      </w:r>
      <w:r w:rsidR="00A12BDA">
        <w:t xml:space="preserve"> with </w:t>
      </w:r>
      <w:r w:rsidR="00873B8C">
        <w:t xml:space="preserve">either </w:t>
      </w:r>
      <w:r w:rsidR="00A12BDA">
        <w:t xml:space="preserve">full </w:t>
      </w:r>
      <w:r w:rsidR="009D19B6">
        <w:t>or</w:t>
      </w:r>
      <w:r w:rsidR="00A12BDA">
        <w:t xml:space="preserve"> partial Medicare eligibility</w:t>
      </w:r>
      <w:r w:rsidR="008453EC">
        <w:t xml:space="preserve">. </w:t>
      </w:r>
      <w:r w:rsidR="00A12BDA" w:rsidRPr="00A12BDA">
        <w:t>A complete list of (full and partial) Medicare eligible units is searchable by state and territory and available on this site at </w:t>
      </w:r>
      <w:hyperlink r:id="rId8" w:history="1">
        <w:r w:rsidR="000B3ACD" w:rsidRPr="000B3ACD">
          <w:rPr>
            <w:rStyle w:val="Hyperlink"/>
            <w:color w:val="1F497D" w:themeColor="text2"/>
          </w:rPr>
          <w:t>MRI unit locations</w:t>
        </w:r>
      </w:hyperlink>
      <w:r w:rsidR="000B3ACD" w:rsidRPr="000B3ACD">
        <w:rPr>
          <w:color w:val="1F497D" w:themeColor="text2"/>
        </w:rPr>
        <w:t>.</w:t>
      </w:r>
      <w:r w:rsidR="000B3ACD">
        <w:rPr>
          <w:color w:val="1F497D" w:themeColor="text2"/>
        </w:rPr>
        <w:t xml:space="preserve"> </w:t>
      </w:r>
    </w:p>
    <w:p w:rsidR="009B517F" w:rsidRPr="009B517F" w:rsidRDefault="009B517F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Relevant organisations</w:t>
      </w:r>
    </w:p>
    <w:p w:rsidR="009B517F" w:rsidRPr="009B517F" w:rsidRDefault="009B517F" w:rsidP="00365657">
      <w:pPr>
        <w:pStyle w:val="ListParagraph"/>
        <w:numPr>
          <w:ilvl w:val="0"/>
          <w:numId w:val="8"/>
        </w:numPr>
        <w:spacing w:before="0"/>
      </w:pPr>
      <w:r w:rsidRPr="009B517F">
        <w:t>Urological Society of Australia and New Zealand</w:t>
      </w:r>
    </w:p>
    <w:p w:rsidR="009B517F" w:rsidRPr="000B3ACD" w:rsidRDefault="009B517F" w:rsidP="00365657">
      <w:pPr>
        <w:pStyle w:val="ListParagraph"/>
        <w:numPr>
          <w:ilvl w:val="0"/>
          <w:numId w:val="8"/>
        </w:numPr>
        <w:spacing w:before="0"/>
      </w:pPr>
      <w:r w:rsidRPr="009B517F">
        <w:t>the Royal Australian and New Zealand College of Radiologists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Find out more</w:t>
      </w:r>
    </w:p>
    <w:p w:rsidR="00003743" w:rsidRPr="002F3AE3" w:rsidRDefault="00A12BDA" w:rsidP="00365657">
      <w:pPr>
        <w:spacing w:before="0"/>
      </w:pPr>
      <w:r>
        <w:t>See the Medical Services Advisory Committee’s website for more information about the committee’s recommendation to list the service.</w:t>
      </w:r>
      <w:r w:rsidR="000B3ACD">
        <w:t xml:space="preserve"> </w:t>
      </w:r>
    </w:p>
    <w:sectPr w:rsidR="00003743" w:rsidRPr="002F3AE3" w:rsidSect="00AD6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4" w:rsidRDefault="009B4F4A">
      <w:pPr>
        <w:spacing w:before="0" w:after="0"/>
      </w:pPr>
      <w:r>
        <w:separator/>
      </w:r>
    </w:p>
  </w:endnote>
  <w:endnote w:type="continuationSeparator" w:id="0">
    <w:p w:rsidR="00DE03E4" w:rsidRDefault="009B4F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3C4437" w:rsidP="00743091"/>
  <w:p w:rsidR="00A87435" w:rsidRDefault="003C4437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A563EC" w:rsidRDefault="00D32A36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</w:t>
    </w:r>
    <w:r w:rsidRPr="00743091">
      <w:rPr>
        <w:rStyle w:val="Strong"/>
        <w:b w:val="0"/>
      </w:rPr>
      <w:fldChar w:fldCharType="begin"/>
    </w:r>
    <w:r w:rsidRPr="00743091">
      <w:rPr>
        <w:rStyle w:val="Strong"/>
      </w:rPr>
      <w:instrText xml:space="preserve"> REF _Ref394501517 </w:instrText>
    </w:r>
    <w:r>
      <w:rPr>
        <w:rStyle w:val="Strong"/>
      </w:rPr>
      <w:instrText xml:space="preserve"> \* MERGEFORMAT </w:instrText>
    </w:r>
    <w:r w:rsidRPr="00743091">
      <w:rPr>
        <w:rStyle w:val="Strong"/>
        <w:b w:val="0"/>
      </w:rPr>
      <w:fldChar w:fldCharType="separate"/>
    </w:r>
    <w:r w:rsidR="00357352" w:rsidRPr="00357352">
      <w:rPr>
        <w:b/>
      </w:rPr>
      <w:t>New Medicare Benefits Schedule (MBS) Items for multiparametric magnetic resonance imaging (mpMRI) of the prostate</w:t>
    </w:r>
    <w:r w:rsidRPr="00743091">
      <w:rPr>
        <w:rStyle w:val="Strong"/>
        <w:b w:val="0"/>
      </w:rPr>
      <w:fldChar w:fldCharType="end"/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3C4437">
          <w:rPr>
            <w:noProof/>
          </w:rPr>
          <w:t>2</w:t>
        </w:r>
        <w:r w:rsidRPr="00A563EC">
          <w:fldChar w:fldCharType="end"/>
        </w:r>
        <w:r w:rsidRPr="00A563EC">
          <w:t xml:space="preserve"> of </w:t>
        </w:r>
        <w:r w:rsidR="003C4437">
          <w:fldChar w:fldCharType="begin"/>
        </w:r>
        <w:r w:rsidR="003C4437">
          <w:instrText xml:space="preserve"> NUMPAGES  \* Arabic  \* MERGEFORMAT </w:instrText>
        </w:r>
        <w:r w:rsidR="003C4437">
          <w:fldChar w:fldCharType="separate"/>
        </w:r>
        <w:r w:rsidR="003C4437">
          <w:rPr>
            <w:noProof/>
          </w:rPr>
          <w:t>2</w:t>
        </w:r>
        <w:r w:rsidR="003C4437">
          <w:rPr>
            <w:noProof/>
          </w:rPr>
          <w:fldChar w:fldCharType="end"/>
        </w:r>
      </w:sdtContent>
    </w:sdt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3C4437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4" w:rsidRDefault="009B4F4A">
      <w:pPr>
        <w:spacing w:before="0" w:after="0"/>
      </w:pPr>
      <w:r>
        <w:separator/>
      </w:r>
    </w:p>
  </w:footnote>
  <w:footnote w:type="continuationSeparator" w:id="0">
    <w:p w:rsidR="00DE03E4" w:rsidRDefault="009B4F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3C4437" w:rsidP="00743091"/>
  <w:p w:rsidR="00A87435" w:rsidRDefault="003C4437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3C4437" w:rsidP="00743091"/>
  <w:p w:rsidR="00A87435" w:rsidRDefault="00D32A36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659ECA1E" wp14:editId="17BCCAB3">
          <wp:extent cx="2587625" cy="621030"/>
          <wp:effectExtent l="0" t="0" r="3175" b="7620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3C4437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1B"/>
    <w:multiLevelType w:val="hybridMultilevel"/>
    <w:tmpl w:val="088C6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6E8"/>
    <w:multiLevelType w:val="hybridMultilevel"/>
    <w:tmpl w:val="2C121502"/>
    <w:lvl w:ilvl="0" w:tplc="505E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95CA2"/>
    <w:multiLevelType w:val="hybridMultilevel"/>
    <w:tmpl w:val="935E1932"/>
    <w:lvl w:ilvl="0" w:tplc="CFE62C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C2A64"/>
    <w:multiLevelType w:val="hybridMultilevel"/>
    <w:tmpl w:val="8F985D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6E3A31"/>
    <w:multiLevelType w:val="hybridMultilevel"/>
    <w:tmpl w:val="3ED4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B66E7"/>
    <w:multiLevelType w:val="hybridMultilevel"/>
    <w:tmpl w:val="E988B4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6BA01C6F"/>
    <w:multiLevelType w:val="hybridMultilevel"/>
    <w:tmpl w:val="42B22A92"/>
    <w:lvl w:ilvl="0" w:tplc="7B1E9E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B37617"/>
    <w:multiLevelType w:val="hybridMultilevel"/>
    <w:tmpl w:val="CA7ECD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7"/>
    <w:rsid w:val="00003743"/>
    <w:rsid w:val="00067456"/>
    <w:rsid w:val="000B3ACD"/>
    <w:rsid w:val="000B52B1"/>
    <w:rsid w:val="000E7701"/>
    <w:rsid w:val="001111C2"/>
    <w:rsid w:val="00183CB1"/>
    <w:rsid w:val="001952DB"/>
    <w:rsid w:val="00197ACE"/>
    <w:rsid w:val="001B3443"/>
    <w:rsid w:val="00207D79"/>
    <w:rsid w:val="002F3AE3"/>
    <w:rsid w:val="0030786C"/>
    <w:rsid w:val="003114B1"/>
    <w:rsid w:val="00335866"/>
    <w:rsid w:val="00357352"/>
    <w:rsid w:val="00365657"/>
    <w:rsid w:val="003779CB"/>
    <w:rsid w:val="00394FA5"/>
    <w:rsid w:val="003A79BE"/>
    <w:rsid w:val="003B4BC6"/>
    <w:rsid w:val="003B5B4A"/>
    <w:rsid w:val="003C4437"/>
    <w:rsid w:val="003D17F9"/>
    <w:rsid w:val="004867E2"/>
    <w:rsid w:val="004A6DE3"/>
    <w:rsid w:val="004E340A"/>
    <w:rsid w:val="0052766A"/>
    <w:rsid w:val="006052BB"/>
    <w:rsid w:val="00630269"/>
    <w:rsid w:val="006524AD"/>
    <w:rsid w:val="00656305"/>
    <w:rsid w:val="006C00A2"/>
    <w:rsid w:val="0071655B"/>
    <w:rsid w:val="00733AA8"/>
    <w:rsid w:val="0074026D"/>
    <w:rsid w:val="007B6FF7"/>
    <w:rsid w:val="007D6A4F"/>
    <w:rsid w:val="007E6770"/>
    <w:rsid w:val="008264EB"/>
    <w:rsid w:val="00841525"/>
    <w:rsid w:val="008453EC"/>
    <w:rsid w:val="00873B8C"/>
    <w:rsid w:val="008F1D33"/>
    <w:rsid w:val="00977CF1"/>
    <w:rsid w:val="00993972"/>
    <w:rsid w:val="009B4F4A"/>
    <w:rsid w:val="009B517F"/>
    <w:rsid w:val="009D19B6"/>
    <w:rsid w:val="00A12BDA"/>
    <w:rsid w:val="00A4512D"/>
    <w:rsid w:val="00A705AF"/>
    <w:rsid w:val="00AD25B2"/>
    <w:rsid w:val="00AD63C7"/>
    <w:rsid w:val="00B42851"/>
    <w:rsid w:val="00B5325A"/>
    <w:rsid w:val="00BF255D"/>
    <w:rsid w:val="00C04276"/>
    <w:rsid w:val="00C22F12"/>
    <w:rsid w:val="00CB5B1A"/>
    <w:rsid w:val="00D0522C"/>
    <w:rsid w:val="00D14EB3"/>
    <w:rsid w:val="00D32A36"/>
    <w:rsid w:val="00DE03E4"/>
    <w:rsid w:val="00E2779A"/>
    <w:rsid w:val="00E32BFD"/>
    <w:rsid w:val="00E82B2E"/>
    <w:rsid w:val="00EC5535"/>
    <w:rsid w:val="00F36486"/>
    <w:rsid w:val="00F43419"/>
    <w:rsid w:val="00F72A5B"/>
    <w:rsid w:val="00FA0E34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internet/main/publishing.nsf/Content/mri-inde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BLISS, Emma</dc:creator>
  <cp:lastModifiedBy>MAGPANTAY, Cynthia</cp:lastModifiedBy>
  <cp:revision>3</cp:revision>
  <cp:lastPrinted>2018-05-22T05:06:00Z</cp:lastPrinted>
  <dcterms:created xsi:type="dcterms:W3CDTF">2018-06-20T00:39:00Z</dcterms:created>
  <dcterms:modified xsi:type="dcterms:W3CDTF">2018-06-20T00:40:00Z</dcterms:modified>
</cp:coreProperties>
</file>