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C98" w:rsidRDefault="002B556A" w:rsidP="008B3C98">
      <w:pPr>
        <w:pStyle w:val="Heading1"/>
      </w:pPr>
      <w:bookmarkStart w:id="0" w:name="_GoBack"/>
      <w:bookmarkEnd w:id="0"/>
      <w:r>
        <w:t>Telehealth Services Provided by GPs and Non-Specialist Medical Practitioners to Patients in Rural and Remote Areas</w:t>
      </w:r>
    </w:p>
    <w:p w:rsidR="00907B4A" w:rsidRPr="00BA1B9D" w:rsidRDefault="002B556A" w:rsidP="006F117C">
      <w:r>
        <w:t xml:space="preserve">Last updated: </w:t>
      </w:r>
      <w:r w:rsidR="00551BBB">
        <w:t xml:space="preserve">2 October </w:t>
      </w:r>
      <w:r w:rsidRPr="00681A80">
        <w:t>2019</w:t>
      </w:r>
    </w:p>
    <w:p w:rsidR="003E601E" w:rsidRPr="00215118" w:rsidRDefault="00B83C75" w:rsidP="00C812D8">
      <w:pPr>
        <w:pStyle w:val="ListParagraph"/>
      </w:pPr>
      <w:r w:rsidRPr="00215118">
        <w:t xml:space="preserve">This change is effective from </w:t>
      </w:r>
      <w:r w:rsidR="00E0526C">
        <w:t>1 November 2019.</w:t>
      </w:r>
    </w:p>
    <w:p w:rsidR="00215118" w:rsidRDefault="00CA184A" w:rsidP="00C812D8">
      <w:pPr>
        <w:pStyle w:val="ListParagraph"/>
      </w:pPr>
      <w:r w:rsidRPr="00215118">
        <w:t xml:space="preserve">A factsheet summarising </w:t>
      </w:r>
      <w:r w:rsidR="00215118" w:rsidRPr="00215118">
        <w:t>what the change is</w:t>
      </w:r>
      <w:r w:rsidRPr="00215118">
        <w:t xml:space="preserve">, </w:t>
      </w:r>
      <w:r w:rsidR="00215118" w:rsidRPr="00215118">
        <w:t xml:space="preserve">why the change has been made, </w:t>
      </w:r>
      <w:r w:rsidRPr="00215118">
        <w:t xml:space="preserve">how it will affect </w:t>
      </w:r>
      <w:r w:rsidR="00FB4CB1">
        <w:t xml:space="preserve">stakeholders </w:t>
      </w:r>
      <w:r w:rsidRPr="00215118">
        <w:t xml:space="preserve">and what </w:t>
      </w:r>
      <w:r w:rsidR="00FB4CB1">
        <w:t>they</w:t>
      </w:r>
      <w:r w:rsidR="00FB4CB1" w:rsidRPr="00215118">
        <w:t xml:space="preserve"> </w:t>
      </w:r>
      <w:r w:rsidRPr="00215118">
        <w:t xml:space="preserve">need to do is available </w:t>
      </w:r>
      <w:r w:rsidR="00C812D8">
        <w:t>on MBS Online at</w:t>
      </w:r>
      <w:r w:rsidRPr="00215118">
        <w:t xml:space="preserve"> </w:t>
      </w:r>
      <w:hyperlink r:id="rId11" w:history="1">
        <w:r w:rsidR="00C06A31" w:rsidRPr="00C06A31">
          <w:rPr>
            <w:rStyle w:val="Hyperlink"/>
          </w:rPr>
          <w:t>Factsheet – GP Telehealth Items in MMM 6 and 7</w:t>
        </w:r>
      </w:hyperlink>
      <w:r w:rsidRPr="00215118">
        <w:t>.</w:t>
      </w:r>
    </w:p>
    <w:p w:rsidR="00CA184A" w:rsidRPr="00215118" w:rsidRDefault="00215118" w:rsidP="00C812D8">
      <w:pPr>
        <w:pStyle w:val="ListParagraph"/>
      </w:pPr>
      <w:r>
        <w:t>M</w:t>
      </w:r>
      <w:r w:rsidR="00CA184A" w:rsidRPr="00215118">
        <w:t xml:space="preserve">ore information </w:t>
      </w:r>
      <w:r>
        <w:t xml:space="preserve">about the change is provided below, </w:t>
      </w:r>
      <w:r w:rsidR="00CA184A" w:rsidRPr="00215118">
        <w:t xml:space="preserve">in response to </w:t>
      </w:r>
      <w:r>
        <w:t xml:space="preserve">frequently </w:t>
      </w:r>
      <w:r w:rsidR="00CA184A" w:rsidRPr="00215118">
        <w:t xml:space="preserve">asked questions. If you cannot find the information you </w:t>
      </w:r>
      <w:r w:rsidR="008B3C98">
        <w:t>need</w:t>
      </w:r>
      <w:r w:rsidR="00CA184A" w:rsidRPr="00215118">
        <w:t xml:space="preserve">, please </w:t>
      </w:r>
      <w:r w:rsidR="00F57D06">
        <w:t xml:space="preserve">contact the Department </w:t>
      </w:r>
      <w:r w:rsidR="00971D9E">
        <w:t xml:space="preserve">of Health </w:t>
      </w:r>
      <w:r w:rsidR="00F57D06">
        <w:t xml:space="preserve">at </w:t>
      </w:r>
      <w:hyperlink r:id="rId12" w:history="1">
        <w:r w:rsidR="00F57D06" w:rsidRPr="00AF4D21">
          <w:rPr>
            <w:rStyle w:val="Hyperlink"/>
          </w:rPr>
          <w:t>askMBS@health.gov.au</w:t>
        </w:r>
      </w:hyperlink>
      <w:r w:rsidR="00F57D06">
        <w:t xml:space="preserve">. </w:t>
      </w:r>
    </w:p>
    <w:p w:rsidR="00B23662" w:rsidRDefault="00CA184A" w:rsidP="00B23662">
      <w:pPr>
        <w:pStyle w:val="ListParagraph"/>
      </w:pPr>
      <w:r w:rsidRPr="00C812D8">
        <w:t xml:space="preserve">To subscribe </w:t>
      </w:r>
      <w:r w:rsidRPr="008B3C98">
        <w:t>to</w:t>
      </w:r>
      <w:r w:rsidRPr="00C812D8">
        <w:t xml:space="preserve"> future</w:t>
      </w:r>
      <w:r w:rsidRPr="00215118">
        <w:t xml:space="preserve"> MBS Online </w:t>
      </w:r>
      <w:r w:rsidR="00B23662" w:rsidRPr="00215118">
        <w:t>updates,</w:t>
      </w:r>
      <w:r w:rsidRPr="00215118">
        <w:t xml:space="preserve"> visit</w:t>
      </w:r>
      <w:r w:rsidR="00FB4CB1">
        <w:t xml:space="preserve"> </w:t>
      </w:r>
      <w:hyperlink r:id="rId13" w:history="1">
        <w:r w:rsidR="00FB4CB1" w:rsidRPr="00A8047C">
          <w:rPr>
            <w:rStyle w:val="Hyperlink"/>
          </w:rPr>
          <w:t>www.mbsonline.gov.au</w:t>
        </w:r>
      </w:hyperlink>
      <w:r w:rsidR="00FB4CB1">
        <w:t xml:space="preserve"> and click </w:t>
      </w:r>
      <w:r w:rsidR="001B0B09">
        <w:t>‘</w:t>
      </w:r>
      <w:r w:rsidR="00FB4CB1">
        <w:t>Subscribe</w:t>
      </w:r>
      <w:r w:rsidR="001B0B09">
        <w:t>’</w:t>
      </w:r>
      <w:r w:rsidR="00FB4CB1">
        <w:t>.</w:t>
      </w:r>
    </w:p>
    <w:p w:rsidR="00CA184A" w:rsidRDefault="00E935AD" w:rsidP="00B23662">
      <w:r>
        <w:rPr>
          <w:rStyle w:val="BookTitle"/>
        </w:rPr>
        <w:pict w14:anchorId="23E11779">
          <v:rect id="_x0000_i1025" style="width:0;height:1.5pt" o:hralign="center" o:hrstd="t" o:hr="t" fillcolor="#a0a0a0" stroked="f"/>
        </w:pict>
      </w:r>
    </w:p>
    <w:p w:rsidR="00B83C75" w:rsidRPr="0046571A" w:rsidRDefault="00B83C75" w:rsidP="008B3C98">
      <w:pPr>
        <w:pStyle w:val="Heading2"/>
      </w:pPr>
      <w:r>
        <w:t xml:space="preserve">Why </w:t>
      </w:r>
      <w:r w:rsidR="003E601E">
        <w:t>are the changes being made</w:t>
      </w:r>
      <w:r w:rsidRPr="0046571A">
        <w:t xml:space="preserve">? </w:t>
      </w:r>
    </w:p>
    <w:p w:rsidR="008B0C18" w:rsidRDefault="003E601E" w:rsidP="008B0C18">
      <w:r w:rsidRPr="008B0C18">
        <w:rPr>
          <w:rFonts w:eastAsia="Times New Roman"/>
        </w:rPr>
        <w:t xml:space="preserve">From </w:t>
      </w:r>
      <w:r w:rsidR="008B0C18">
        <w:t>1 November 2019, new Medicare Benefits Schedule (MBS) items will be introduced to allow general practitioners (GPs) and non-specialist medical practitioners to provide services by videoconference to patients living in rural and remote areas.</w:t>
      </w:r>
    </w:p>
    <w:p w:rsidR="008B0C18" w:rsidRDefault="008B0C18" w:rsidP="008B0C18">
      <w:r>
        <w:t>Access to timely primary care services can be difficult in rural and remote Australia.</w:t>
      </w:r>
    </w:p>
    <w:p w:rsidR="008B0C18" w:rsidRDefault="008B0C18" w:rsidP="008B0C18">
      <w:r>
        <w:t>Flexible service delivery models, including the telehealth/videoconference model of healthcare delivery, help to address inequities in the provision of health care services and have the potential to deliver improved health outcomes to people living in rural and remote locations.</w:t>
      </w:r>
    </w:p>
    <w:p w:rsidR="00FB4CB1" w:rsidRDefault="00FB4CB1" w:rsidP="008B3C98">
      <w:pPr>
        <w:pStyle w:val="Heading2"/>
        <w:rPr>
          <w:rFonts w:eastAsia="Times New Roman"/>
        </w:rPr>
      </w:pPr>
      <w:r>
        <w:rPr>
          <w:rFonts w:eastAsia="Times New Roman"/>
        </w:rPr>
        <w:t xml:space="preserve">How </w:t>
      </w:r>
      <w:r w:rsidR="00214B52">
        <w:rPr>
          <w:rFonts w:eastAsia="Times New Roman"/>
        </w:rPr>
        <w:t>have these changes been communicated to stakeholders?</w:t>
      </w:r>
    </w:p>
    <w:p w:rsidR="00FB4CB1" w:rsidRPr="00FB4CB1" w:rsidRDefault="00FB4CB1" w:rsidP="00FB4CB1">
      <w:pPr>
        <w:rPr>
          <w:rFonts w:eastAsia="Times New Roman"/>
        </w:rPr>
      </w:pPr>
      <w:r w:rsidRPr="00FB4CB1">
        <w:rPr>
          <w:rFonts w:eastAsia="Times New Roman"/>
        </w:rPr>
        <w:t>Prior to the</w:t>
      </w:r>
      <w:r w:rsidR="008673DC">
        <w:rPr>
          <w:rFonts w:eastAsia="Times New Roman"/>
        </w:rPr>
        <w:t xml:space="preserve"> 1 November 2019 </w:t>
      </w:r>
      <w:r w:rsidRPr="00FB4CB1">
        <w:rPr>
          <w:rFonts w:eastAsia="Times New Roman"/>
        </w:rPr>
        <w:t xml:space="preserve">listing, the Department circulated communication materials (including factsheets about the changes) to relevant professional groups in </w:t>
      </w:r>
      <w:r w:rsidR="008673DC">
        <w:rPr>
          <w:rFonts w:eastAsia="Times New Roman"/>
        </w:rPr>
        <w:t xml:space="preserve">October </w:t>
      </w:r>
      <w:r w:rsidRPr="00FB4CB1">
        <w:rPr>
          <w:rFonts w:eastAsia="Times New Roman"/>
        </w:rPr>
        <w:t>20</w:t>
      </w:r>
      <w:r w:rsidR="008673DC">
        <w:rPr>
          <w:rFonts w:eastAsia="Times New Roman"/>
        </w:rPr>
        <w:t>19</w:t>
      </w:r>
      <w:r w:rsidRPr="00FB4CB1">
        <w:rPr>
          <w:rFonts w:eastAsia="Times New Roman"/>
        </w:rPr>
        <w:t xml:space="preserve"> and encouraged dissemination of these materials to other members and fellows. Information was also made available through the MBS website (</w:t>
      </w:r>
      <w:hyperlink r:id="rId14" w:history="1">
        <w:r w:rsidR="003D300C" w:rsidRPr="00A8047C">
          <w:rPr>
            <w:rStyle w:val="Hyperlink"/>
          </w:rPr>
          <w:t>www.mbsonline.gov.au</w:t>
        </w:r>
      </w:hyperlink>
      <w:r w:rsidRPr="00FB4CB1">
        <w:rPr>
          <w:rFonts w:eastAsia="Times New Roman"/>
        </w:rPr>
        <w:t>).</w:t>
      </w:r>
    </w:p>
    <w:p w:rsidR="008673DC" w:rsidRDefault="00CA184A" w:rsidP="00A44A12">
      <w:pPr>
        <w:pStyle w:val="Heading3"/>
      </w:pPr>
      <w:r w:rsidRPr="00360408">
        <w:t>Question</w:t>
      </w:r>
      <w:r w:rsidR="008673DC">
        <w:t>: Who is eligible for the new telehealth service?</w:t>
      </w:r>
    </w:p>
    <w:p w:rsidR="008673DC" w:rsidRDefault="008673DC" w:rsidP="008673DC">
      <w:r>
        <w:t xml:space="preserve">To be eligible for the new telehealth service, a patient </w:t>
      </w:r>
      <w:r w:rsidR="00E170EF">
        <w:t>will</w:t>
      </w:r>
      <w:r>
        <w:t>:</w:t>
      </w:r>
    </w:p>
    <w:p w:rsidR="008673DC" w:rsidRPr="008673DC" w:rsidRDefault="008673DC" w:rsidP="008673DC">
      <w:pPr>
        <w:pStyle w:val="ListParagraph"/>
        <w:spacing w:after="160"/>
      </w:pPr>
      <w:r>
        <w:t>be living in a Modified Monash Model (MMM) 6 or 7 area</w:t>
      </w:r>
      <w:r w:rsidRPr="008673DC">
        <w:rPr>
          <w:szCs w:val="20"/>
        </w:rPr>
        <w:t>;</w:t>
      </w:r>
    </w:p>
    <w:p w:rsidR="008673DC" w:rsidRPr="008673DC" w:rsidRDefault="008673DC" w:rsidP="008673DC">
      <w:pPr>
        <w:pStyle w:val="ListParagraph"/>
        <w:spacing w:after="160"/>
      </w:pPr>
      <w:r>
        <w:t xml:space="preserve">have received three face-to-face professional attendances in the preceding twelve months from the practitioner who will provide the telehealth service; and </w:t>
      </w:r>
      <w:r w:rsidRPr="008673DC">
        <w:rPr>
          <w:szCs w:val="20"/>
        </w:rPr>
        <w:t xml:space="preserve"> </w:t>
      </w:r>
    </w:p>
    <w:p w:rsidR="008673DC" w:rsidRPr="008673DC" w:rsidRDefault="008673DC" w:rsidP="008673DC">
      <w:pPr>
        <w:pStyle w:val="ListParagraph"/>
        <w:spacing w:after="160"/>
      </w:pPr>
      <w:r>
        <w:t xml:space="preserve">at the time of the consultation, be at least 15 kilometres by road from the practitioner. </w:t>
      </w:r>
    </w:p>
    <w:p w:rsidR="008673DC" w:rsidRPr="008673DC" w:rsidRDefault="008673DC" w:rsidP="008673DC">
      <w:pPr>
        <w:rPr>
          <w:rStyle w:val="Hyperlink"/>
          <w:color w:val="auto"/>
          <w:u w:val="none"/>
        </w:rPr>
      </w:pPr>
      <w:r w:rsidRPr="008673DC">
        <w:rPr>
          <w:rFonts w:asciiTheme="minorHAnsi" w:hAnsiTheme="minorHAnsi" w:cstheme="minorHAnsi"/>
          <w:szCs w:val="20"/>
        </w:rPr>
        <w:lastRenderedPageBreak/>
        <w:t xml:space="preserve">The MMM classification status of specific locations can be checked at: </w:t>
      </w:r>
      <w:hyperlink r:id="rId15" w:history="1">
        <w:r w:rsidRPr="008673DC">
          <w:rPr>
            <w:rStyle w:val="Hyperlink"/>
            <w:rFonts w:asciiTheme="minorHAnsi" w:hAnsiTheme="minorHAnsi" w:cstheme="minorHAnsi"/>
            <w:szCs w:val="20"/>
          </w:rPr>
          <w:t>https://www.health.gov.au/resources/apps-and-tools/health-workforce-locator/health-workforce-locator</w:t>
        </w:r>
      </w:hyperlink>
    </w:p>
    <w:p w:rsidR="00BA5B88" w:rsidRDefault="00BA5B88" w:rsidP="00A44A12">
      <w:pPr>
        <w:pStyle w:val="Heading3"/>
      </w:pPr>
      <w:r>
        <w:t xml:space="preserve">Question: What are the clinical requirements of </w:t>
      </w:r>
      <w:r w:rsidR="00B54073">
        <w:t>the new tele</w:t>
      </w:r>
      <w:r>
        <w:t>h</w:t>
      </w:r>
      <w:r w:rsidR="00B54073">
        <w:t>e</w:t>
      </w:r>
      <w:r>
        <w:t xml:space="preserve">alth </w:t>
      </w:r>
      <w:r w:rsidR="00B54073">
        <w:t>items</w:t>
      </w:r>
      <w:r>
        <w:t>?</w:t>
      </w:r>
    </w:p>
    <w:p w:rsidR="00125BF5" w:rsidRDefault="00125BF5" w:rsidP="00125BF5">
      <w:r w:rsidRPr="0094282A">
        <w:t xml:space="preserve">The new </w:t>
      </w:r>
      <w:r w:rsidR="002F1213">
        <w:t xml:space="preserve">telehealth </w:t>
      </w:r>
      <w:r w:rsidRPr="0094282A">
        <w:t xml:space="preserve">items will replicate the clinical requirements and </w:t>
      </w:r>
      <w:r w:rsidR="007016B7">
        <w:t xml:space="preserve">MBS </w:t>
      </w:r>
      <w:r w:rsidR="00B54073">
        <w:t>re</w:t>
      </w:r>
      <w:r w:rsidRPr="0094282A">
        <w:t>bate</w:t>
      </w:r>
      <w:r w:rsidR="00B54073">
        <w:t>s</w:t>
      </w:r>
      <w:r w:rsidRPr="0094282A">
        <w:t xml:space="preserve"> of the current </w:t>
      </w:r>
      <w:r w:rsidR="002F1213">
        <w:t xml:space="preserve">time-tiered </w:t>
      </w:r>
      <w:r w:rsidRPr="0094282A">
        <w:t xml:space="preserve">general attendance items in consulting rooms used by GPs and </w:t>
      </w:r>
      <w:r>
        <w:t xml:space="preserve">non-specialist </w:t>
      </w:r>
      <w:r w:rsidRPr="0094282A">
        <w:t>medical practitioners</w:t>
      </w:r>
      <w:r w:rsidR="002D40C4">
        <w:t xml:space="preserve"> (refer table below).</w:t>
      </w:r>
    </w:p>
    <w:p w:rsidR="00E170EF" w:rsidRPr="004B7177" w:rsidRDefault="00E170EF" w:rsidP="00E170EF">
      <w:pPr>
        <w:spacing w:after="0"/>
        <w:rPr>
          <w:b/>
        </w:rPr>
      </w:pPr>
      <w:r w:rsidRPr="004B7177">
        <w:rPr>
          <w:b/>
        </w:rPr>
        <w:t>Telehealth Items and Replicated Standard Consultation Items</w:t>
      </w:r>
    </w:p>
    <w:tbl>
      <w:tblPr>
        <w:tblStyle w:val="TableGrid"/>
        <w:tblW w:w="0" w:type="auto"/>
        <w:tblLook w:val="04A0" w:firstRow="1" w:lastRow="0" w:firstColumn="1" w:lastColumn="0" w:noHBand="0" w:noVBand="1"/>
      </w:tblPr>
      <w:tblGrid>
        <w:gridCol w:w="4531"/>
        <w:gridCol w:w="2835"/>
        <w:gridCol w:w="3090"/>
      </w:tblGrid>
      <w:tr w:rsidR="002D40C4" w:rsidTr="00CE742E">
        <w:tc>
          <w:tcPr>
            <w:tcW w:w="4531" w:type="dxa"/>
          </w:tcPr>
          <w:p w:rsidR="002D40C4" w:rsidRPr="002F1213" w:rsidRDefault="002D40C4" w:rsidP="00CE742E">
            <w:pPr>
              <w:jc w:val="center"/>
              <w:rPr>
                <w:b/>
              </w:rPr>
            </w:pPr>
            <w:r w:rsidRPr="002F1213">
              <w:rPr>
                <w:b/>
              </w:rPr>
              <w:t>Practitioner Type</w:t>
            </w:r>
          </w:p>
        </w:tc>
        <w:tc>
          <w:tcPr>
            <w:tcW w:w="2835" w:type="dxa"/>
          </w:tcPr>
          <w:p w:rsidR="002D40C4" w:rsidRPr="002F1213" w:rsidRDefault="002D40C4" w:rsidP="00CE742E">
            <w:pPr>
              <w:jc w:val="center"/>
              <w:rPr>
                <w:b/>
              </w:rPr>
            </w:pPr>
            <w:r>
              <w:rPr>
                <w:b/>
              </w:rPr>
              <w:t xml:space="preserve">New </w:t>
            </w:r>
            <w:r w:rsidRPr="002F1213">
              <w:rPr>
                <w:b/>
              </w:rPr>
              <w:t>Telehealth Item</w:t>
            </w:r>
          </w:p>
        </w:tc>
        <w:tc>
          <w:tcPr>
            <w:tcW w:w="3090" w:type="dxa"/>
          </w:tcPr>
          <w:p w:rsidR="002D40C4" w:rsidRPr="002F1213" w:rsidRDefault="002D40C4" w:rsidP="00CE742E">
            <w:pPr>
              <w:jc w:val="center"/>
              <w:rPr>
                <w:b/>
              </w:rPr>
            </w:pPr>
            <w:r w:rsidRPr="002F1213">
              <w:rPr>
                <w:b/>
              </w:rPr>
              <w:t>Replicated Consultation Item</w:t>
            </w:r>
          </w:p>
        </w:tc>
      </w:tr>
      <w:tr w:rsidR="002D40C4" w:rsidTr="00CE742E">
        <w:tc>
          <w:tcPr>
            <w:tcW w:w="4531" w:type="dxa"/>
            <w:vMerge w:val="restart"/>
            <w:shd w:val="clear" w:color="auto" w:fill="FFC000"/>
            <w:vAlign w:val="center"/>
          </w:tcPr>
          <w:p w:rsidR="002D40C4" w:rsidRPr="00EA5306" w:rsidRDefault="002D40C4" w:rsidP="00CE742E">
            <w:r w:rsidRPr="00EA5306">
              <w:t>General Practitioner</w:t>
            </w:r>
          </w:p>
        </w:tc>
        <w:tc>
          <w:tcPr>
            <w:tcW w:w="2835" w:type="dxa"/>
            <w:shd w:val="clear" w:color="auto" w:fill="FFDF83" w:themeFill="accent3" w:themeFillTint="66"/>
          </w:tcPr>
          <w:p w:rsidR="002D40C4" w:rsidRDefault="002D40C4" w:rsidP="00CE742E">
            <w:pPr>
              <w:jc w:val="center"/>
            </w:pPr>
            <w:r w:rsidRPr="003932C4">
              <w:t>2461</w:t>
            </w:r>
          </w:p>
        </w:tc>
        <w:tc>
          <w:tcPr>
            <w:tcW w:w="3090" w:type="dxa"/>
            <w:shd w:val="clear" w:color="auto" w:fill="FFDF83" w:themeFill="accent3" w:themeFillTint="66"/>
          </w:tcPr>
          <w:p w:rsidR="002D40C4" w:rsidRDefault="002D40C4" w:rsidP="00CE742E">
            <w:pPr>
              <w:jc w:val="center"/>
            </w:pPr>
            <w:r w:rsidRPr="002F1213">
              <w:t>3</w:t>
            </w:r>
          </w:p>
        </w:tc>
      </w:tr>
      <w:tr w:rsidR="002D40C4" w:rsidTr="00CE742E">
        <w:tc>
          <w:tcPr>
            <w:tcW w:w="4531" w:type="dxa"/>
            <w:vMerge/>
            <w:vAlign w:val="center"/>
          </w:tcPr>
          <w:p w:rsidR="002D40C4" w:rsidRPr="00EA5306" w:rsidRDefault="002D40C4" w:rsidP="00CE742E"/>
        </w:tc>
        <w:tc>
          <w:tcPr>
            <w:tcW w:w="2835" w:type="dxa"/>
            <w:shd w:val="clear" w:color="auto" w:fill="FFDF83" w:themeFill="accent3" w:themeFillTint="66"/>
          </w:tcPr>
          <w:p w:rsidR="002D40C4" w:rsidRDefault="002D40C4" w:rsidP="00CE742E">
            <w:pPr>
              <w:jc w:val="center"/>
            </w:pPr>
            <w:r w:rsidRPr="007F3503">
              <w:rPr>
                <w:szCs w:val="20"/>
              </w:rPr>
              <w:t>2463</w:t>
            </w:r>
          </w:p>
        </w:tc>
        <w:tc>
          <w:tcPr>
            <w:tcW w:w="3090" w:type="dxa"/>
            <w:shd w:val="clear" w:color="auto" w:fill="FFDF83" w:themeFill="accent3" w:themeFillTint="66"/>
          </w:tcPr>
          <w:p w:rsidR="002D40C4" w:rsidRDefault="002D40C4" w:rsidP="00CE742E">
            <w:pPr>
              <w:jc w:val="center"/>
            </w:pPr>
            <w:r w:rsidRPr="002F1213">
              <w:t>23</w:t>
            </w:r>
          </w:p>
        </w:tc>
      </w:tr>
      <w:tr w:rsidR="002D40C4" w:rsidTr="00CE742E">
        <w:tc>
          <w:tcPr>
            <w:tcW w:w="4531" w:type="dxa"/>
            <w:vMerge/>
            <w:vAlign w:val="center"/>
          </w:tcPr>
          <w:p w:rsidR="002D40C4" w:rsidRPr="00EA5306" w:rsidRDefault="002D40C4" w:rsidP="00CE742E"/>
        </w:tc>
        <w:tc>
          <w:tcPr>
            <w:tcW w:w="2835" w:type="dxa"/>
            <w:shd w:val="clear" w:color="auto" w:fill="FFDF83" w:themeFill="accent3" w:themeFillTint="66"/>
          </w:tcPr>
          <w:p w:rsidR="002D40C4" w:rsidRDefault="002D40C4" w:rsidP="00CE742E">
            <w:pPr>
              <w:jc w:val="center"/>
            </w:pPr>
            <w:r w:rsidRPr="007F3503">
              <w:rPr>
                <w:szCs w:val="20"/>
              </w:rPr>
              <w:t>2464</w:t>
            </w:r>
          </w:p>
        </w:tc>
        <w:tc>
          <w:tcPr>
            <w:tcW w:w="3090" w:type="dxa"/>
            <w:shd w:val="clear" w:color="auto" w:fill="FFDF83" w:themeFill="accent3" w:themeFillTint="66"/>
          </w:tcPr>
          <w:p w:rsidR="002D40C4" w:rsidRDefault="002D40C4" w:rsidP="00CE742E">
            <w:pPr>
              <w:jc w:val="center"/>
            </w:pPr>
            <w:r w:rsidRPr="002F1213">
              <w:t>36</w:t>
            </w:r>
          </w:p>
        </w:tc>
      </w:tr>
      <w:tr w:rsidR="002D40C4" w:rsidTr="00CE742E">
        <w:tc>
          <w:tcPr>
            <w:tcW w:w="4531" w:type="dxa"/>
            <w:vMerge/>
            <w:vAlign w:val="center"/>
          </w:tcPr>
          <w:p w:rsidR="002D40C4" w:rsidRPr="00EA5306" w:rsidRDefault="002D40C4" w:rsidP="00CE742E"/>
        </w:tc>
        <w:tc>
          <w:tcPr>
            <w:tcW w:w="2835" w:type="dxa"/>
            <w:shd w:val="clear" w:color="auto" w:fill="FFDF83" w:themeFill="accent3" w:themeFillTint="66"/>
          </w:tcPr>
          <w:p w:rsidR="002D40C4" w:rsidRDefault="002D40C4" w:rsidP="00CE742E">
            <w:pPr>
              <w:jc w:val="center"/>
            </w:pPr>
            <w:r w:rsidRPr="007F3503">
              <w:rPr>
                <w:szCs w:val="20"/>
              </w:rPr>
              <w:t>2465</w:t>
            </w:r>
          </w:p>
        </w:tc>
        <w:tc>
          <w:tcPr>
            <w:tcW w:w="3090" w:type="dxa"/>
            <w:shd w:val="clear" w:color="auto" w:fill="FFDF83" w:themeFill="accent3" w:themeFillTint="66"/>
          </w:tcPr>
          <w:p w:rsidR="002D40C4" w:rsidRDefault="002D40C4" w:rsidP="00CE742E">
            <w:pPr>
              <w:jc w:val="center"/>
            </w:pPr>
            <w:r w:rsidRPr="002F1213">
              <w:t>44</w:t>
            </w:r>
          </w:p>
        </w:tc>
      </w:tr>
      <w:tr w:rsidR="002D40C4" w:rsidRPr="002F1213" w:rsidTr="00CE742E">
        <w:tc>
          <w:tcPr>
            <w:tcW w:w="4531" w:type="dxa"/>
            <w:vMerge w:val="restart"/>
            <w:shd w:val="clear" w:color="auto" w:fill="92D050"/>
            <w:vAlign w:val="center"/>
          </w:tcPr>
          <w:p w:rsidR="002D40C4" w:rsidRPr="00EA5306" w:rsidRDefault="002D40C4" w:rsidP="00CE742E">
            <w:r w:rsidRPr="00EA5306">
              <w:t>Non-Specialist Medical Practitioner MMM 1</w:t>
            </w:r>
          </w:p>
        </w:tc>
        <w:tc>
          <w:tcPr>
            <w:tcW w:w="2835" w:type="dxa"/>
            <w:shd w:val="clear" w:color="auto" w:fill="C9DBB3" w:themeFill="accent2" w:themeFillTint="66"/>
          </w:tcPr>
          <w:p w:rsidR="002D40C4" w:rsidRDefault="002D40C4" w:rsidP="00CE742E">
            <w:pPr>
              <w:jc w:val="center"/>
            </w:pPr>
            <w:r>
              <w:rPr>
                <w:szCs w:val="20"/>
              </w:rPr>
              <w:t>2471</w:t>
            </w:r>
          </w:p>
        </w:tc>
        <w:tc>
          <w:tcPr>
            <w:tcW w:w="3090" w:type="dxa"/>
            <w:shd w:val="clear" w:color="auto" w:fill="C9DBB3" w:themeFill="accent2" w:themeFillTint="66"/>
          </w:tcPr>
          <w:p w:rsidR="002D40C4" w:rsidRPr="002F1213" w:rsidRDefault="002D40C4" w:rsidP="00CE742E">
            <w:pPr>
              <w:jc w:val="center"/>
            </w:pPr>
            <w:r w:rsidRPr="002F1213">
              <w:t>52</w:t>
            </w:r>
          </w:p>
        </w:tc>
      </w:tr>
      <w:tr w:rsidR="002D40C4" w:rsidTr="00CE742E">
        <w:tc>
          <w:tcPr>
            <w:tcW w:w="4531" w:type="dxa"/>
            <w:vMerge/>
            <w:vAlign w:val="center"/>
          </w:tcPr>
          <w:p w:rsidR="002D40C4" w:rsidRPr="00EA5306" w:rsidRDefault="002D40C4" w:rsidP="00CE742E"/>
        </w:tc>
        <w:tc>
          <w:tcPr>
            <w:tcW w:w="2835" w:type="dxa"/>
            <w:shd w:val="clear" w:color="auto" w:fill="C9DBB3" w:themeFill="accent2" w:themeFillTint="66"/>
          </w:tcPr>
          <w:p w:rsidR="002D40C4" w:rsidRDefault="002D40C4" w:rsidP="00CE742E">
            <w:pPr>
              <w:jc w:val="center"/>
            </w:pPr>
            <w:r>
              <w:rPr>
                <w:szCs w:val="20"/>
              </w:rPr>
              <w:t>2472</w:t>
            </w:r>
          </w:p>
        </w:tc>
        <w:tc>
          <w:tcPr>
            <w:tcW w:w="3090" w:type="dxa"/>
            <w:shd w:val="clear" w:color="auto" w:fill="C9DBB3" w:themeFill="accent2" w:themeFillTint="66"/>
          </w:tcPr>
          <w:p w:rsidR="002D40C4" w:rsidRDefault="002D40C4" w:rsidP="00CE742E">
            <w:pPr>
              <w:jc w:val="center"/>
            </w:pPr>
            <w:r w:rsidRPr="002F1213">
              <w:t>53</w:t>
            </w:r>
          </w:p>
        </w:tc>
      </w:tr>
      <w:tr w:rsidR="002D40C4" w:rsidTr="00CE742E">
        <w:tc>
          <w:tcPr>
            <w:tcW w:w="4531" w:type="dxa"/>
            <w:vMerge/>
            <w:vAlign w:val="center"/>
          </w:tcPr>
          <w:p w:rsidR="002D40C4" w:rsidRPr="00EA5306" w:rsidRDefault="002D40C4" w:rsidP="00CE742E"/>
        </w:tc>
        <w:tc>
          <w:tcPr>
            <w:tcW w:w="2835" w:type="dxa"/>
            <w:shd w:val="clear" w:color="auto" w:fill="C9DBB3" w:themeFill="accent2" w:themeFillTint="66"/>
          </w:tcPr>
          <w:p w:rsidR="002D40C4" w:rsidRDefault="002D40C4" w:rsidP="00CE742E">
            <w:pPr>
              <w:jc w:val="center"/>
            </w:pPr>
            <w:r>
              <w:rPr>
                <w:szCs w:val="20"/>
              </w:rPr>
              <w:t>2475</w:t>
            </w:r>
          </w:p>
        </w:tc>
        <w:tc>
          <w:tcPr>
            <w:tcW w:w="3090" w:type="dxa"/>
            <w:shd w:val="clear" w:color="auto" w:fill="C9DBB3" w:themeFill="accent2" w:themeFillTint="66"/>
          </w:tcPr>
          <w:p w:rsidR="002D40C4" w:rsidRDefault="002D40C4" w:rsidP="00CE742E">
            <w:pPr>
              <w:jc w:val="center"/>
            </w:pPr>
            <w:r w:rsidRPr="002F1213">
              <w:t>54</w:t>
            </w:r>
          </w:p>
        </w:tc>
      </w:tr>
      <w:tr w:rsidR="002D40C4" w:rsidTr="00CE742E">
        <w:tc>
          <w:tcPr>
            <w:tcW w:w="4531" w:type="dxa"/>
            <w:vMerge/>
            <w:vAlign w:val="center"/>
          </w:tcPr>
          <w:p w:rsidR="002D40C4" w:rsidRPr="00EA5306" w:rsidRDefault="002D40C4" w:rsidP="00CE742E"/>
        </w:tc>
        <w:tc>
          <w:tcPr>
            <w:tcW w:w="2835" w:type="dxa"/>
            <w:shd w:val="clear" w:color="auto" w:fill="C9DBB3" w:themeFill="accent2" w:themeFillTint="66"/>
          </w:tcPr>
          <w:p w:rsidR="002D40C4" w:rsidRDefault="002D40C4" w:rsidP="00CE742E">
            <w:pPr>
              <w:jc w:val="center"/>
            </w:pPr>
            <w:r w:rsidRPr="007F3503">
              <w:rPr>
                <w:szCs w:val="20"/>
              </w:rPr>
              <w:t>2478</w:t>
            </w:r>
          </w:p>
        </w:tc>
        <w:tc>
          <w:tcPr>
            <w:tcW w:w="3090" w:type="dxa"/>
            <w:shd w:val="clear" w:color="auto" w:fill="C9DBB3" w:themeFill="accent2" w:themeFillTint="66"/>
          </w:tcPr>
          <w:p w:rsidR="002D40C4" w:rsidRDefault="002D40C4" w:rsidP="00CE742E">
            <w:pPr>
              <w:jc w:val="center"/>
            </w:pPr>
            <w:r w:rsidRPr="002F1213">
              <w:t>57</w:t>
            </w:r>
          </w:p>
        </w:tc>
      </w:tr>
      <w:tr w:rsidR="002D40C4" w:rsidRPr="002F1213" w:rsidTr="00CE742E">
        <w:tc>
          <w:tcPr>
            <w:tcW w:w="4531" w:type="dxa"/>
            <w:vMerge w:val="restart"/>
            <w:shd w:val="clear" w:color="auto" w:fill="9966FF"/>
            <w:vAlign w:val="center"/>
          </w:tcPr>
          <w:p w:rsidR="002D40C4" w:rsidRPr="00EA5306" w:rsidRDefault="002D40C4" w:rsidP="00CE742E">
            <w:r w:rsidRPr="00EA5306">
              <w:t>Non-Specialist Medical Practitioner MMM 2-7</w:t>
            </w:r>
          </w:p>
        </w:tc>
        <w:tc>
          <w:tcPr>
            <w:tcW w:w="2835" w:type="dxa"/>
            <w:shd w:val="clear" w:color="auto" w:fill="CCCCFF"/>
          </w:tcPr>
          <w:p w:rsidR="002D40C4" w:rsidRDefault="002D40C4" w:rsidP="00CE742E">
            <w:pPr>
              <w:jc w:val="center"/>
            </w:pPr>
            <w:r w:rsidRPr="007F3503">
              <w:rPr>
                <w:szCs w:val="20"/>
              </w:rPr>
              <w:t>2480</w:t>
            </w:r>
          </w:p>
        </w:tc>
        <w:tc>
          <w:tcPr>
            <w:tcW w:w="3090" w:type="dxa"/>
            <w:shd w:val="clear" w:color="auto" w:fill="CCCCFF"/>
          </w:tcPr>
          <w:p w:rsidR="002D40C4" w:rsidRPr="002F1213" w:rsidRDefault="002D40C4" w:rsidP="00CE742E">
            <w:pPr>
              <w:jc w:val="center"/>
            </w:pPr>
            <w:r w:rsidRPr="002F1213">
              <w:rPr>
                <w:szCs w:val="24"/>
              </w:rPr>
              <w:t>179</w:t>
            </w:r>
          </w:p>
        </w:tc>
      </w:tr>
      <w:tr w:rsidR="002D40C4" w:rsidTr="00CE742E">
        <w:tc>
          <w:tcPr>
            <w:tcW w:w="4531" w:type="dxa"/>
            <w:vMerge/>
            <w:shd w:val="clear" w:color="auto" w:fill="9966FF"/>
          </w:tcPr>
          <w:p w:rsidR="002D40C4" w:rsidRPr="00EA5306" w:rsidRDefault="002D40C4" w:rsidP="00CE742E"/>
        </w:tc>
        <w:tc>
          <w:tcPr>
            <w:tcW w:w="2835" w:type="dxa"/>
            <w:shd w:val="clear" w:color="auto" w:fill="CCCCFF"/>
          </w:tcPr>
          <w:p w:rsidR="002D40C4" w:rsidRDefault="002D40C4" w:rsidP="00CE742E">
            <w:pPr>
              <w:jc w:val="center"/>
            </w:pPr>
            <w:r w:rsidRPr="007F3503">
              <w:rPr>
                <w:szCs w:val="20"/>
              </w:rPr>
              <w:t>2481</w:t>
            </w:r>
          </w:p>
        </w:tc>
        <w:tc>
          <w:tcPr>
            <w:tcW w:w="3090" w:type="dxa"/>
            <w:shd w:val="clear" w:color="auto" w:fill="CCCCFF"/>
          </w:tcPr>
          <w:p w:rsidR="002D40C4" w:rsidRDefault="002D40C4" w:rsidP="00CE742E">
            <w:pPr>
              <w:jc w:val="center"/>
            </w:pPr>
            <w:r w:rsidRPr="002F1213">
              <w:rPr>
                <w:szCs w:val="24"/>
              </w:rPr>
              <w:t>185</w:t>
            </w:r>
          </w:p>
        </w:tc>
      </w:tr>
      <w:tr w:rsidR="002D40C4" w:rsidTr="00CE742E">
        <w:tc>
          <w:tcPr>
            <w:tcW w:w="4531" w:type="dxa"/>
            <w:vMerge/>
            <w:shd w:val="clear" w:color="auto" w:fill="9966FF"/>
          </w:tcPr>
          <w:p w:rsidR="002D40C4" w:rsidRPr="002F1213" w:rsidRDefault="002D40C4" w:rsidP="00CE742E">
            <w:pPr>
              <w:rPr>
                <w:b/>
              </w:rPr>
            </w:pPr>
          </w:p>
        </w:tc>
        <w:tc>
          <w:tcPr>
            <w:tcW w:w="2835" w:type="dxa"/>
            <w:shd w:val="clear" w:color="auto" w:fill="CCCCFF"/>
          </w:tcPr>
          <w:p w:rsidR="002D40C4" w:rsidRDefault="002D40C4" w:rsidP="00CE742E">
            <w:pPr>
              <w:jc w:val="center"/>
            </w:pPr>
            <w:r w:rsidRPr="007F3503">
              <w:rPr>
                <w:szCs w:val="20"/>
              </w:rPr>
              <w:t>2482</w:t>
            </w:r>
          </w:p>
        </w:tc>
        <w:tc>
          <w:tcPr>
            <w:tcW w:w="3090" w:type="dxa"/>
            <w:shd w:val="clear" w:color="auto" w:fill="CCCCFF"/>
          </w:tcPr>
          <w:p w:rsidR="002D40C4" w:rsidRDefault="002D40C4" w:rsidP="00CE742E">
            <w:pPr>
              <w:jc w:val="center"/>
            </w:pPr>
            <w:r w:rsidRPr="002F1213">
              <w:rPr>
                <w:szCs w:val="24"/>
              </w:rPr>
              <w:t>189</w:t>
            </w:r>
          </w:p>
        </w:tc>
      </w:tr>
      <w:tr w:rsidR="002D40C4" w:rsidTr="00CE742E">
        <w:tc>
          <w:tcPr>
            <w:tcW w:w="4531" w:type="dxa"/>
            <w:vMerge/>
            <w:shd w:val="clear" w:color="auto" w:fill="9966FF"/>
          </w:tcPr>
          <w:p w:rsidR="002D40C4" w:rsidRPr="002F1213" w:rsidRDefault="002D40C4" w:rsidP="00CE742E">
            <w:pPr>
              <w:rPr>
                <w:b/>
              </w:rPr>
            </w:pPr>
          </w:p>
        </w:tc>
        <w:tc>
          <w:tcPr>
            <w:tcW w:w="2835" w:type="dxa"/>
            <w:shd w:val="clear" w:color="auto" w:fill="CCCCFF"/>
          </w:tcPr>
          <w:p w:rsidR="002D40C4" w:rsidRDefault="002D40C4" w:rsidP="00CE742E">
            <w:pPr>
              <w:jc w:val="center"/>
            </w:pPr>
            <w:r w:rsidRPr="007F3503">
              <w:rPr>
                <w:szCs w:val="20"/>
              </w:rPr>
              <w:t>2483</w:t>
            </w:r>
          </w:p>
        </w:tc>
        <w:tc>
          <w:tcPr>
            <w:tcW w:w="3090" w:type="dxa"/>
            <w:shd w:val="clear" w:color="auto" w:fill="CCCCFF"/>
          </w:tcPr>
          <w:p w:rsidR="002D40C4" w:rsidRDefault="002D40C4" w:rsidP="00CE742E">
            <w:pPr>
              <w:jc w:val="center"/>
            </w:pPr>
            <w:r w:rsidRPr="002F1213">
              <w:rPr>
                <w:szCs w:val="24"/>
              </w:rPr>
              <w:t>203</w:t>
            </w:r>
          </w:p>
        </w:tc>
      </w:tr>
    </w:tbl>
    <w:p w:rsidR="00E170EF" w:rsidRPr="003D3167" w:rsidRDefault="00E170EF" w:rsidP="00E170EF">
      <w:pPr>
        <w:rPr>
          <w:szCs w:val="20"/>
        </w:rPr>
      </w:pPr>
      <w:r w:rsidRPr="003D3167">
        <w:rPr>
          <w:szCs w:val="20"/>
        </w:rPr>
        <w:t xml:space="preserve">MBS item descriptors and explanatory notes for these items are available at </w:t>
      </w:r>
      <w:hyperlink r:id="rId16" w:history="1">
        <w:r w:rsidRPr="003D3167">
          <w:rPr>
            <w:rStyle w:val="Hyperlink"/>
            <w:szCs w:val="20"/>
          </w:rPr>
          <w:t>www.mbsonline.gov.au</w:t>
        </w:r>
      </w:hyperlink>
    </w:p>
    <w:p w:rsidR="008673DC" w:rsidRDefault="00DE5DB8" w:rsidP="00A44A12">
      <w:pPr>
        <w:pStyle w:val="Heading3"/>
      </w:pPr>
      <w:r w:rsidRPr="00360408">
        <w:t>Q</w:t>
      </w:r>
      <w:r w:rsidR="008673DC">
        <w:t>uestion: Can doctors who practice outside MMM 6 and 7 areas provide the new telehealth services to eligilbe patients?</w:t>
      </w:r>
    </w:p>
    <w:p w:rsidR="002D40C4" w:rsidRDefault="002D40C4" w:rsidP="002D40C4">
      <w:r>
        <w:t xml:space="preserve">Yes. </w:t>
      </w:r>
      <w:r w:rsidR="008673DC">
        <w:t>There is no restriction on the geographic location of the practitioner providing the new telehealth service. However, in order to provide the service to an eligible patient, the practitioner must have provided three face-to-face consultations to the patient in the preceding twelve months.</w:t>
      </w:r>
    </w:p>
    <w:p w:rsidR="002D40C4" w:rsidRDefault="002D40C4" w:rsidP="002D40C4">
      <w:r>
        <w:t>This will help to ensure that doctors providing the telehealth service are already familiar with the patient’s health and medical needs.</w:t>
      </w:r>
    </w:p>
    <w:p w:rsidR="00BA5B88" w:rsidRDefault="00BA5B88" w:rsidP="00BA5B88">
      <w:pPr>
        <w:pStyle w:val="Heading3"/>
      </w:pPr>
      <w:r>
        <w:t>Question: How will these changes affect patients</w:t>
      </w:r>
      <w:r w:rsidRPr="001A7FB7">
        <w:t>?</w:t>
      </w:r>
    </w:p>
    <w:p w:rsidR="00BA5B88" w:rsidRDefault="00BA5B88" w:rsidP="00BA5B88">
      <w:r>
        <w:t>From 1 November 2019, people living in rural and remote communities will be able to request video consultation</w:t>
      </w:r>
      <w:r w:rsidR="002D40C4">
        <w:t>s</w:t>
      </w:r>
      <w:r>
        <w:t xml:space="preserve"> with their doctor</w:t>
      </w:r>
      <w:r w:rsidR="002D40C4">
        <w:t xml:space="preserve"> that will be eligible for MBS rebates</w:t>
      </w:r>
      <w:r>
        <w:t>.</w:t>
      </w:r>
    </w:p>
    <w:p w:rsidR="00BA5B88" w:rsidRDefault="00BA5B88" w:rsidP="00BA5B88">
      <w:r>
        <w:t xml:space="preserve">Only patients living in rural and remote areas </w:t>
      </w:r>
      <w:r w:rsidR="002D40C4">
        <w:t xml:space="preserve">(MMM 6-7 regions) </w:t>
      </w:r>
      <w:r>
        <w:t>will be eligible for the new service. Also, at the time when the service takes place, the patient and the doctor must be at least 15 kilometres apart by road.</w:t>
      </w:r>
    </w:p>
    <w:p w:rsidR="00BA5B88" w:rsidRDefault="00BA5B88" w:rsidP="00BA5B88">
      <w:r>
        <w:t>Although there is no restriction on where the doctor is located, the patient and the doctor must already have an established clinical relationship. This means that the doctor must have seen the patient for a face-to-face consultation three times in the preceding twelve months.</w:t>
      </w:r>
    </w:p>
    <w:p w:rsidR="00E170EF" w:rsidRDefault="00BA5B88" w:rsidP="00A44A12">
      <w:pPr>
        <w:pStyle w:val="Heading3"/>
      </w:pPr>
      <w:r>
        <w:lastRenderedPageBreak/>
        <w:t>Question:</w:t>
      </w:r>
      <w:r w:rsidR="00E170EF">
        <w:t xml:space="preserve"> What will this change mean for GPs and non-specialist medical practitioners?</w:t>
      </w:r>
    </w:p>
    <w:p w:rsidR="00E170EF" w:rsidRDefault="00E170EF" w:rsidP="00E170EF">
      <w:r>
        <w:t>GPs and non-specialist medical practitioners will have greater flexibility when providing services to isolated patients. The new items will help to overcome restrictions imposed by remoteness and long travel times, allowing doctors to better manage their patients’ health needs.</w:t>
      </w:r>
    </w:p>
    <w:p w:rsidR="00E170EF" w:rsidRDefault="00E170EF" w:rsidP="00E170EF">
      <w:r>
        <w:t>The new items are only available to medical practitioners who have an established clinical relationship with the patient requesting the telehealth consultation. This is to ensure that patients receive services from providers who are familiar with their health needs and are able to provide continuity of care.</w:t>
      </w:r>
    </w:p>
    <w:p w:rsidR="00E170EF" w:rsidRDefault="00E170EF" w:rsidP="00E170EF">
      <w:r>
        <w:t>For the purposes of the new arrangements, “established clinical relationship” means that the patient has had at least three face-to-face consultations in the preceding 12 months with the doctor providing the telehealth consultation.</w:t>
      </w:r>
    </w:p>
    <w:p w:rsidR="00BA5B88" w:rsidRDefault="00E170EF" w:rsidP="00A44A12">
      <w:pPr>
        <w:pStyle w:val="Heading3"/>
      </w:pPr>
      <w:r>
        <w:t xml:space="preserve">Question: </w:t>
      </w:r>
      <w:r w:rsidR="00BA5B88">
        <w:t>Can the new telehealth service be provided by telephone?</w:t>
      </w:r>
    </w:p>
    <w:p w:rsidR="00BA5B88" w:rsidRDefault="00BA5B88" w:rsidP="00BA5B88">
      <w:r>
        <w:t>There is no restriction on the technology or software that doctors and patients use to contact one another. However, the patient and the doctor must be able to both see and hear each other. A Medicare benefit cannot be paid for a telephone-only consultation that does not also include video.</w:t>
      </w:r>
    </w:p>
    <w:p w:rsidR="00BA5B88" w:rsidRPr="00BA5B88" w:rsidRDefault="00BA5B88" w:rsidP="00BA5B88">
      <w:r>
        <w:t>A mobile telephone using any of the variety of video</w:t>
      </w:r>
      <w:r w:rsidR="00E170EF">
        <w:t>-</w:t>
      </w:r>
      <w:r>
        <w:t>conferencing applications would be an acceptable device for providing a telehealth service, so long as the requirement that the service be a video consultation is met.</w:t>
      </w:r>
    </w:p>
    <w:p w:rsidR="00E170EF" w:rsidRDefault="00E170EF" w:rsidP="00E170EF">
      <w:pPr>
        <w:pStyle w:val="Heading3"/>
      </w:pPr>
      <w:r>
        <w:t xml:space="preserve">Question: </w:t>
      </w:r>
      <w:r w:rsidRPr="001A7FB7">
        <w:t>Who was consulted on the changes?</w:t>
      </w:r>
    </w:p>
    <w:p w:rsidR="00E170EF" w:rsidRDefault="00E170EF" w:rsidP="00E170EF">
      <w:r w:rsidRPr="009E658C">
        <w:t xml:space="preserve">The Department </w:t>
      </w:r>
      <w:r>
        <w:t xml:space="preserve">of Health </w:t>
      </w:r>
      <w:r w:rsidRPr="009E658C">
        <w:t>consulted with stakeholders on key elements and principles of the</w:t>
      </w:r>
      <w:r>
        <w:t xml:space="preserve"> new MBS telehealth arrangements for GPs and non-specialist medical </w:t>
      </w:r>
      <w:r w:rsidR="007016B7">
        <w:t>practitioners.</w:t>
      </w:r>
      <w:r w:rsidR="007016B7" w:rsidRPr="009E658C">
        <w:t xml:space="preserve"> This</w:t>
      </w:r>
      <w:r w:rsidRPr="009E658C">
        <w:t xml:space="preserve"> included stakeholders representing general practice</w:t>
      </w:r>
      <w:r>
        <w:t xml:space="preserve"> including</w:t>
      </w:r>
      <w:r w:rsidRPr="009E658C">
        <w:t xml:space="preserve"> the Australian Medical Association, Royal Australian College of General Practitioners and the Australian College of Rural and Remote Medicine</w:t>
      </w:r>
      <w:r>
        <w:t>.</w:t>
      </w:r>
    </w:p>
    <w:p w:rsidR="00E170EF" w:rsidRDefault="00E170EF" w:rsidP="00E170EF">
      <w:pPr>
        <w:pStyle w:val="Heading3"/>
      </w:pPr>
      <w:r>
        <w:t xml:space="preserve">Question: </w:t>
      </w:r>
      <w:r w:rsidRPr="001A7FB7">
        <w:t xml:space="preserve">How will the </w:t>
      </w:r>
      <w:r>
        <w:t xml:space="preserve">new items </w:t>
      </w:r>
      <w:r w:rsidRPr="001A7FB7">
        <w:t>be monitored?</w:t>
      </w:r>
    </w:p>
    <w:p w:rsidR="00E170EF" w:rsidRDefault="00E170EF" w:rsidP="00E170EF">
      <w:r>
        <w:t>The Department of Human Services will monitor the use of the new MBS telehealth items by GPs and non-specialist medical practitioners. Use of the items that does not seem to be in accordance with the relevant Medicare guidelines and legislation will be referred to the Department of Health for appropriate action.</w:t>
      </w:r>
    </w:p>
    <w:p w:rsidR="004E3F35" w:rsidRDefault="004E3F35" w:rsidP="004E3F35"/>
    <w:p w:rsidR="004E3F35" w:rsidRDefault="004E3F35" w:rsidP="004E3F35">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rsidR="004E3F35" w:rsidRPr="0029176A" w:rsidRDefault="004E3F35" w:rsidP="004E3F35">
      <w:pPr>
        <w:pStyle w:val="Disclaimer"/>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date</w:t>
      </w:r>
      <w:r w:rsidRPr="0029176A">
        <w:t>.</w:t>
      </w:r>
    </w:p>
    <w:p w:rsidR="004E3F35" w:rsidRDefault="004E3F35" w:rsidP="004E3F35"/>
    <w:sectPr w:rsidR="004E3F35" w:rsidSect="003E6457">
      <w:headerReference w:type="default" r:id="rId17"/>
      <w:footerReference w:type="default" r:id="rId18"/>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05A" w:rsidRDefault="0013405A" w:rsidP="009111BD">
      <w:r>
        <w:separator/>
      </w:r>
    </w:p>
  </w:endnote>
  <w:endnote w:type="continuationSeparator" w:id="0">
    <w:p w:rsidR="0013405A" w:rsidRDefault="0013405A" w:rsidP="00911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6CA" w:rsidRDefault="00E935AD">
    <w:pPr>
      <w:pStyle w:val="Footer"/>
    </w:pPr>
    <w:r>
      <w:rPr>
        <w:rStyle w:val="BookTitle"/>
        <w:noProof/>
      </w:rPr>
      <w:pict w14:anchorId="21BB6ABC">
        <v:rect id="_x0000_i1026" style="width:523.3pt;height:1.6pt" o:hralign="center" o:hrstd="t" o:hr="t" fillcolor="#a0a0a0" stroked="f"/>
      </w:pict>
    </w:r>
    <w:r w:rsidR="00F546CA">
      <w:t>Medicare Benefits Schedule</w:t>
    </w:r>
  </w:p>
  <w:p w:rsidR="00F546CA" w:rsidRDefault="002B556A" w:rsidP="008B3C98">
    <w:pPr>
      <w:pStyle w:val="Footer"/>
      <w:tabs>
        <w:tab w:val="clear" w:pos="9026"/>
        <w:tab w:val="right" w:pos="10466"/>
      </w:tabs>
    </w:pPr>
    <w:r w:rsidRPr="00AD3D76">
      <w:rPr>
        <w:szCs w:val="16"/>
      </w:rPr>
      <w:t>Telehealth Services Provided by GPs and Non-Specialist Medical Practitioners to Patients in Rural and Remote Areas</w:t>
    </w:r>
    <w:r w:rsidR="00F546CA" w:rsidRPr="00E863C4">
      <w:rPr>
        <w:b/>
      </w:rPr>
      <w:t xml:space="preserve"> – </w:t>
    </w:r>
    <w:r w:rsidR="00765D45" w:rsidRPr="002B556A">
      <w:t>FAQs</w:t>
    </w:r>
    <w:r w:rsidR="00F546CA" w:rsidRPr="00E863C4">
      <w:t xml:space="preserve"> </w:t>
    </w:r>
    <w:r>
      <w:t xml:space="preserve">              </w:t>
    </w:r>
    <w:sdt>
      <w:sdtPr>
        <w:rPr>
          <w:b/>
        </w:rPr>
        <w:id w:val="-1769616900"/>
        <w:docPartObj>
          <w:docPartGallery w:val="Page Numbers (Top of Page)"/>
          <w:docPartUnique/>
        </w:docPartObj>
      </w:sdtPr>
      <w:sdtEndPr/>
      <w:sdtContent>
        <w:r w:rsidRPr="002B556A">
          <w:rPr>
            <w:b/>
          </w:rPr>
          <w:t xml:space="preserve">Page </w:t>
        </w:r>
        <w:r w:rsidRPr="002B556A">
          <w:rPr>
            <w:b/>
            <w:bCs/>
            <w:sz w:val="24"/>
            <w:szCs w:val="24"/>
          </w:rPr>
          <w:fldChar w:fldCharType="begin"/>
        </w:r>
        <w:r w:rsidRPr="002B556A">
          <w:rPr>
            <w:b/>
            <w:bCs/>
          </w:rPr>
          <w:instrText xml:space="preserve"> PAGE </w:instrText>
        </w:r>
        <w:r w:rsidRPr="002B556A">
          <w:rPr>
            <w:b/>
            <w:bCs/>
            <w:sz w:val="24"/>
            <w:szCs w:val="24"/>
          </w:rPr>
          <w:fldChar w:fldCharType="separate"/>
        </w:r>
        <w:r w:rsidR="00E935AD">
          <w:rPr>
            <w:b/>
            <w:bCs/>
            <w:noProof/>
          </w:rPr>
          <w:t>3</w:t>
        </w:r>
        <w:r w:rsidRPr="002B556A">
          <w:rPr>
            <w:b/>
            <w:bCs/>
            <w:sz w:val="24"/>
            <w:szCs w:val="24"/>
          </w:rPr>
          <w:fldChar w:fldCharType="end"/>
        </w:r>
        <w:r w:rsidRPr="002B556A">
          <w:rPr>
            <w:b/>
          </w:rPr>
          <w:t xml:space="preserve"> of </w:t>
        </w:r>
        <w:r w:rsidRPr="002B556A">
          <w:rPr>
            <w:b/>
            <w:bCs/>
            <w:sz w:val="24"/>
            <w:szCs w:val="24"/>
          </w:rPr>
          <w:fldChar w:fldCharType="begin"/>
        </w:r>
        <w:r w:rsidRPr="002B556A">
          <w:rPr>
            <w:b/>
            <w:bCs/>
          </w:rPr>
          <w:instrText xml:space="preserve"> NUMPAGES  </w:instrText>
        </w:r>
        <w:r w:rsidRPr="002B556A">
          <w:rPr>
            <w:b/>
            <w:bCs/>
            <w:sz w:val="24"/>
            <w:szCs w:val="24"/>
          </w:rPr>
          <w:fldChar w:fldCharType="separate"/>
        </w:r>
        <w:r w:rsidR="00E935AD">
          <w:rPr>
            <w:b/>
            <w:bCs/>
            <w:noProof/>
          </w:rPr>
          <w:t>3</w:t>
        </w:r>
        <w:r w:rsidRPr="002B556A">
          <w:rPr>
            <w:b/>
            <w:bCs/>
            <w:sz w:val="24"/>
            <w:szCs w:val="24"/>
          </w:rPr>
          <w:fldChar w:fldCharType="end"/>
        </w:r>
      </w:sdtContent>
    </w:sdt>
    <w:r>
      <w:t xml:space="preserve"> </w:t>
    </w:r>
  </w:p>
  <w:p w:rsidR="00B83C75" w:rsidRDefault="00E935AD">
    <w:pPr>
      <w:pStyle w:val="Footer"/>
      <w:rPr>
        <w:rStyle w:val="Hyperlink"/>
        <w:szCs w:val="18"/>
      </w:rPr>
    </w:pPr>
    <w:hyperlink r:id="rId1" w:history="1">
      <w:r w:rsidR="00F546CA" w:rsidRPr="00E863C4">
        <w:rPr>
          <w:rStyle w:val="Hyperlink"/>
          <w:szCs w:val="18"/>
        </w:rPr>
        <w:t>MBS Online</w:t>
      </w:r>
    </w:hyperlink>
  </w:p>
  <w:p w:rsidR="00A059D1" w:rsidRPr="00A059D1" w:rsidRDefault="002B556A">
    <w:pPr>
      <w:pStyle w:val="Footer"/>
    </w:pPr>
    <w:r w:rsidRPr="00870B05">
      <w:t>Last updated</w:t>
    </w:r>
    <w:r>
      <w:t xml:space="preserve"> – </w:t>
    </w:r>
    <w:r w:rsidR="00551BBB">
      <w:t xml:space="preserve">2 October </w:t>
    </w:r>
    <w:r w:rsidRPr="00681A80">
      <w:t>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05A" w:rsidRDefault="0013405A" w:rsidP="00C812D8">
      <w:r>
        <w:separator/>
      </w:r>
    </w:p>
  </w:footnote>
  <w:footnote w:type="continuationSeparator" w:id="0">
    <w:p w:rsidR="0013405A" w:rsidRDefault="0013405A" w:rsidP="00C81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088" w:rsidRDefault="00823C9E">
    <w:pPr>
      <w:pStyle w:val="Header"/>
    </w:pPr>
    <w:r w:rsidRPr="00113A85">
      <w:rPr>
        <w:noProof/>
        <w:lang w:eastAsia="en-AU"/>
      </w:rPr>
      <mc:AlternateContent>
        <mc:Choice Requires="wps">
          <w:drawing>
            <wp:anchor distT="0" distB="0" distL="114300" distR="114300" simplePos="0" relativeHeight="251657728" behindDoc="0" locked="0" layoutInCell="1" allowOverlap="1" wp14:anchorId="057C3021" wp14:editId="0ECC487F">
              <wp:simplePos x="0" y="0"/>
              <wp:positionH relativeFrom="column">
                <wp:align>right</wp:align>
              </wp:positionH>
              <wp:positionV relativeFrom="paragraph">
                <wp:posOffset>-288646</wp:posOffset>
              </wp:positionV>
              <wp:extent cx="3124800" cy="1285200"/>
              <wp:effectExtent l="0" t="0" r="0" b="0"/>
              <wp:wrapNone/>
              <wp:docPr id="6" name="Title 3">
                <a:extLst xmlns:a="http://schemas.openxmlformats.org/drawingml/2006/main"/>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124800" cy="1285200"/>
                      </a:xfrm>
                      <a:prstGeom prst="rect">
                        <a:avLst/>
                      </a:prstGeom>
                    </wps:spPr>
                    <wps:txbx>
                      <w:txbxContent>
                        <w:p w:rsidR="00823C9E" w:rsidRDefault="00823C9E" w:rsidP="002477CE">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Frequently asked questions</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057C3021" id="Title 3" o:spid="_x0000_s1026" style="position:absolute;margin-left:194.85pt;margin-top:-22.75pt;width:246.05pt;height:101.2pt;z-index:25165772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" filled="f" stroked="f">
              <v:path arrowok="t"/>
              <o:lock v:ext="edit" grouping="t"/>
              <v:textbox>
                <w:txbxContent>
                  <w:p w:rsidR="00823C9E" w:rsidRDefault="00823C9E" w:rsidP="002477CE">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Frequently asked questions</w:t>
                    </w:r>
                  </w:p>
                </w:txbxContent>
              </v:textbox>
            </v:rect>
          </w:pict>
        </mc:Fallback>
      </mc:AlternateContent>
    </w:r>
    <w:r w:rsidR="006D1088" w:rsidRPr="006D1088">
      <w:rPr>
        <w:noProof/>
        <w:lang w:eastAsia="en-AU"/>
      </w:rPr>
      <w:drawing>
        <wp:anchor distT="0" distB="0" distL="114300" distR="114300" simplePos="0" relativeHeight="251656704" behindDoc="1" locked="0" layoutInCell="1" allowOverlap="1" wp14:anchorId="63F166A6" wp14:editId="1BC6BB98">
          <wp:simplePos x="0" y="0"/>
          <wp:positionH relativeFrom="page">
            <wp:align>left</wp:align>
          </wp:positionH>
          <wp:positionV relativeFrom="paragraph">
            <wp:posOffset>-449580</wp:posOffset>
          </wp:positionV>
          <wp:extent cx="7643250" cy="1611213"/>
          <wp:effectExtent l="0" t="0" r="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A202E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778A2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AB5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62B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28D1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B0F1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C21A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A0F9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4EC1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F46D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E35A91"/>
    <w:multiLevelType w:val="hybridMultilevel"/>
    <w:tmpl w:val="A9B86440"/>
    <w:lvl w:ilvl="0" w:tplc="57E204F2">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9BC50A2"/>
    <w:multiLevelType w:val="hybridMultilevel"/>
    <w:tmpl w:val="574EC2F6"/>
    <w:lvl w:ilvl="0" w:tplc="F6B4FC8E">
      <w:start w:val="1"/>
      <w:numFmt w:val="bullet"/>
      <w:lvlText w:val=""/>
      <w:lvlJc w:val="left"/>
      <w:pPr>
        <w:ind w:left="720" w:hanging="360"/>
      </w:pPr>
      <w:rPr>
        <w:rFonts w:ascii="Symbol" w:hAnsi="Symbol" w:hint="default"/>
        <w:color w:val="11725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17B66D3"/>
    <w:multiLevelType w:val="hybridMultilevel"/>
    <w:tmpl w:val="C6F080A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removePersonalInformation/>
  <w:removeDateAndTime/>
  <w:hideSpelling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05A"/>
    <w:rsid w:val="00035D0B"/>
    <w:rsid w:val="00035E7D"/>
    <w:rsid w:val="00045810"/>
    <w:rsid w:val="000B01AE"/>
    <w:rsid w:val="000B4C5D"/>
    <w:rsid w:val="000C2143"/>
    <w:rsid w:val="000D1778"/>
    <w:rsid w:val="001072B5"/>
    <w:rsid w:val="00121100"/>
    <w:rsid w:val="00124E0B"/>
    <w:rsid w:val="00125BF5"/>
    <w:rsid w:val="00132B6A"/>
    <w:rsid w:val="0013405A"/>
    <w:rsid w:val="00135417"/>
    <w:rsid w:val="001432AF"/>
    <w:rsid w:val="00151072"/>
    <w:rsid w:val="00155BD4"/>
    <w:rsid w:val="00166EEA"/>
    <w:rsid w:val="0017279A"/>
    <w:rsid w:val="00181B52"/>
    <w:rsid w:val="0018569E"/>
    <w:rsid w:val="0019170A"/>
    <w:rsid w:val="001A61B5"/>
    <w:rsid w:val="001A7FB7"/>
    <w:rsid w:val="001B0B09"/>
    <w:rsid w:val="001B31D3"/>
    <w:rsid w:val="001B6250"/>
    <w:rsid w:val="001F49E8"/>
    <w:rsid w:val="00200902"/>
    <w:rsid w:val="00203F3E"/>
    <w:rsid w:val="00214B52"/>
    <w:rsid w:val="00215118"/>
    <w:rsid w:val="00217AD2"/>
    <w:rsid w:val="002477CE"/>
    <w:rsid w:val="0026502E"/>
    <w:rsid w:val="002A3C7C"/>
    <w:rsid w:val="002A5A70"/>
    <w:rsid w:val="002B556A"/>
    <w:rsid w:val="002D40C4"/>
    <w:rsid w:val="002F0904"/>
    <w:rsid w:val="002F1213"/>
    <w:rsid w:val="002F4588"/>
    <w:rsid w:val="00352174"/>
    <w:rsid w:val="00360408"/>
    <w:rsid w:val="00363819"/>
    <w:rsid w:val="00374AE3"/>
    <w:rsid w:val="003B56AD"/>
    <w:rsid w:val="003D300C"/>
    <w:rsid w:val="003D5CEF"/>
    <w:rsid w:val="003E0945"/>
    <w:rsid w:val="003E601E"/>
    <w:rsid w:val="003E6457"/>
    <w:rsid w:val="00425089"/>
    <w:rsid w:val="00427D7F"/>
    <w:rsid w:val="004324B6"/>
    <w:rsid w:val="0043744D"/>
    <w:rsid w:val="00445086"/>
    <w:rsid w:val="00461212"/>
    <w:rsid w:val="00494B72"/>
    <w:rsid w:val="004A1348"/>
    <w:rsid w:val="004B243F"/>
    <w:rsid w:val="004B401F"/>
    <w:rsid w:val="004D2C7C"/>
    <w:rsid w:val="004D71C4"/>
    <w:rsid w:val="004E3F35"/>
    <w:rsid w:val="004E52A2"/>
    <w:rsid w:val="004F0AA6"/>
    <w:rsid w:val="005261D0"/>
    <w:rsid w:val="0054242B"/>
    <w:rsid w:val="00542F07"/>
    <w:rsid w:val="00550525"/>
    <w:rsid w:val="00551BBB"/>
    <w:rsid w:val="0056074F"/>
    <w:rsid w:val="00595BBD"/>
    <w:rsid w:val="005D0893"/>
    <w:rsid w:val="006173AC"/>
    <w:rsid w:val="0062100F"/>
    <w:rsid w:val="00634880"/>
    <w:rsid w:val="00655D74"/>
    <w:rsid w:val="00681A80"/>
    <w:rsid w:val="00684D37"/>
    <w:rsid w:val="006D04CC"/>
    <w:rsid w:val="006D1088"/>
    <w:rsid w:val="006D1EAA"/>
    <w:rsid w:val="006F117C"/>
    <w:rsid w:val="006F5785"/>
    <w:rsid w:val="007016B7"/>
    <w:rsid w:val="00713E99"/>
    <w:rsid w:val="0071729D"/>
    <w:rsid w:val="00726103"/>
    <w:rsid w:val="007354A6"/>
    <w:rsid w:val="00736D31"/>
    <w:rsid w:val="0076373A"/>
    <w:rsid w:val="00765A2C"/>
    <w:rsid w:val="00765D45"/>
    <w:rsid w:val="00792AF9"/>
    <w:rsid w:val="007B6DBE"/>
    <w:rsid w:val="007D1D3A"/>
    <w:rsid w:val="00823C9E"/>
    <w:rsid w:val="0082584A"/>
    <w:rsid w:val="008352AC"/>
    <w:rsid w:val="00852651"/>
    <w:rsid w:val="008673DC"/>
    <w:rsid w:val="00881219"/>
    <w:rsid w:val="008957B9"/>
    <w:rsid w:val="008B0C18"/>
    <w:rsid w:val="008B3C98"/>
    <w:rsid w:val="008F1594"/>
    <w:rsid w:val="008F4B45"/>
    <w:rsid w:val="009000AA"/>
    <w:rsid w:val="00907B4A"/>
    <w:rsid w:val="009111BD"/>
    <w:rsid w:val="00942A31"/>
    <w:rsid w:val="009562F4"/>
    <w:rsid w:val="009705CD"/>
    <w:rsid w:val="00971D9E"/>
    <w:rsid w:val="009B51E7"/>
    <w:rsid w:val="009D0B98"/>
    <w:rsid w:val="009D6523"/>
    <w:rsid w:val="009E66EE"/>
    <w:rsid w:val="009E6DE2"/>
    <w:rsid w:val="009E7E6A"/>
    <w:rsid w:val="00A059D1"/>
    <w:rsid w:val="00A368AC"/>
    <w:rsid w:val="00A37CE3"/>
    <w:rsid w:val="00A44A12"/>
    <w:rsid w:val="00A64177"/>
    <w:rsid w:val="00A66A40"/>
    <w:rsid w:val="00A7172E"/>
    <w:rsid w:val="00A91196"/>
    <w:rsid w:val="00AA41CD"/>
    <w:rsid w:val="00AA5232"/>
    <w:rsid w:val="00AB0197"/>
    <w:rsid w:val="00AE5266"/>
    <w:rsid w:val="00AF701F"/>
    <w:rsid w:val="00B15CE8"/>
    <w:rsid w:val="00B23662"/>
    <w:rsid w:val="00B23A4C"/>
    <w:rsid w:val="00B31FBA"/>
    <w:rsid w:val="00B54073"/>
    <w:rsid w:val="00B83C75"/>
    <w:rsid w:val="00B83E3D"/>
    <w:rsid w:val="00B90DB5"/>
    <w:rsid w:val="00BA1B9D"/>
    <w:rsid w:val="00BA5B88"/>
    <w:rsid w:val="00BB25DE"/>
    <w:rsid w:val="00BC50C1"/>
    <w:rsid w:val="00BD1C20"/>
    <w:rsid w:val="00BD615D"/>
    <w:rsid w:val="00BF00A9"/>
    <w:rsid w:val="00BF315E"/>
    <w:rsid w:val="00BF426F"/>
    <w:rsid w:val="00C06A31"/>
    <w:rsid w:val="00C11326"/>
    <w:rsid w:val="00C11532"/>
    <w:rsid w:val="00C30874"/>
    <w:rsid w:val="00C4019B"/>
    <w:rsid w:val="00C66190"/>
    <w:rsid w:val="00C812D8"/>
    <w:rsid w:val="00CA184A"/>
    <w:rsid w:val="00CC39C8"/>
    <w:rsid w:val="00CC64FF"/>
    <w:rsid w:val="00CE245E"/>
    <w:rsid w:val="00D007B9"/>
    <w:rsid w:val="00D3244E"/>
    <w:rsid w:val="00D60A61"/>
    <w:rsid w:val="00D61AC4"/>
    <w:rsid w:val="00D67E9A"/>
    <w:rsid w:val="00D76659"/>
    <w:rsid w:val="00DA50D6"/>
    <w:rsid w:val="00DB1459"/>
    <w:rsid w:val="00DB54A4"/>
    <w:rsid w:val="00DC356C"/>
    <w:rsid w:val="00DC44FF"/>
    <w:rsid w:val="00DE22E2"/>
    <w:rsid w:val="00DE5DB8"/>
    <w:rsid w:val="00DF334A"/>
    <w:rsid w:val="00DF7C32"/>
    <w:rsid w:val="00E0526C"/>
    <w:rsid w:val="00E170EF"/>
    <w:rsid w:val="00E36807"/>
    <w:rsid w:val="00E430A2"/>
    <w:rsid w:val="00E91EC8"/>
    <w:rsid w:val="00E935AD"/>
    <w:rsid w:val="00EA5306"/>
    <w:rsid w:val="00EA5B3B"/>
    <w:rsid w:val="00EB67E4"/>
    <w:rsid w:val="00EC2DBE"/>
    <w:rsid w:val="00F074CE"/>
    <w:rsid w:val="00F07E89"/>
    <w:rsid w:val="00F33D07"/>
    <w:rsid w:val="00F50994"/>
    <w:rsid w:val="00F546CA"/>
    <w:rsid w:val="00F57D06"/>
    <w:rsid w:val="00F6106A"/>
    <w:rsid w:val="00F74AD4"/>
    <w:rsid w:val="00F93F71"/>
    <w:rsid w:val="00FB4CB1"/>
    <w:rsid w:val="00FD1E77"/>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A2C"/>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3"/>
    <w:qFormat/>
    <w:rsid w:val="008B3C98"/>
    <w:pPr>
      <w:keepNext/>
      <w:keepLines/>
      <w:tabs>
        <w:tab w:val="left" w:pos="6766"/>
      </w:tabs>
      <w:spacing w:before="240" w:after="120" w:line="240" w:lineRule="auto"/>
      <w:outlineLvl w:val="0"/>
    </w:pPr>
    <w:rPr>
      <w:rFonts w:asciiTheme="majorHAnsi" w:eastAsiaTheme="majorEastAsia" w:hAnsiTheme="majorHAnsi" w:cstheme="majorBidi"/>
      <w:color w:val="001A70" w:themeColor="text2"/>
      <w:sz w:val="52"/>
      <w:szCs w:val="40"/>
    </w:rPr>
  </w:style>
  <w:style w:type="paragraph" w:styleId="Heading2">
    <w:name w:val="heading 2"/>
    <w:basedOn w:val="Normal"/>
    <w:next w:val="Normal"/>
    <w:link w:val="Heading2Char"/>
    <w:uiPriority w:val="9"/>
    <w:unhideWhenUsed/>
    <w:qFormat/>
    <w:rsid w:val="00765A2C"/>
    <w:pPr>
      <w:keepNext/>
      <w:spacing w:before="240" w:after="120"/>
      <w:outlineLvl w:val="1"/>
    </w:pPr>
    <w:rPr>
      <w:noProof/>
      <w:color w:val="001A70" w:themeColor="text2"/>
      <w:sz w:val="28"/>
    </w:rPr>
  </w:style>
  <w:style w:type="paragraph" w:styleId="Heading3">
    <w:name w:val="heading 3"/>
    <w:basedOn w:val="Normal"/>
    <w:next w:val="Normal"/>
    <w:link w:val="Heading3Char"/>
    <w:uiPriority w:val="9"/>
    <w:unhideWhenUsed/>
    <w:qFormat/>
    <w:rsid w:val="00765A2C"/>
    <w:pPr>
      <w:keepNext/>
      <w:spacing w:before="240" w:after="120"/>
      <w:outlineLvl w:val="2"/>
    </w:pPr>
    <w:rPr>
      <w:b/>
      <w:i/>
      <w:noProof/>
      <w:color w:val="001A70" w:themeColor="text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4E3F35"/>
    <w:rPr>
      <w:rFonts w:asciiTheme="majorHAnsi" w:eastAsiaTheme="majorEastAsia" w:hAnsiTheme="majorHAnsi" w:cstheme="majorBidi"/>
      <w:color w:val="001A70" w:themeColor="text2"/>
      <w:sz w:val="52"/>
      <w:szCs w:val="40"/>
    </w:rPr>
  </w:style>
  <w:style w:type="paragraph" w:styleId="ListParagraph">
    <w:name w:val="List Paragraph"/>
    <w:basedOn w:val="Normal"/>
    <w:qFormat/>
    <w:rsid w:val="00DE5DB8"/>
    <w:pPr>
      <w:numPr>
        <w:numId w:val="1"/>
      </w:numPr>
      <w:spacing w:after="60"/>
    </w:pPr>
  </w:style>
  <w:style w:type="character" w:customStyle="1" w:styleId="Heading2Char">
    <w:name w:val="Heading 2 Char"/>
    <w:basedOn w:val="DefaultParagraphFont"/>
    <w:link w:val="Heading2"/>
    <w:uiPriority w:val="9"/>
    <w:rsid w:val="008B3C98"/>
    <w:rPr>
      <w:rFonts w:ascii="Arial" w:eastAsiaTheme="minorEastAsia" w:hAnsi="Arial"/>
      <w:noProof/>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uiPriority w:val="99"/>
    <w:unhideWhenUsed/>
    <w:rsid w:val="00CE245E"/>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CE245E"/>
    <w:rPr>
      <w:rFonts w:ascii="Arial" w:eastAsiaTheme="minorEastAsia" w:hAnsi="Arial"/>
      <w:color w:val="001A70" w:themeColor="text2"/>
      <w:sz w:val="16"/>
      <w:szCs w:val="21"/>
    </w:rPr>
  </w:style>
  <w:style w:type="paragraph" w:styleId="Title">
    <w:name w:val="Title"/>
    <w:basedOn w:val="Normal"/>
    <w:next w:val="Normal"/>
    <w:link w:val="TitleChar"/>
    <w:autoRedefine/>
    <w:rsid w:val="00C812D8"/>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C812D8"/>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customStyle="1" w:styleId="Heading3Char">
    <w:name w:val="Heading 3 Char"/>
    <w:basedOn w:val="DefaultParagraphFont"/>
    <w:link w:val="Heading3"/>
    <w:uiPriority w:val="9"/>
    <w:rsid w:val="00A44A12"/>
    <w:rPr>
      <w:rFonts w:ascii="Arial" w:eastAsiaTheme="minorEastAsia" w:hAnsi="Arial"/>
      <w:b/>
      <w:i/>
      <w:noProof/>
      <w:color w:val="001A70" w:themeColor="text2"/>
      <w:szCs w:val="21"/>
    </w:rPr>
  </w:style>
  <w:style w:type="character" w:styleId="Hyperlink">
    <w:name w:val="Hyperlink"/>
    <w:basedOn w:val="DefaultParagraphFont"/>
    <w:uiPriority w:val="99"/>
    <w:unhideWhenUsed/>
    <w:rsid w:val="00B83C75"/>
    <w:rPr>
      <w:color w:val="7D2248" w:themeColor="hyperlink"/>
      <w:u w:val="single"/>
    </w:rPr>
  </w:style>
  <w:style w:type="character" w:customStyle="1" w:styleId="UnresolvedMention1">
    <w:name w:val="Unresolved Mention1"/>
    <w:basedOn w:val="DefaultParagraphFont"/>
    <w:uiPriority w:val="99"/>
    <w:semiHidden/>
    <w:unhideWhenUsed/>
    <w:rsid w:val="00215118"/>
    <w:rPr>
      <w:color w:val="808080"/>
      <w:shd w:val="clear" w:color="auto" w:fill="E6E6E6"/>
    </w:rPr>
  </w:style>
  <w:style w:type="character" w:styleId="FollowedHyperlink">
    <w:name w:val="FollowedHyperlink"/>
    <w:basedOn w:val="DefaultParagraphFont"/>
    <w:uiPriority w:val="99"/>
    <w:semiHidden/>
    <w:unhideWhenUsed/>
    <w:rsid w:val="00215118"/>
    <w:rPr>
      <w:color w:val="5F259F" w:themeColor="followedHyperlink"/>
      <w:u w:val="single"/>
    </w:rPr>
  </w:style>
  <w:style w:type="paragraph" w:customStyle="1" w:styleId="Disclaimer">
    <w:name w:val="Disclaimer"/>
    <w:basedOn w:val="Normal"/>
    <w:uiPriority w:val="10"/>
    <w:qFormat/>
    <w:rsid w:val="004E3F35"/>
    <w:pPr>
      <w:ind w:left="567" w:right="1394"/>
    </w:pPr>
    <w:rPr>
      <w:i/>
      <w:sz w:val="16"/>
      <w:szCs w:val="16"/>
    </w:rPr>
  </w:style>
  <w:style w:type="paragraph" w:styleId="NormalWeb">
    <w:name w:val="Normal (Web)"/>
    <w:basedOn w:val="Normal"/>
    <w:uiPriority w:val="99"/>
    <w:semiHidden/>
    <w:unhideWhenUsed/>
    <w:rsid w:val="00823C9E"/>
    <w:pPr>
      <w:spacing w:before="100" w:beforeAutospacing="1" w:after="100" w:afterAutospacing="1" w:line="240" w:lineRule="auto"/>
    </w:pPr>
    <w:rPr>
      <w:rFonts w:ascii="Times New Roman" w:hAnsi="Times New Roman" w:cs="Times New Roman"/>
      <w:sz w:val="24"/>
      <w:szCs w:val="24"/>
      <w:lang w:eastAsia="en-AU"/>
    </w:rPr>
  </w:style>
  <w:style w:type="character" w:customStyle="1" w:styleId="AmendedItemNumber">
    <w:name w:val="Amended Item Number"/>
    <w:basedOn w:val="DefaultParagraphFont"/>
    <w:uiPriority w:val="2"/>
    <w:qFormat/>
    <w:rsid w:val="00765A2C"/>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character" w:customStyle="1" w:styleId="DeletedItemNumber">
    <w:name w:val="Deleted Item Number"/>
    <w:basedOn w:val="DefaultParagraphFont"/>
    <w:uiPriority w:val="2"/>
    <w:qFormat/>
    <w:rsid w:val="00765A2C"/>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NEWItemNumber">
    <w:name w:val="NEW Item Number"/>
    <w:basedOn w:val="DefaultParagraphFont"/>
    <w:uiPriority w:val="2"/>
    <w:qFormat/>
    <w:rsid w:val="00765A2C"/>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table" w:styleId="TableGrid">
    <w:name w:val="Table Grid"/>
    <w:basedOn w:val="TableNormal"/>
    <w:uiPriority w:val="39"/>
    <w:rsid w:val="00B54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72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bsonline.gov.au"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skMBS@health.gov.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bsonline.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bsonline.gov.au/internet/mbsonline/publishing.nsf/Content/969E54CE797B2A25CA2584860019AD02/$File/Factsheet%20-%20GP%20Telehealth%20Items%20in%20MMM%206%20and%207.pdf" TargetMode="External"/><Relationship Id="rId5" Type="http://schemas.openxmlformats.org/officeDocument/2006/relationships/numbering" Target="numbering.xml"/><Relationship Id="rId15" Type="http://schemas.openxmlformats.org/officeDocument/2006/relationships/hyperlink" Target="https://www.health.gov.au/resources/apps-and-tools/health-workforce-locator/health-workforce-locato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bsonline.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348d9c-1cc5-4b3b-8e15-6dd12d470b88"/>
    <TaxKeywordTaxHTField xmlns="81348d9c-1cc5-4b3b-8e15-6dd12d470b88">
      <Terms xmlns="http://schemas.microsoft.com/office/infopath/2007/PartnerControls"/>
    </TaxKeywordTaxHTField>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NPS Document" ma:contentTypeID="0x01010081989C2BD4E57C4CBCC679DFC77B692A0097F4490F998C2F43AD8BB2389CDC5E22" ma:contentTypeVersion="1" ma:contentTypeDescription="" ma:contentTypeScope="" ma:versionID="8cff5036f0a01378bc27d069de34377f">
  <xsd:schema xmlns:xsd="http://www.w3.org/2001/XMLSchema" xmlns:xs="http://www.w3.org/2001/XMLSchema" xmlns:p="http://schemas.microsoft.com/office/2006/metadata/properties" xmlns:ns3="81348d9c-1cc5-4b3b-8e15-6dd12d470b88" xmlns:ns4="F2369729-DF80-4B8A-A689-02F021C983F4" xmlns:ns5="http://schemas.microsoft.com/sharepoint/v4" targetNamespace="http://schemas.microsoft.com/office/2006/metadata/properties" ma:root="true" ma:fieldsID="74277ec3b4c456cf6d26275b124a1bf1" ns3:_="" ns4:_="" ns5:_="">
    <xsd:import namespace="81348d9c-1cc5-4b3b-8e15-6dd12d470b88"/>
    <xsd:import namespace="F2369729-DF80-4B8A-A689-02F021C983F4"/>
    <xsd:import namespace="http://schemas.microsoft.com/sharepoint/v4"/>
    <xsd:element name="properties">
      <xsd:complexType>
        <xsd:sequence>
          <xsd:element name="documentManagement">
            <xsd:complexType>
              <xsd:all>
                <xsd:element ref="ns3:TaxKeywordTaxHTField" minOccurs="0"/>
                <xsd:element ref="ns3:TaxCatchAll" minOccurs="0"/>
                <xsd:element ref="ns3:TaxCatchAllLabel" minOccurs="0"/>
                <xsd:element ref="ns4:MediaServiceMetadata" minOccurs="0"/>
                <xsd:element ref="ns4:MediaServiceFastMetadata"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48d9c-1cc5-4b3b-8e15-6dd12d470b88"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afef6c28-b4e4-441e-a1b8-fd823a81cf53"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fefef506-6a88-44c1-a29d-b2d983ca1247}" ma:internalName="TaxCatchAll" ma:showField="CatchAllData" ma:web="81348d9c-1cc5-4b3b-8e15-6dd12d470b8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efef506-6a88-44c1-a29d-b2d983ca1247}" ma:internalName="TaxCatchAllLabel" ma:readOnly="true" ma:showField="CatchAllDataLabel" ma:web="81348d9c-1cc5-4b3b-8e15-6dd12d470b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369729-DF80-4B8A-A689-02F021C983F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E76AE-7ADE-40CC-888F-082E248A3B76}">
  <ds:schemaRefs>
    <ds:schemaRef ds:uri="http://purl.org/dc/dcmitype/"/>
    <ds:schemaRef ds:uri="http://schemas.microsoft.com/sharepoint/v4"/>
    <ds:schemaRef ds:uri="http://schemas.microsoft.com/office/2006/documentManagement/types"/>
    <ds:schemaRef ds:uri="http://purl.org/dc/elements/1.1/"/>
    <ds:schemaRef ds:uri="http://schemas.microsoft.com/office/2006/metadata/properties"/>
    <ds:schemaRef ds:uri="http://schemas.microsoft.com/office/infopath/2007/PartnerControls"/>
    <ds:schemaRef ds:uri="F2369729-DF80-4B8A-A689-02F021C983F4"/>
    <ds:schemaRef ds:uri="http://purl.org/dc/terms/"/>
    <ds:schemaRef ds:uri="http://schemas.openxmlformats.org/package/2006/metadata/core-properties"/>
    <ds:schemaRef ds:uri="81348d9c-1cc5-4b3b-8e15-6dd12d470b88"/>
    <ds:schemaRef ds:uri="http://www.w3.org/XML/1998/namespace"/>
  </ds:schemaRefs>
</ds:datastoreItem>
</file>

<file path=customXml/itemProps2.xml><?xml version="1.0" encoding="utf-8"?>
<ds:datastoreItem xmlns:ds="http://schemas.openxmlformats.org/officeDocument/2006/customXml" ds:itemID="{97F6C793-56E7-47E2-9F63-F8873EAA4CCE}">
  <ds:schemaRefs>
    <ds:schemaRef ds:uri="http://schemas.microsoft.com/sharepoint/v3/contenttype/forms"/>
  </ds:schemaRefs>
</ds:datastoreItem>
</file>

<file path=customXml/itemProps3.xml><?xml version="1.0" encoding="utf-8"?>
<ds:datastoreItem xmlns:ds="http://schemas.openxmlformats.org/officeDocument/2006/customXml" ds:itemID="{653AE349-D759-4F83-9A38-9F58C30B8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48d9c-1cc5-4b3b-8e15-6dd12d470b88"/>
    <ds:schemaRef ds:uri="F2369729-DF80-4B8A-A689-02F021C983F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E08E75-3403-4C26-AFA3-A8BCBDE20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1135</Words>
  <Characters>6474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2019-10-01T05:10:00Z</dcterms:created>
  <dcterms:modified xsi:type="dcterms:W3CDTF">2019-10-15T04:55:00Z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8943191780d475987777758a28d909c">
    <vt:lpwstr/>
  </property>
  <property fmtid="{D5CDD505-2E9C-101B-9397-08002B2CF9AE}" pid="3" name="TaxKeyword">
    <vt:lpwstr/>
  </property>
  <property fmtid="{D5CDD505-2E9C-101B-9397-08002B2CF9AE}" pid="4" name="Audience1">
    <vt:lpwstr/>
  </property>
  <property fmtid="{D5CDD505-2E9C-101B-9397-08002B2CF9AE}" pid="5" name="OutputType">
    <vt:lpwstr/>
  </property>
  <property fmtid="{D5CDD505-2E9C-101B-9397-08002B2CF9AE}" pid="6" name="AuthorIds_UIVersion_3">
    <vt:lpwstr>380</vt:lpwstr>
  </property>
  <property fmtid="{D5CDD505-2E9C-101B-9397-08002B2CF9AE}" pid="7" name="ContentTypeId">
    <vt:lpwstr>0x01010081989C2BD4E57C4CBCC679DFC77B692A0097F4490F998C2F43AD8BB2389CDC5E22</vt:lpwstr>
  </property>
  <property fmtid="{D5CDD505-2E9C-101B-9397-08002B2CF9AE}" pid="8" name="AuthorIds_UIVersion_1">
    <vt:lpwstr>380</vt:lpwstr>
  </property>
  <property fmtid="{D5CDD505-2E9C-101B-9397-08002B2CF9AE}" pid="9" name="MedicalTopic">
    <vt:lpwstr/>
  </property>
  <property fmtid="{D5CDD505-2E9C-101B-9397-08002B2CF9AE}" pid="10" name="fa6c1b8b0cc2431d9705c8a16216ef94">
    <vt:lpwstr/>
  </property>
  <property fmtid="{D5CDD505-2E9C-101B-9397-08002B2CF9AE}" pid="11" name="ae87646631494269b32b7096ed1c6c63">
    <vt:lpwstr/>
  </property>
</Properties>
</file>