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3A4" w:rsidRDefault="002D7CCB" w:rsidP="00AB53A4">
      <w:pPr>
        <w:pStyle w:val="Heading1"/>
      </w:pPr>
      <w:r>
        <w:t>Change</w:t>
      </w:r>
      <w:r w:rsidR="008E0A34">
        <w:t>s</w:t>
      </w:r>
      <w:r>
        <w:t xml:space="preserve"> to </w:t>
      </w:r>
      <w:r w:rsidR="00285471">
        <w:t>MBS</w:t>
      </w:r>
      <w:r w:rsidR="002E2BD3">
        <w:t xml:space="preserve"> </w:t>
      </w:r>
      <w:r w:rsidR="008E0A34">
        <w:t>colonoscopy items</w:t>
      </w:r>
      <w:r w:rsidR="00E2774C">
        <w:t xml:space="preserve"> factsheet</w:t>
      </w:r>
    </w:p>
    <w:p w:rsidR="00907B4A" w:rsidRPr="00AB53A4" w:rsidRDefault="00907B4A" w:rsidP="00AB53A4">
      <w:bookmarkStart w:id="0" w:name="_Hlk4568006"/>
      <w:r>
        <w:t xml:space="preserve">Last updated: </w:t>
      </w:r>
      <w:r w:rsidR="003C2C9B">
        <w:t>21 December</w:t>
      </w:r>
      <w:r w:rsidR="002E2BD3">
        <w:t xml:space="preserve"> 2020</w:t>
      </w:r>
    </w:p>
    <w:p w:rsidR="00777CB5" w:rsidRDefault="006C1173" w:rsidP="006C1173">
      <w:pPr>
        <w:numPr>
          <w:ilvl w:val="0"/>
          <w:numId w:val="1"/>
        </w:numPr>
        <w:spacing w:after="60"/>
      </w:pPr>
      <w:bookmarkStart w:id="1" w:name="_Hlk535506978"/>
      <w:bookmarkEnd w:id="0"/>
      <w:r>
        <w:t>From 1 March 2021</w:t>
      </w:r>
      <w:r w:rsidRPr="002E2BD3">
        <w:t xml:space="preserve">, </w:t>
      </w:r>
      <w:r w:rsidR="008E0A34">
        <w:t xml:space="preserve">the </w:t>
      </w:r>
      <w:r w:rsidR="00BA7731">
        <w:t xml:space="preserve">item </w:t>
      </w:r>
      <w:r w:rsidR="008E0A34">
        <w:t xml:space="preserve">descriptors of </w:t>
      </w:r>
      <w:r w:rsidR="005B3EAE">
        <w:t xml:space="preserve">three </w:t>
      </w:r>
      <w:r w:rsidRPr="00285471">
        <w:t>Medicare Benefits Schedule (MBS)</w:t>
      </w:r>
      <w:r w:rsidR="008E0A34">
        <w:t xml:space="preserve"> colonoscopy items will be amended to update clinical terminology and to clarify which items can be claimed by patients with a history of serrated polyps.</w:t>
      </w:r>
    </w:p>
    <w:p w:rsidR="006C1173" w:rsidRDefault="00E36E51" w:rsidP="006C1173">
      <w:r>
        <w:rPr>
          <w:rFonts w:asciiTheme="minorHAnsi" w:hAnsiTheme="minorHAnsi"/>
          <w:b/>
          <w:bCs/>
          <w:i/>
          <w:iCs/>
          <w:spacing w:val="5"/>
          <w:sz w:val="22"/>
        </w:rPr>
        <w:pict w14:anchorId="3744A361">
          <v:rect id="_x0000_i1025" style="width:500.25pt;height:1.35pt" o:hrpct="990" o:hralign="center" o:hrstd="t" o:hr="t" fillcolor="#a0a0a0" stroked="f"/>
        </w:pict>
      </w:r>
    </w:p>
    <w:bookmarkEnd w:id="1"/>
    <w:p w:rsidR="005B3EAE" w:rsidRDefault="005B3EAE" w:rsidP="00AB53A4">
      <w:pPr>
        <w:pStyle w:val="Heading2"/>
      </w:pPr>
      <w:r w:rsidRPr="005B3EAE">
        <w:t>What are the changes?</w:t>
      </w:r>
    </w:p>
    <w:p w:rsidR="00ED3AA0" w:rsidRPr="0064535F" w:rsidRDefault="005B3EAE" w:rsidP="005B3EAE">
      <w:r>
        <w:t>From 1 March 2021</w:t>
      </w:r>
      <w:r w:rsidRPr="005B3EAE">
        <w:t>, there will be minor changes to three MBS item descriptor</w:t>
      </w:r>
      <w:r w:rsidR="008C65CD">
        <w:t xml:space="preserve">s </w:t>
      </w:r>
      <w:r w:rsidR="00E04877">
        <w:t>for colonoscopy services.</w:t>
      </w:r>
      <w:r w:rsidR="00ED3AA0">
        <w:t xml:space="preserve"> </w:t>
      </w:r>
      <w:r w:rsidR="008C65CD">
        <w:t xml:space="preserve">The changes </w:t>
      </w:r>
      <w:r w:rsidR="00BA7731">
        <w:t>are</w:t>
      </w:r>
      <w:r w:rsidRPr="005B3EAE">
        <w:t xml:space="preserve">: </w:t>
      </w:r>
    </w:p>
    <w:tbl>
      <w:tblPr>
        <w:tblStyle w:val="GridTable4-Accent5"/>
        <w:tblW w:w="0" w:type="auto"/>
        <w:tblLook w:val="04A0" w:firstRow="1" w:lastRow="0" w:firstColumn="1" w:lastColumn="0" w:noHBand="0" w:noVBand="1"/>
      </w:tblPr>
      <w:tblGrid>
        <w:gridCol w:w="10456"/>
      </w:tblGrid>
      <w:tr w:rsidR="0064535F" w:rsidTr="003C2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rsidR="0064535F" w:rsidRPr="00824D28" w:rsidRDefault="0064535F" w:rsidP="00A72FDB">
            <w:pPr>
              <w:rPr>
                <w:szCs w:val="20"/>
              </w:rPr>
            </w:pPr>
            <w:r w:rsidRPr="00824D28">
              <w:rPr>
                <w:szCs w:val="20"/>
              </w:rPr>
              <w:t>Item 32223:</w:t>
            </w:r>
          </w:p>
        </w:tc>
      </w:tr>
      <w:tr w:rsidR="00A72FDB" w:rsidTr="003C2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rsidR="00A72FDB" w:rsidRPr="00824D28" w:rsidRDefault="00A72FDB" w:rsidP="00A72FDB">
            <w:pPr>
              <w:spacing w:after="160"/>
              <w:rPr>
                <w:szCs w:val="20"/>
              </w:rPr>
            </w:pPr>
            <w:r w:rsidRPr="00824D28">
              <w:rPr>
                <w:szCs w:val="20"/>
              </w:rPr>
              <w:t>Endoscopic examination of the colon to the caecum by colonoscopy, for a patient:</w:t>
            </w:r>
          </w:p>
          <w:p w:rsidR="00A72FDB" w:rsidRPr="00A72FDB" w:rsidRDefault="00A72FDB" w:rsidP="00A72FDB">
            <w:pPr>
              <w:spacing w:before="60" w:after="120" w:line="240" w:lineRule="auto"/>
              <w:ind w:left="284" w:hanging="284"/>
              <w:rPr>
                <w:szCs w:val="20"/>
              </w:rPr>
            </w:pPr>
            <w:r w:rsidRPr="00A72FDB">
              <w:rPr>
                <w:szCs w:val="20"/>
              </w:rPr>
              <w:t>(a)</w:t>
            </w:r>
            <w:r w:rsidRPr="00A72FDB">
              <w:rPr>
                <w:szCs w:val="20"/>
              </w:rPr>
              <w:tab/>
              <w:t>who has had a colonoscopy that revealed:</w:t>
            </w:r>
          </w:p>
          <w:p w:rsidR="00A72FDB" w:rsidRPr="00A72FDB" w:rsidRDefault="00A72FDB" w:rsidP="00A72FDB">
            <w:pPr>
              <w:tabs>
                <w:tab w:val="left" w:pos="-6543"/>
                <w:tab w:val="left" w:pos="-6260"/>
                <w:tab w:val="right" w:pos="970"/>
              </w:tabs>
              <w:spacing w:after="120" w:line="240" w:lineRule="exact"/>
              <w:ind w:left="828" w:hanging="284"/>
              <w:rPr>
                <w:szCs w:val="20"/>
              </w:rPr>
            </w:pPr>
            <w:r w:rsidRPr="00A72FDB">
              <w:rPr>
                <w:szCs w:val="20"/>
              </w:rPr>
              <w:t>(</w:t>
            </w:r>
            <w:proofErr w:type="spellStart"/>
            <w:r w:rsidRPr="00A72FDB">
              <w:rPr>
                <w:szCs w:val="20"/>
              </w:rPr>
              <w:t>i</w:t>
            </w:r>
            <w:proofErr w:type="spellEnd"/>
            <w:r w:rsidRPr="00A72FDB">
              <w:rPr>
                <w:szCs w:val="20"/>
              </w:rPr>
              <w:t>)</w:t>
            </w:r>
            <w:r w:rsidRPr="00A72FDB">
              <w:rPr>
                <w:szCs w:val="20"/>
              </w:rPr>
              <w:tab/>
              <w:t>1 to 4 adenomas, each of which was less than 10 mm in diameter, had no villous features and had no high grade dysplasia; or</w:t>
            </w:r>
          </w:p>
          <w:p w:rsidR="00A72FDB" w:rsidRPr="00824D28" w:rsidRDefault="00A72FDB" w:rsidP="00A72FDB">
            <w:pPr>
              <w:tabs>
                <w:tab w:val="left" w:pos="-6543"/>
                <w:tab w:val="left" w:pos="-6260"/>
                <w:tab w:val="right" w:pos="970"/>
              </w:tabs>
              <w:spacing w:after="160" w:line="240" w:lineRule="exact"/>
              <w:ind w:left="828" w:hanging="284"/>
              <w:rPr>
                <w:szCs w:val="20"/>
              </w:rPr>
            </w:pPr>
            <w:r w:rsidRPr="00A72FDB">
              <w:rPr>
                <w:szCs w:val="20"/>
              </w:rPr>
              <w:t>(ii)</w:t>
            </w:r>
            <w:r w:rsidRPr="00A72FDB">
              <w:rPr>
                <w:szCs w:val="20"/>
              </w:rPr>
              <w:tab/>
              <w:t>1 or 2 sessile serrated lesions, each of which was less than 10 mm in diameter, and without dysplasia; or</w:t>
            </w:r>
          </w:p>
          <w:p w:rsidR="00A72FDB" w:rsidRPr="00824D28" w:rsidRDefault="00A72FDB" w:rsidP="00A72FDB">
            <w:pPr>
              <w:spacing w:after="160"/>
              <w:rPr>
                <w:szCs w:val="20"/>
              </w:rPr>
            </w:pPr>
            <w:r w:rsidRPr="00824D28">
              <w:rPr>
                <w:szCs w:val="20"/>
              </w:rPr>
              <w:t>(b) with a moderate risk of colorectal cancer due to family history; or</w:t>
            </w:r>
          </w:p>
          <w:p w:rsidR="00A72FDB" w:rsidRPr="00824D28" w:rsidRDefault="00A72FDB" w:rsidP="00A72FDB">
            <w:pPr>
              <w:spacing w:after="160"/>
              <w:rPr>
                <w:szCs w:val="20"/>
              </w:rPr>
            </w:pPr>
            <w:r w:rsidRPr="00824D28">
              <w:rPr>
                <w:szCs w:val="20"/>
              </w:rPr>
              <w:t>(c) with a history of colorectal cancer, who has had an initial post</w:t>
            </w:r>
            <w:r w:rsidRPr="00824D28">
              <w:rPr>
                <w:szCs w:val="20"/>
              </w:rPr>
              <w:noBreakHyphen/>
              <w:t>operative colonoscopy that did not reveal any adenomas or colorectal cancer</w:t>
            </w:r>
          </w:p>
          <w:p w:rsidR="00A72FDB" w:rsidRPr="00824D28" w:rsidRDefault="00A72FDB" w:rsidP="00A72FDB">
            <w:pPr>
              <w:spacing w:after="160"/>
              <w:rPr>
                <w:szCs w:val="20"/>
              </w:rPr>
            </w:pPr>
            <w:r w:rsidRPr="00824D28">
              <w:rPr>
                <w:szCs w:val="20"/>
              </w:rPr>
              <w:t>Applicable only once in any 5 year period</w:t>
            </w:r>
          </w:p>
        </w:tc>
      </w:tr>
    </w:tbl>
    <w:p w:rsidR="00A72FDB" w:rsidRPr="003C2C9B" w:rsidRDefault="003C2C9B" w:rsidP="005B3EAE">
      <w:r>
        <w:br w:type="page"/>
      </w:r>
    </w:p>
    <w:tbl>
      <w:tblPr>
        <w:tblStyle w:val="GridTable4-Accent3"/>
        <w:tblW w:w="0" w:type="auto"/>
        <w:tblLook w:val="04A0" w:firstRow="1" w:lastRow="0" w:firstColumn="1" w:lastColumn="0" w:noHBand="0" w:noVBand="1"/>
      </w:tblPr>
      <w:tblGrid>
        <w:gridCol w:w="10456"/>
      </w:tblGrid>
      <w:tr w:rsidR="0064535F" w:rsidTr="003C2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rsidR="0064535F" w:rsidRPr="00A72FDB" w:rsidRDefault="0064535F" w:rsidP="00A72FDB">
            <w:r w:rsidRPr="00A72FDB">
              <w:lastRenderedPageBreak/>
              <w:t>Item 32224:</w:t>
            </w:r>
          </w:p>
        </w:tc>
      </w:tr>
      <w:tr w:rsidR="00A72FDB" w:rsidTr="003C2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rsidR="00665534" w:rsidRPr="00665534" w:rsidRDefault="00665534" w:rsidP="00665534">
            <w:pPr>
              <w:pStyle w:val="Tabletext"/>
              <w:spacing w:after="160"/>
              <w:rPr>
                <w:rFonts w:asciiTheme="minorHAnsi" w:eastAsia="Calibri" w:hAnsiTheme="minorHAnsi" w:cstheme="minorHAnsi"/>
              </w:rPr>
            </w:pPr>
            <w:r w:rsidRPr="00665534">
              <w:rPr>
                <w:rFonts w:asciiTheme="minorHAnsi" w:eastAsia="Calibri" w:hAnsiTheme="minorHAnsi" w:cstheme="minorHAnsi"/>
              </w:rPr>
              <w:t>Endoscopic examination of the colon to the caecum by colonoscopy, for a patient who has a moderate risk of colorectal cancer due to:</w:t>
            </w:r>
          </w:p>
          <w:p w:rsidR="00665534" w:rsidRPr="00665534" w:rsidRDefault="00665534" w:rsidP="00665534">
            <w:pPr>
              <w:pStyle w:val="Tablea"/>
              <w:spacing w:after="120"/>
              <w:rPr>
                <w:rFonts w:asciiTheme="minorHAnsi" w:eastAsia="Calibri" w:hAnsiTheme="minorHAnsi" w:cstheme="minorHAnsi"/>
              </w:rPr>
            </w:pPr>
            <w:r w:rsidRPr="00665534">
              <w:rPr>
                <w:rFonts w:asciiTheme="minorHAnsi" w:eastAsia="Calibri" w:hAnsiTheme="minorHAnsi" w:cstheme="minorHAnsi"/>
              </w:rPr>
              <w:t>(a)</w:t>
            </w:r>
            <w:r w:rsidRPr="00665534">
              <w:rPr>
                <w:rFonts w:asciiTheme="minorHAnsi" w:eastAsia="Calibri" w:hAnsiTheme="minorHAnsi" w:cstheme="minorHAnsi"/>
              </w:rPr>
              <w:tab/>
              <w:t>a history of adenomas, including an adenoma that:</w:t>
            </w:r>
          </w:p>
          <w:p w:rsidR="00665534" w:rsidRPr="00665534" w:rsidRDefault="00665534" w:rsidP="00665534">
            <w:pPr>
              <w:pStyle w:val="Tablei"/>
              <w:spacing w:after="120"/>
              <w:rPr>
                <w:rFonts w:asciiTheme="minorHAnsi" w:eastAsia="Calibri" w:hAnsiTheme="minorHAnsi" w:cstheme="minorHAnsi"/>
              </w:rPr>
            </w:pPr>
            <w:r w:rsidRPr="00665534">
              <w:rPr>
                <w:rFonts w:asciiTheme="minorHAnsi" w:eastAsia="Calibri" w:hAnsiTheme="minorHAnsi" w:cstheme="minorHAnsi"/>
              </w:rPr>
              <w:t>(</w:t>
            </w:r>
            <w:proofErr w:type="spellStart"/>
            <w:r w:rsidRPr="00665534">
              <w:rPr>
                <w:rFonts w:asciiTheme="minorHAnsi" w:eastAsia="Calibri" w:hAnsiTheme="minorHAnsi" w:cstheme="minorHAnsi"/>
              </w:rPr>
              <w:t>i</w:t>
            </w:r>
            <w:proofErr w:type="spellEnd"/>
            <w:r w:rsidRPr="00665534">
              <w:rPr>
                <w:rFonts w:asciiTheme="minorHAnsi" w:eastAsia="Calibri" w:hAnsiTheme="minorHAnsi" w:cstheme="minorHAnsi"/>
              </w:rPr>
              <w:t>) was 10 mm or greater in diameter; or</w:t>
            </w:r>
          </w:p>
          <w:p w:rsidR="00665534" w:rsidRPr="00665534" w:rsidRDefault="00665534" w:rsidP="00665534">
            <w:pPr>
              <w:pStyle w:val="Tablei"/>
              <w:spacing w:after="120"/>
              <w:rPr>
                <w:rFonts w:asciiTheme="minorHAnsi" w:eastAsia="Calibri" w:hAnsiTheme="minorHAnsi" w:cstheme="minorHAnsi"/>
              </w:rPr>
            </w:pPr>
            <w:r w:rsidRPr="00665534">
              <w:rPr>
                <w:rFonts w:asciiTheme="minorHAnsi" w:eastAsia="Calibri" w:hAnsiTheme="minorHAnsi" w:cstheme="minorHAnsi"/>
              </w:rPr>
              <w:t>(ii) had villous features; or</w:t>
            </w:r>
          </w:p>
          <w:p w:rsidR="00665534" w:rsidRPr="00665534" w:rsidRDefault="00665534" w:rsidP="00665534">
            <w:pPr>
              <w:pStyle w:val="Tablei"/>
              <w:spacing w:after="120"/>
              <w:rPr>
                <w:rFonts w:asciiTheme="minorHAnsi" w:eastAsia="Calibri" w:hAnsiTheme="minorHAnsi" w:cstheme="minorHAnsi"/>
              </w:rPr>
            </w:pPr>
            <w:r w:rsidRPr="00665534">
              <w:rPr>
                <w:rFonts w:asciiTheme="minorHAnsi" w:eastAsia="Calibri" w:hAnsiTheme="minorHAnsi" w:cstheme="minorHAnsi"/>
              </w:rPr>
              <w:t>(iii) had high grade dysplasia; or</w:t>
            </w:r>
          </w:p>
          <w:p w:rsidR="00665534" w:rsidRPr="00665534" w:rsidRDefault="00665534" w:rsidP="00665534">
            <w:pPr>
              <w:pStyle w:val="Tablea"/>
              <w:spacing w:after="160"/>
              <w:rPr>
                <w:rFonts w:asciiTheme="minorHAnsi" w:eastAsia="Calibri" w:hAnsiTheme="minorHAnsi" w:cstheme="minorHAnsi"/>
              </w:rPr>
            </w:pPr>
            <w:r w:rsidRPr="00665534">
              <w:rPr>
                <w:rFonts w:asciiTheme="minorHAnsi" w:eastAsia="Calibri" w:hAnsiTheme="minorHAnsi" w:cstheme="minorHAnsi"/>
              </w:rPr>
              <w:t>(b)</w:t>
            </w:r>
            <w:r w:rsidRPr="00665534">
              <w:rPr>
                <w:rFonts w:asciiTheme="minorHAnsi" w:eastAsia="Calibri" w:hAnsiTheme="minorHAnsi" w:cstheme="minorHAnsi"/>
              </w:rPr>
              <w:tab/>
              <w:t>having had a previous colonoscopy that revealed:</w:t>
            </w:r>
          </w:p>
          <w:p w:rsidR="00665534" w:rsidRPr="00665534" w:rsidRDefault="00665534" w:rsidP="00665534">
            <w:pPr>
              <w:pStyle w:val="Tablei"/>
              <w:spacing w:after="120"/>
              <w:rPr>
                <w:rFonts w:asciiTheme="minorHAnsi" w:eastAsia="Calibri" w:hAnsiTheme="minorHAnsi" w:cstheme="minorHAnsi"/>
              </w:rPr>
            </w:pPr>
            <w:r w:rsidRPr="00665534">
              <w:rPr>
                <w:rFonts w:asciiTheme="minorHAnsi" w:hAnsiTheme="minorHAnsi" w:cstheme="minorHAnsi"/>
              </w:rPr>
              <w:t>(</w:t>
            </w:r>
            <w:proofErr w:type="spellStart"/>
            <w:r w:rsidRPr="00665534">
              <w:rPr>
                <w:rFonts w:asciiTheme="minorHAnsi" w:hAnsiTheme="minorHAnsi" w:cstheme="minorHAnsi"/>
              </w:rPr>
              <w:t>i</w:t>
            </w:r>
            <w:proofErr w:type="spellEnd"/>
            <w:r w:rsidRPr="00665534">
              <w:rPr>
                <w:rFonts w:asciiTheme="minorHAnsi" w:hAnsiTheme="minorHAnsi" w:cstheme="minorHAnsi"/>
              </w:rPr>
              <w:t>) 5 to 9 adenomas, each of which was less than 10 mm in diameter, had no villous features and had no high gr</w:t>
            </w:r>
            <w:r w:rsidRPr="00665534">
              <w:rPr>
                <w:rFonts w:asciiTheme="minorHAnsi" w:eastAsia="Calibri" w:hAnsiTheme="minorHAnsi" w:cstheme="minorHAnsi"/>
              </w:rPr>
              <w:t>ade dysplasia; or</w:t>
            </w:r>
          </w:p>
          <w:p w:rsidR="00665534" w:rsidRPr="00665534" w:rsidRDefault="00665534" w:rsidP="00665534">
            <w:pPr>
              <w:pStyle w:val="Tablei"/>
              <w:spacing w:after="120"/>
              <w:rPr>
                <w:rFonts w:asciiTheme="minorHAnsi" w:hAnsiTheme="minorHAnsi" w:cstheme="minorHAnsi"/>
              </w:rPr>
            </w:pPr>
            <w:r w:rsidRPr="00665534">
              <w:rPr>
                <w:rFonts w:asciiTheme="minorHAnsi" w:eastAsia="Calibri" w:hAnsiTheme="minorHAnsi" w:cstheme="minorHAnsi"/>
              </w:rPr>
              <w:t xml:space="preserve">(ii) </w:t>
            </w:r>
            <w:r w:rsidRPr="00665534">
              <w:rPr>
                <w:rFonts w:asciiTheme="minorHAnsi" w:hAnsiTheme="minorHAnsi" w:cstheme="minorHAnsi"/>
              </w:rPr>
              <w:t>1 or 2 sessile serrated lesions, each of which was 10 mm or greater in diameter or had dysplasia; or</w:t>
            </w:r>
          </w:p>
          <w:p w:rsidR="00665534" w:rsidRPr="00665534" w:rsidRDefault="00665534" w:rsidP="00665534">
            <w:pPr>
              <w:pStyle w:val="Tablei"/>
              <w:spacing w:after="120"/>
              <w:rPr>
                <w:rFonts w:asciiTheme="minorHAnsi" w:hAnsiTheme="minorHAnsi" w:cstheme="minorHAnsi"/>
              </w:rPr>
            </w:pPr>
            <w:r w:rsidRPr="00665534">
              <w:rPr>
                <w:rFonts w:asciiTheme="minorHAnsi" w:hAnsiTheme="minorHAnsi" w:cstheme="minorHAnsi"/>
              </w:rPr>
              <w:t>(iii) a hyperplastic polyp that was 10 mm or greater in diameter; or</w:t>
            </w:r>
          </w:p>
          <w:p w:rsidR="00665534" w:rsidRPr="00665534" w:rsidRDefault="00665534" w:rsidP="00665534">
            <w:pPr>
              <w:pStyle w:val="Tablei"/>
              <w:spacing w:after="120"/>
              <w:rPr>
                <w:rFonts w:asciiTheme="minorHAnsi" w:hAnsiTheme="minorHAnsi" w:cstheme="minorHAnsi"/>
              </w:rPr>
            </w:pPr>
            <w:r w:rsidRPr="00665534">
              <w:rPr>
                <w:rFonts w:asciiTheme="minorHAnsi" w:hAnsiTheme="minorHAnsi" w:cstheme="minorHAnsi"/>
              </w:rPr>
              <w:t>(iv) 3 or more sessile serrated lesions, each of which was less than 10 mm in diameter and had no dysplasia; or</w:t>
            </w:r>
          </w:p>
          <w:p w:rsidR="00665534" w:rsidRPr="00665534" w:rsidRDefault="00665534" w:rsidP="00665534">
            <w:pPr>
              <w:pStyle w:val="Tablei"/>
              <w:spacing w:after="160"/>
              <w:rPr>
                <w:rFonts w:asciiTheme="minorHAnsi" w:hAnsiTheme="minorHAnsi" w:cstheme="minorHAnsi"/>
              </w:rPr>
            </w:pPr>
            <w:r w:rsidRPr="00665534">
              <w:rPr>
                <w:rFonts w:asciiTheme="minorHAnsi" w:hAnsiTheme="minorHAnsi" w:cstheme="minorHAnsi"/>
              </w:rPr>
              <w:t>(v) 1 or 2 traditional serrated adenomas, of any size</w:t>
            </w:r>
          </w:p>
          <w:p w:rsidR="00A72FDB" w:rsidRPr="00665534" w:rsidRDefault="00665534" w:rsidP="00EB3BF6">
            <w:pPr>
              <w:spacing w:after="160"/>
              <w:rPr>
                <w:rFonts w:asciiTheme="minorHAnsi" w:hAnsiTheme="minorHAnsi" w:cstheme="minorHAnsi"/>
              </w:rPr>
            </w:pPr>
            <w:r w:rsidRPr="00665534">
              <w:rPr>
                <w:rFonts w:asciiTheme="minorHAnsi" w:eastAsia="Calibri" w:hAnsiTheme="minorHAnsi" w:cstheme="minorHAnsi"/>
              </w:rPr>
              <w:t>Applicable only once in any 3 year period (</w:t>
            </w:r>
            <w:proofErr w:type="spellStart"/>
            <w:r w:rsidRPr="00665534">
              <w:rPr>
                <w:rFonts w:asciiTheme="minorHAnsi" w:eastAsia="Calibri" w:hAnsiTheme="minorHAnsi" w:cstheme="minorHAnsi"/>
              </w:rPr>
              <w:t>Anaes</w:t>
            </w:r>
            <w:proofErr w:type="spellEnd"/>
            <w:r w:rsidRPr="00665534">
              <w:rPr>
                <w:rFonts w:asciiTheme="minorHAnsi" w:eastAsia="Calibri" w:hAnsiTheme="minorHAnsi" w:cstheme="minorHAnsi"/>
              </w:rPr>
              <w:t>.)</w:t>
            </w:r>
          </w:p>
        </w:tc>
      </w:tr>
    </w:tbl>
    <w:p w:rsidR="005B3EAE" w:rsidRDefault="005B3EAE" w:rsidP="005B3EAE">
      <w:pPr>
        <w:rPr>
          <w:b/>
        </w:rPr>
      </w:pPr>
    </w:p>
    <w:tbl>
      <w:tblPr>
        <w:tblStyle w:val="GridTable4-Accent2"/>
        <w:tblW w:w="0" w:type="auto"/>
        <w:tblLook w:val="04A0" w:firstRow="1" w:lastRow="0" w:firstColumn="1" w:lastColumn="0" w:noHBand="0" w:noVBand="1"/>
      </w:tblPr>
      <w:tblGrid>
        <w:gridCol w:w="10456"/>
      </w:tblGrid>
      <w:tr w:rsidR="0064535F" w:rsidTr="003C2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rsidR="0064535F" w:rsidRPr="00A72FDB" w:rsidRDefault="0064535F" w:rsidP="00A72FDB">
            <w:bookmarkStart w:id="2" w:name="_GoBack" w:colFirst="0" w:colLast="1"/>
            <w:r w:rsidRPr="00A72FDB">
              <w:t>Item 32226:</w:t>
            </w:r>
          </w:p>
        </w:tc>
      </w:tr>
      <w:bookmarkEnd w:id="2"/>
      <w:tr w:rsidR="00A72FDB" w:rsidTr="003C2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rsidR="00DF4D3A" w:rsidRPr="00DF4D3A" w:rsidRDefault="00DF4D3A" w:rsidP="00DF4D3A">
            <w:pPr>
              <w:pStyle w:val="Tabletext"/>
              <w:spacing w:after="160"/>
              <w:rPr>
                <w:rFonts w:asciiTheme="minorHAnsi" w:eastAsia="Calibri" w:hAnsiTheme="minorHAnsi" w:cstheme="minorHAnsi"/>
              </w:rPr>
            </w:pPr>
            <w:r w:rsidRPr="00DF4D3A">
              <w:rPr>
                <w:rFonts w:asciiTheme="minorHAnsi" w:eastAsia="Calibri" w:hAnsiTheme="minorHAnsi" w:cstheme="minorHAnsi"/>
              </w:rPr>
              <w:t>Endoscopic examination of the colon to the caecum by colonoscopy, for a patient who has a high risk of colorectal cancer due to:</w:t>
            </w:r>
          </w:p>
          <w:p w:rsidR="00DF4D3A" w:rsidRPr="00DF4D3A" w:rsidRDefault="00DF4D3A" w:rsidP="00DF4D3A">
            <w:pPr>
              <w:pStyle w:val="Tablea"/>
              <w:spacing w:after="160"/>
              <w:rPr>
                <w:rFonts w:asciiTheme="minorHAnsi" w:eastAsia="Calibri" w:hAnsiTheme="minorHAnsi" w:cstheme="minorHAnsi"/>
              </w:rPr>
            </w:pPr>
            <w:r w:rsidRPr="00DF4D3A">
              <w:rPr>
                <w:rFonts w:asciiTheme="minorHAnsi" w:eastAsia="Calibri" w:hAnsiTheme="minorHAnsi" w:cstheme="minorHAnsi"/>
              </w:rPr>
              <w:t>(a) having either:</w:t>
            </w:r>
          </w:p>
          <w:p w:rsidR="00DF4D3A" w:rsidRPr="00DF4D3A" w:rsidRDefault="00DF4D3A" w:rsidP="00DF4D3A">
            <w:pPr>
              <w:pStyle w:val="Tablei"/>
              <w:spacing w:after="120"/>
              <w:rPr>
                <w:rFonts w:asciiTheme="minorHAnsi" w:eastAsia="Calibri" w:hAnsiTheme="minorHAnsi" w:cstheme="minorHAnsi"/>
              </w:rPr>
            </w:pPr>
            <w:r w:rsidRPr="00DF4D3A">
              <w:rPr>
                <w:rFonts w:asciiTheme="minorHAnsi" w:eastAsia="Calibri" w:hAnsiTheme="minorHAnsi" w:cstheme="minorHAnsi"/>
              </w:rPr>
              <w:t>(</w:t>
            </w:r>
            <w:proofErr w:type="spellStart"/>
            <w:r w:rsidRPr="00DF4D3A">
              <w:rPr>
                <w:rFonts w:asciiTheme="minorHAnsi" w:eastAsia="Calibri" w:hAnsiTheme="minorHAnsi" w:cstheme="minorHAnsi"/>
              </w:rPr>
              <w:t>i</w:t>
            </w:r>
            <w:proofErr w:type="spellEnd"/>
            <w:r w:rsidRPr="00DF4D3A">
              <w:rPr>
                <w:rFonts w:asciiTheme="minorHAnsi" w:eastAsia="Calibri" w:hAnsiTheme="minorHAnsi" w:cstheme="minorHAnsi"/>
              </w:rPr>
              <w:t>) a known or suspected familial condition, such as familial adenomatous polyposis, Lynch syndrome or serrated polyposis syndrome; or</w:t>
            </w:r>
          </w:p>
          <w:p w:rsidR="00DF4D3A" w:rsidRPr="00DF4D3A" w:rsidRDefault="00DF4D3A" w:rsidP="00DF4D3A">
            <w:pPr>
              <w:pStyle w:val="Tablei"/>
              <w:spacing w:after="160"/>
              <w:rPr>
                <w:rFonts w:asciiTheme="minorHAnsi" w:eastAsia="Calibri" w:hAnsiTheme="minorHAnsi" w:cstheme="minorHAnsi"/>
              </w:rPr>
            </w:pPr>
            <w:r w:rsidRPr="00DF4D3A">
              <w:rPr>
                <w:rFonts w:asciiTheme="minorHAnsi" w:eastAsia="Calibri" w:hAnsiTheme="minorHAnsi" w:cstheme="minorHAnsi"/>
              </w:rPr>
              <w:t>(ii) a genetic mutation associated with hereditary colorectal cancer; or</w:t>
            </w:r>
          </w:p>
          <w:p w:rsidR="00DF4D3A" w:rsidRPr="00DF4D3A" w:rsidRDefault="00DF4D3A" w:rsidP="00DF4D3A">
            <w:pPr>
              <w:pStyle w:val="Tablea"/>
              <w:spacing w:after="160"/>
              <w:rPr>
                <w:rFonts w:asciiTheme="minorHAnsi" w:hAnsiTheme="minorHAnsi" w:cstheme="minorHAnsi"/>
              </w:rPr>
            </w:pPr>
            <w:r w:rsidRPr="00DF4D3A">
              <w:rPr>
                <w:rFonts w:asciiTheme="minorHAnsi" w:eastAsia="Calibri" w:hAnsiTheme="minorHAnsi" w:cstheme="minorHAnsi"/>
              </w:rPr>
              <w:t xml:space="preserve">(b) having had a previous </w:t>
            </w:r>
            <w:r w:rsidRPr="00DF4D3A">
              <w:rPr>
                <w:rFonts w:asciiTheme="minorHAnsi" w:hAnsiTheme="minorHAnsi" w:cstheme="minorHAnsi"/>
              </w:rPr>
              <w:t>colonoscopy that revealed:</w:t>
            </w:r>
          </w:p>
          <w:p w:rsidR="00DF4D3A" w:rsidRPr="00DF4D3A" w:rsidRDefault="00DF4D3A" w:rsidP="00DF4D3A">
            <w:pPr>
              <w:pStyle w:val="Tablei"/>
              <w:spacing w:after="120"/>
              <w:rPr>
                <w:rFonts w:asciiTheme="minorHAnsi" w:hAnsiTheme="minorHAnsi" w:cstheme="minorHAnsi"/>
              </w:rPr>
            </w:pPr>
            <w:r w:rsidRPr="00DF4D3A">
              <w:rPr>
                <w:rFonts w:asciiTheme="minorHAnsi" w:hAnsiTheme="minorHAnsi" w:cstheme="minorHAnsi"/>
              </w:rPr>
              <w:t>(</w:t>
            </w:r>
            <w:proofErr w:type="spellStart"/>
            <w:r w:rsidRPr="00DF4D3A">
              <w:rPr>
                <w:rFonts w:asciiTheme="minorHAnsi" w:hAnsiTheme="minorHAnsi" w:cstheme="minorHAnsi"/>
              </w:rPr>
              <w:t>i</w:t>
            </w:r>
            <w:proofErr w:type="spellEnd"/>
            <w:r w:rsidRPr="00DF4D3A">
              <w:rPr>
                <w:rFonts w:asciiTheme="minorHAnsi" w:hAnsiTheme="minorHAnsi" w:cstheme="minorHAnsi"/>
              </w:rPr>
              <w:t>)</w:t>
            </w:r>
            <w:r w:rsidRPr="00DF4D3A">
              <w:rPr>
                <w:rFonts w:asciiTheme="minorHAnsi" w:hAnsiTheme="minorHAnsi" w:cstheme="minorHAnsi"/>
              </w:rPr>
              <w:tab/>
              <w:t>5 or more sessile serrated lesions, each of which was less than 10 mm in diameter and had no dysplasia; or</w:t>
            </w:r>
          </w:p>
          <w:p w:rsidR="00DF4D3A" w:rsidRPr="00DF4D3A" w:rsidRDefault="00DF4D3A" w:rsidP="00DF4D3A">
            <w:pPr>
              <w:pStyle w:val="Tablei"/>
              <w:spacing w:after="120"/>
              <w:rPr>
                <w:rFonts w:asciiTheme="minorHAnsi" w:hAnsiTheme="minorHAnsi" w:cstheme="minorHAnsi"/>
              </w:rPr>
            </w:pPr>
            <w:r w:rsidRPr="00DF4D3A">
              <w:rPr>
                <w:rFonts w:asciiTheme="minorHAnsi" w:hAnsiTheme="minorHAnsi" w:cstheme="minorHAnsi"/>
              </w:rPr>
              <w:t>(ii)</w:t>
            </w:r>
            <w:r w:rsidRPr="00DF4D3A">
              <w:rPr>
                <w:rFonts w:asciiTheme="minorHAnsi" w:hAnsiTheme="minorHAnsi" w:cstheme="minorHAnsi"/>
              </w:rPr>
              <w:tab/>
              <w:t>3 or more sessile serrated lesions, 1 or more of which was 10 mm or greater in diameter or had dysplasia; or</w:t>
            </w:r>
          </w:p>
          <w:p w:rsidR="00DF4D3A" w:rsidRPr="00DF4D3A" w:rsidRDefault="00DF4D3A" w:rsidP="00DF4D3A">
            <w:pPr>
              <w:pStyle w:val="Tablei"/>
              <w:spacing w:after="160"/>
              <w:rPr>
                <w:rFonts w:asciiTheme="minorHAnsi" w:hAnsiTheme="minorHAnsi" w:cstheme="minorHAnsi"/>
              </w:rPr>
            </w:pPr>
            <w:r w:rsidRPr="00DF4D3A">
              <w:rPr>
                <w:rFonts w:asciiTheme="minorHAnsi" w:hAnsiTheme="minorHAnsi" w:cstheme="minorHAnsi"/>
              </w:rPr>
              <w:t xml:space="preserve">(iii) </w:t>
            </w:r>
            <w:r w:rsidRPr="00DF4D3A">
              <w:rPr>
                <w:rFonts w:asciiTheme="minorHAnsi" w:hAnsiTheme="minorHAnsi" w:cstheme="minorHAnsi"/>
              </w:rPr>
              <w:tab/>
              <w:t>3 or more traditional serrated adenomas, of any size</w:t>
            </w:r>
          </w:p>
          <w:p w:rsidR="00A72FDB" w:rsidRPr="00DF4D3A" w:rsidRDefault="00DF4D3A" w:rsidP="00EB3BF6">
            <w:pPr>
              <w:spacing w:after="160"/>
              <w:rPr>
                <w:rFonts w:asciiTheme="minorHAnsi" w:hAnsiTheme="minorHAnsi" w:cstheme="minorHAnsi"/>
              </w:rPr>
            </w:pPr>
            <w:r w:rsidRPr="00DF4D3A">
              <w:rPr>
                <w:rFonts w:asciiTheme="minorHAnsi" w:eastAsia="Calibri" w:hAnsiTheme="minorHAnsi" w:cstheme="minorHAnsi"/>
              </w:rPr>
              <w:t>Applicable only once in any 12</w:t>
            </w:r>
            <w:r w:rsidRPr="00DF4D3A">
              <w:rPr>
                <w:rFonts w:asciiTheme="minorHAnsi" w:eastAsia="Calibri" w:hAnsiTheme="minorHAnsi" w:cstheme="minorHAnsi"/>
              </w:rPr>
              <w:noBreakHyphen/>
              <w:t>month period (</w:t>
            </w:r>
            <w:proofErr w:type="spellStart"/>
            <w:r w:rsidRPr="00DF4D3A">
              <w:rPr>
                <w:rFonts w:asciiTheme="minorHAnsi" w:eastAsia="Calibri" w:hAnsiTheme="minorHAnsi" w:cstheme="minorHAnsi"/>
              </w:rPr>
              <w:t>Anaes</w:t>
            </w:r>
            <w:proofErr w:type="spellEnd"/>
            <w:r w:rsidRPr="00DF4D3A">
              <w:rPr>
                <w:rFonts w:asciiTheme="minorHAnsi" w:eastAsia="Calibri" w:hAnsiTheme="minorHAnsi" w:cstheme="minorHAnsi"/>
              </w:rPr>
              <w:t>.)</w:t>
            </w:r>
          </w:p>
        </w:tc>
      </w:tr>
    </w:tbl>
    <w:p w:rsidR="00135417" w:rsidRDefault="00135417" w:rsidP="00AB53A4">
      <w:pPr>
        <w:pStyle w:val="Heading2"/>
      </w:pPr>
      <w:r>
        <w:lastRenderedPageBreak/>
        <w:t xml:space="preserve">Why </w:t>
      </w:r>
      <w:r w:rsidR="008E0A34">
        <w:t>are</w:t>
      </w:r>
      <w:r w:rsidR="00E2774C">
        <w:t xml:space="preserve"> the change</w:t>
      </w:r>
      <w:r w:rsidR="008E0A34">
        <w:t>s</w:t>
      </w:r>
      <w:r w:rsidR="009F52D4">
        <w:t xml:space="preserve"> being made</w:t>
      </w:r>
      <w:r>
        <w:t>?</w:t>
      </w:r>
    </w:p>
    <w:p w:rsidR="000427E0" w:rsidRDefault="00904C3E" w:rsidP="008E0A34">
      <w:r>
        <w:t>These changes are a</w:t>
      </w:r>
      <w:r w:rsidR="008E0A34">
        <w:t xml:space="preserve"> result of the post implementation review of the new colonoscopy structure</w:t>
      </w:r>
      <w:r>
        <w:t xml:space="preserve"> which was implemented from 1 November 2019 and also responds to stakeholder concerns relating to patients with a history of serrated polyps. </w:t>
      </w:r>
    </w:p>
    <w:p w:rsidR="00425089" w:rsidRDefault="00425089" w:rsidP="00AB53A4">
      <w:pPr>
        <w:pStyle w:val="Heading2"/>
      </w:pPr>
      <w:r>
        <w:t xml:space="preserve">What does this mean for </w:t>
      </w:r>
      <w:r w:rsidR="00905C3C">
        <w:t>providers?</w:t>
      </w:r>
    </w:p>
    <w:p w:rsidR="00904C3E" w:rsidRPr="0091587B" w:rsidRDefault="00904C3E" w:rsidP="00C50734">
      <w:r w:rsidRPr="0091587B">
        <w:t>These changes ensure</w:t>
      </w:r>
      <w:r w:rsidR="00A12835">
        <w:t xml:space="preserve"> that</w:t>
      </w:r>
      <w:r w:rsidRPr="0091587B">
        <w:t xml:space="preserve"> MBS items are consistent with the intent of the National Health and Medical Research Council guidelines and that the items can be</w:t>
      </w:r>
      <w:r w:rsidR="00BA7731">
        <w:t xml:space="preserve"> more</w:t>
      </w:r>
      <w:r w:rsidRPr="0091587B">
        <w:t xml:space="preserve"> easily understood. </w:t>
      </w:r>
      <w:r w:rsidR="00901F5E" w:rsidRPr="0091587B">
        <w:t>The</w:t>
      </w:r>
      <w:r w:rsidRPr="0091587B">
        <w:t xml:space="preserve"> clinical terminology </w:t>
      </w:r>
      <w:r w:rsidR="00901F5E" w:rsidRPr="0091587B">
        <w:t>has been updated in response</w:t>
      </w:r>
      <w:r w:rsidRPr="0091587B">
        <w:t xml:space="preserve"> to recent changes by the World Health Organization </w:t>
      </w:r>
      <w:r w:rsidR="00901F5E" w:rsidRPr="0091587B">
        <w:t>on classifications of tumour</w:t>
      </w:r>
      <w:r w:rsidRPr="0091587B">
        <w:t xml:space="preserve"> nomenclature. </w:t>
      </w:r>
    </w:p>
    <w:p w:rsidR="000427E0" w:rsidRPr="000427E0" w:rsidRDefault="0091587B" w:rsidP="00C50734">
      <w:r w:rsidRPr="0091587B">
        <w:t>Providers will need to familiarise themselves with the descriptor changes in the colonoscopy schedule, and any associated rules and explanatory notes. Providers have a responsibility to ensure that any services they bill to Medicare fully meet the eligibility requirements outlined in the legislation.</w:t>
      </w:r>
    </w:p>
    <w:p w:rsidR="00BF00A9" w:rsidRDefault="008766AD" w:rsidP="00AB53A4">
      <w:pPr>
        <w:pStyle w:val="Heading2"/>
      </w:pPr>
      <w:r>
        <w:t>How will</w:t>
      </w:r>
      <w:r w:rsidR="00E2774C">
        <w:t xml:space="preserve"> t</w:t>
      </w:r>
      <w:r w:rsidR="00904C3E">
        <w:t>hese</w:t>
      </w:r>
      <w:r w:rsidR="00E2774C">
        <w:t xml:space="preserve"> change</w:t>
      </w:r>
      <w:r w:rsidR="00904C3E">
        <w:t>s</w:t>
      </w:r>
      <w:r w:rsidR="009F52D4">
        <w:t xml:space="preserve"> affect patients</w:t>
      </w:r>
      <w:r w:rsidR="00BF00A9" w:rsidRPr="001A7FB7">
        <w:t>?</w:t>
      </w:r>
    </w:p>
    <w:p w:rsidR="000427E0" w:rsidRDefault="00904C3E" w:rsidP="00A64177">
      <w:r>
        <w:t>These changes ensure that patients can claim appropriate MBS services for their clinical circumstance and clinical history.</w:t>
      </w:r>
      <w:r w:rsidRPr="00904C3E">
        <w:t xml:space="preserve"> These changes will ensure continued provision of effective, evidence-based colonoscopy services and improves access to MBS-funded colonoscopy services for those who need it.</w:t>
      </w:r>
    </w:p>
    <w:p w:rsidR="00595BBD" w:rsidRDefault="00E2774C" w:rsidP="00AB53A4">
      <w:pPr>
        <w:pStyle w:val="Heading2"/>
      </w:pPr>
      <w:r>
        <w:t>Who was consulted on the change</w:t>
      </w:r>
      <w:r w:rsidR="00904C3E">
        <w:t>s</w:t>
      </w:r>
      <w:r w:rsidR="00595BBD" w:rsidRPr="001A7FB7">
        <w:t>?</w:t>
      </w:r>
    </w:p>
    <w:p w:rsidR="000427E0" w:rsidRPr="000427E0" w:rsidRDefault="005B5434" w:rsidP="008C65CD">
      <w:r>
        <w:t xml:space="preserve">The </w:t>
      </w:r>
      <w:r w:rsidR="00A167C9" w:rsidRPr="00A167C9">
        <w:t>Gastroenterological Society of Australia</w:t>
      </w:r>
      <w:r w:rsidR="00A167C9">
        <w:t xml:space="preserve">, the </w:t>
      </w:r>
      <w:r w:rsidR="00A167C9" w:rsidRPr="00A167C9">
        <w:t>Colorectal Surgical Society of Australia and New Zealand, the</w:t>
      </w:r>
      <w:r w:rsidR="008C65CD">
        <w:t xml:space="preserve"> Australi</w:t>
      </w:r>
      <w:r w:rsidR="008C65CD" w:rsidRPr="00A167C9">
        <w:t>an</w:t>
      </w:r>
      <w:r w:rsidR="00A167C9" w:rsidRPr="00A167C9">
        <w:t xml:space="preserve"> Medical Association and the Royal Aus</w:t>
      </w:r>
      <w:r>
        <w:t xml:space="preserve">tralasian College of Surgeons </w:t>
      </w:r>
      <w:r w:rsidRPr="005B5434">
        <w:t xml:space="preserve">were consulted </w:t>
      </w:r>
      <w:r w:rsidR="00BA7731">
        <w:t>on</w:t>
      </w:r>
      <w:r w:rsidRPr="005B5434">
        <w:t xml:space="preserve"> these changes.</w:t>
      </w:r>
    </w:p>
    <w:p w:rsidR="00A526F1" w:rsidRDefault="00E2774C" w:rsidP="00A12835">
      <w:pPr>
        <w:pStyle w:val="Heading2"/>
      </w:pPr>
      <w:r>
        <w:t>How will the change</w:t>
      </w:r>
      <w:r w:rsidR="00904C3E">
        <w:t>s</w:t>
      </w:r>
      <w:r w:rsidR="00595BBD" w:rsidRPr="001A7FB7">
        <w:t xml:space="preserve"> be monitored</w:t>
      </w:r>
      <w:r w:rsidR="000367AA">
        <w:t xml:space="preserve"> and reviewed</w:t>
      </w:r>
      <w:r w:rsidR="00595BBD" w:rsidRPr="001A7FB7">
        <w:t>?</w:t>
      </w:r>
    </w:p>
    <w:p w:rsidR="00A526F1" w:rsidRDefault="00A526F1" w:rsidP="00A526F1">
      <w:r>
        <w:t xml:space="preserve">Colonoscopy items will continue to be subject to MBS compliance processes and activities, including random and targeted audits which may require a provider to submit evidence about the services claimed. </w:t>
      </w:r>
    </w:p>
    <w:p w:rsidR="000427E0" w:rsidRDefault="00A526F1" w:rsidP="00A526F1">
      <w:r>
        <w:t>Significant variation from forecasted expenditure may warrant review and amendment of fees, and incorrect use of MBS items can result in penalties including the health professional being asked to repay monies that have been incorrectly received.</w:t>
      </w:r>
    </w:p>
    <w:p w:rsidR="00F93F71" w:rsidRDefault="00F93F71" w:rsidP="00AB53A4">
      <w:pPr>
        <w:pStyle w:val="Heading2"/>
      </w:pPr>
      <w:r>
        <w:t>Where can I find more information?</w:t>
      </w:r>
    </w:p>
    <w:p w:rsidR="00D6302E" w:rsidRDefault="00ED3AA0" w:rsidP="00151636">
      <w:r>
        <w:t>A</w:t>
      </w:r>
      <w:r w:rsidR="00BA7731">
        <w:t>ssociated</w:t>
      </w:r>
      <w:r>
        <w:t xml:space="preserve"> item</w:t>
      </w:r>
      <w:r w:rsidR="00BA7731">
        <w:t xml:space="preserve"> notes</w:t>
      </w:r>
      <w:r w:rsidR="00D6302E">
        <w:t xml:space="preserve"> and</w:t>
      </w:r>
      <w:r w:rsidR="00D6302E" w:rsidRPr="007E14C4">
        <w:t xml:space="preserve"> information on other changes to the MBS</w:t>
      </w:r>
      <w:r w:rsidR="00D6302E">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7" w:history="1">
        <w:r w:rsidR="00420023" w:rsidRPr="00820A5A">
          <w:rPr>
            <w:rStyle w:val="Hyperlink"/>
          </w:rPr>
          <w:t>www.mbsonline.gov.au</w:t>
        </w:r>
      </w:hyperlink>
      <w:r w:rsidR="00AA69A9">
        <w:rPr>
          <w:rStyle w:val="Hyperlink"/>
        </w:rPr>
        <w:t>.</w:t>
      </w:r>
      <w:r w:rsidR="00D6302E"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8" w:history="1">
        <w:r w:rsidR="00ED1055" w:rsidRPr="00420023">
          <w:rPr>
            <w:rStyle w:val="Hyperlink"/>
          </w:rPr>
          <w:t>MBS Online</w:t>
        </w:r>
      </w:hyperlink>
      <w:r w:rsidR="00ED1055">
        <w:t xml:space="preserve"> a</w:t>
      </w:r>
      <w:r w:rsidR="00D62923">
        <w:t>nd clicking</w:t>
      </w:r>
      <w:r w:rsidR="00D16EF3">
        <w:t xml:space="preserve"> ‘Subscribe’.</w:t>
      </w:r>
      <w:r w:rsidR="00D6302E">
        <w:t xml:space="preserve"> </w:t>
      </w:r>
    </w:p>
    <w:p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9" w:history="1">
        <w:r w:rsidRPr="00AF4D21">
          <w:rPr>
            <w:rStyle w:val="Hyperlink"/>
          </w:rPr>
          <w:t>askMBS@health.gov.au</w:t>
        </w:r>
      </w:hyperlink>
      <w:r>
        <w:t>.</w:t>
      </w:r>
    </w:p>
    <w:p w:rsidR="00B378D4" w:rsidRDefault="00B378D4">
      <w:r>
        <w:lastRenderedPageBreak/>
        <w:t>Subscribe to ‘</w:t>
      </w:r>
      <w:hyperlink r:id="rId10" w:history="1">
        <w:r w:rsidRPr="00B378D4">
          <w:rPr>
            <w:rStyle w:val="Hyperlink"/>
          </w:rPr>
          <w:t>News for Health Professionals</w:t>
        </w:r>
      </w:hyperlink>
      <w:r>
        <w:t xml:space="preserve">’ on the </w:t>
      </w:r>
      <w:r w:rsidR="004D40E2">
        <w:t>Services Australia</w:t>
      </w:r>
      <w:r>
        <w:t xml:space="preserve"> website and you will receive regular news highlights.</w:t>
      </w:r>
    </w:p>
    <w:p w:rsidR="00656F11" w:rsidRDefault="00ED1055" w:rsidP="005E1472">
      <w:r>
        <w:t xml:space="preserve">If you are seeking advice in relation to Medicare billing, claiming, payments, or obtaining a provider number, please </w:t>
      </w:r>
      <w:bookmarkStart w:id="3" w:name="_Hlk7773414"/>
      <w:r w:rsidR="00B378D4">
        <w:t xml:space="preserve">go to the Health Professionals page on the </w:t>
      </w:r>
      <w:r w:rsidR="004D40E2">
        <w:t>Services Australia</w:t>
      </w:r>
      <w:r w:rsidR="00B378D4">
        <w:t xml:space="preserve"> website or </w:t>
      </w:r>
      <w:bookmarkEnd w:id="3"/>
      <w:r>
        <w:t xml:space="preserve">contact </w:t>
      </w:r>
      <w:r w:rsidR="004D40E2">
        <w:t>Services Australia</w:t>
      </w:r>
      <w:r>
        <w:t xml:space="preserve"> on the Provider Enquiry Line </w:t>
      </w:r>
      <w:r w:rsidR="00E7460D">
        <w:t>–</w:t>
      </w:r>
      <w:r>
        <w:t xml:space="preserve"> 13 21 50. </w:t>
      </w:r>
    </w:p>
    <w:p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656F11" w:rsidRPr="0064535F" w:rsidRDefault="00656F11" w:rsidP="0064535F">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sectPr w:rsidR="00656F11" w:rsidRPr="0064535F" w:rsidSect="003E6457">
      <w:headerReference w:type="default" r:id="rId11"/>
      <w:footerReference w:type="default" r:id="rId12"/>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983" w:rsidRDefault="002E0983" w:rsidP="006D1088">
      <w:pPr>
        <w:spacing w:after="0" w:line="240" w:lineRule="auto"/>
      </w:pPr>
      <w:r>
        <w:separator/>
      </w:r>
    </w:p>
  </w:endnote>
  <w:endnote w:type="continuationSeparator" w:id="0">
    <w:p w:rsidR="002E0983" w:rsidRDefault="002E0983"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BA" w:rsidRDefault="00E36E51" w:rsidP="009B32BA">
    <w:pPr>
      <w:pStyle w:val="Footer"/>
    </w:pPr>
    <w:r>
      <w:rPr>
        <w:rStyle w:val="BookTitle"/>
        <w:noProof/>
      </w:rPr>
      <w:pict w14:anchorId="5B303B60">
        <v:rect id="_x0000_i1026" style="width:523.3pt;height:1.9pt" o:hralign="center" o:hrstd="t" o:hr="t" fillcolor="#a0a0a0" stroked="f"/>
      </w:pict>
    </w:r>
    <w:r w:rsidR="009B32BA">
      <w:t>Medicare Benefits Schedule</w:t>
    </w:r>
  </w:p>
  <w:p w:rsidR="009B32BA" w:rsidRDefault="002E0983" w:rsidP="009B32BA">
    <w:pPr>
      <w:pStyle w:val="Footer"/>
      <w:tabs>
        <w:tab w:val="clear" w:pos="9026"/>
        <w:tab w:val="right" w:pos="10466"/>
      </w:tabs>
    </w:pPr>
    <w:r w:rsidRPr="002E0983">
      <w:rPr>
        <w:b/>
      </w:rPr>
      <w:t xml:space="preserve">Change to MBS </w:t>
    </w:r>
    <w:r w:rsidR="00E04877">
      <w:rPr>
        <w:b/>
      </w:rPr>
      <w:t>colonoscopy items</w:t>
    </w:r>
    <w:r w:rsidRPr="002E0983">
      <w:rPr>
        <w:b/>
      </w:rPr>
      <w:t xml:space="preserve"> 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E36E51">
                  <w:rPr>
                    <w:bCs/>
                    <w:noProof/>
                  </w:rPr>
                  <w:t>2</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E36E51">
                  <w:rPr>
                    <w:bCs/>
                    <w:noProof/>
                  </w:rPr>
                  <w:t>4</w:t>
                </w:r>
                <w:r w:rsidR="009B32BA" w:rsidRPr="00F546CA">
                  <w:rPr>
                    <w:bCs/>
                    <w:sz w:val="24"/>
                    <w:szCs w:val="24"/>
                  </w:rPr>
                  <w:fldChar w:fldCharType="end"/>
                </w:r>
              </w:sdtContent>
            </w:sdt>
          </w:sdtContent>
        </w:sdt>
        <w:r w:rsidR="009B32BA">
          <w:t xml:space="preserve"> </w:t>
        </w:r>
      </w:sdtContent>
    </w:sdt>
  </w:p>
  <w:p w:rsidR="009B32BA" w:rsidRDefault="00E36E51">
    <w:pPr>
      <w:pStyle w:val="Footer"/>
      <w:rPr>
        <w:rStyle w:val="Hyperlink"/>
        <w:szCs w:val="18"/>
      </w:rPr>
    </w:pPr>
    <w:hyperlink r:id="rId1" w:history="1">
      <w:r w:rsidR="009B32BA" w:rsidRPr="00E863C4">
        <w:rPr>
          <w:rStyle w:val="Hyperlink"/>
          <w:szCs w:val="18"/>
        </w:rPr>
        <w:t>MBS Online</w:t>
      </w:r>
    </w:hyperlink>
  </w:p>
  <w:p w:rsidR="00570B62" w:rsidRPr="009B32BA" w:rsidRDefault="00570B62">
    <w:pPr>
      <w:pStyle w:val="Footer"/>
      <w:rPr>
        <w:szCs w:val="18"/>
      </w:rPr>
    </w:pPr>
    <w:r w:rsidRPr="00870B05">
      <w:t>Last updated</w:t>
    </w:r>
    <w:r>
      <w:t xml:space="preserve"> – </w:t>
    </w:r>
    <w:r w:rsidR="00F72371">
      <w:t>21 December</w:t>
    </w:r>
    <w:r w:rsidR="00905C3C">
      <w:t xml:space="preserve"> 2020</w:t>
    </w:r>
  </w:p>
  <w:p w:rsidR="00534488" w:rsidRDefault="0053448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983" w:rsidRDefault="002E0983" w:rsidP="006D1088">
      <w:pPr>
        <w:spacing w:after="0" w:line="240" w:lineRule="auto"/>
      </w:pPr>
      <w:r>
        <w:separator/>
      </w:r>
    </w:p>
  </w:footnote>
  <w:footnote w:type="continuationSeparator" w:id="0">
    <w:p w:rsidR="002E0983" w:rsidRDefault="002E0983"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6D1088">
    <w:pPr>
      <w:pStyle w:val="Header"/>
    </w:pPr>
    <w:r w:rsidRPr="006D1088">
      <w:rPr>
        <w:noProof/>
        <w:lang w:eastAsia="en-AU"/>
      </w:rPr>
      <w:drawing>
        <wp:anchor distT="0" distB="0" distL="114300" distR="114300" simplePos="0" relativeHeight="251658240" behindDoc="1" locked="0" layoutInCell="1" allowOverlap="1" wp14:anchorId="63F166A6" wp14:editId="16D96A75">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34488" w:rsidRDefault="0053448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983"/>
    <w:rsid w:val="000074DD"/>
    <w:rsid w:val="000367AA"/>
    <w:rsid w:val="000427E0"/>
    <w:rsid w:val="00045810"/>
    <w:rsid w:val="0006537F"/>
    <w:rsid w:val="00081B97"/>
    <w:rsid w:val="000A2F0A"/>
    <w:rsid w:val="000B01AE"/>
    <w:rsid w:val="000B2A1B"/>
    <w:rsid w:val="000C2143"/>
    <w:rsid w:val="000C3B83"/>
    <w:rsid w:val="000D1778"/>
    <w:rsid w:val="001014EB"/>
    <w:rsid w:val="00102885"/>
    <w:rsid w:val="00121100"/>
    <w:rsid w:val="00124E0B"/>
    <w:rsid w:val="00130343"/>
    <w:rsid w:val="00135417"/>
    <w:rsid w:val="00141BC3"/>
    <w:rsid w:val="001432AF"/>
    <w:rsid w:val="00151636"/>
    <w:rsid w:val="00155BD4"/>
    <w:rsid w:val="00167446"/>
    <w:rsid w:val="0017279A"/>
    <w:rsid w:val="00181B52"/>
    <w:rsid w:val="0018507E"/>
    <w:rsid w:val="0019170A"/>
    <w:rsid w:val="001A6FE6"/>
    <w:rsid w:val="001A7FB7"/>
    <w:rsid w:val="001C5C56"/>
    <w:rsid w:val="001E6F63"/>
    <w:rsid w:val="001F49E8"/>
    <w:rsid w:val="00200902"/>
    <w:rsid w:val="00203F3E"/>
    <w:rsid w:val="00221334"/>
    <w:rsid w:val="002427E0"/>
    <w:rsid w:val="00243D1C"/>
    <w:rsid w:val="002644E9"/>
    <w:rsid w:val="0026502E"/>
    <w:rsid w:val="00276A29"/>
    <w:rsid w:val="00281820"/>
    <w:rsid w:val="00285471"/>
    <w:rsid w:val="002A3C7C"/>
    <w:rsid w:val="002A5A70"/>
    <w:rsid w:val="002B70AC"/>
    <w:rsid w:val="002D2CC5"/>
    <w:rsid w:val="002D7CCB"/>
    <w:rsid w:val="002E0983"/>
    <w:rsid w:val="002E2BD3"/>
    <w:rsid w:val="003122B4"/>
    <w:rsid w:val="00337919"/>
    <w:rsid w:val="00345DC5"/>
    <w:rsid w:val="00352174"/>
    <w:rsid w:val="00355E8A"/>
    <w:rsid w:val="00363819"/>
    <w:rsid w:val="00374AE3"/>
    <w:rsid w:val="00397CDB"/>
    <w:rsid w:val="003A52BA"/>
    <w:rsid w:val="003B56AD"/>
    <w:rsid w:val="003C2C9B"/>
    <w:rsid w:val="003D5CEF"/>
    <w:rsid w:val="003E0945"/>
    <w:rsid w:val="003E6457"/>
    <w:rsid w:val="003F6682"/>
    <w:rsid w:val="00405506"/>
    <w:rsid w:val="00420023"/>
    <w:rsid w:val="00425089"/>
    <w:rsid w:val="00427D7F"/>
    <w:rsid w:val="004324B6"/>
    <w:rsid w:val="00433682"/>
    <w:rsid w:val="0043744D"/>
    <w:rsid w:val="00445086"/>
    <w:rsid w:val="004511F2"/>
    <w:rsid w:val="00494B72"/>
    <w:rsid w:val="00496081"/>
    <w:rsid w:val="004A1348"/>
    <w:rsid w:val="004B243F"/>
    <w:rsid w:val="004C2B08"/>
    <w:rsid w:val="004D2C7C"/>
    <w:rsid w:val="004D40E2"/>
    <w:rsid w:val="004D71C4"/>
    <w:rsid w:val="004E52A2"/>
    <w:rsid w:val="004F0AA6"/>
    <w:rsid w:val="00510063"/>
    <w:rsid w:val="00516AAF"/>
    <w:rsid w:val="005261D0"/>
    <w:rsid w:val="00534488"/>
    <w:rsid w:val="0054242B"/>
    <w:rsid w:val="00542F07"/>
    <w:rsid w:val="00543427"/>
    <w:rsid w:val="00550525"/>
    <w:rsid w:val="00570B62"/>
    <w:rsid w:val="00583A23"/>
    <w:rsid w:val="00595BBD"/>
    <w:rsid w:val="0059641E"/>
    <w:rsid w:val="005B3E1C"/>
    <w:rsid w:val="005B3EAE"/>
    <w:rsid w:val="005B5434"/>
    <w:rsid w:val="005D6810"/>
    <w:rsid w:val="005E1472"/>
    <w:rsid w:val="006173AC"/>
    <w:rsid w:val="0062100F"/>
    <w:rsid w:val="00634880"/>
    <w:rsid w:val="006425BA"/>
    <w:rsid w:val="0064535F"/>
    <w:rsid w:val="00650B9A"/>
    <w:rsid w:val="00653345"/>
    <w:rsid w:val="00655D74"/>
    <w:rsid w:val="00656F11"/>
    <w:rsid w:val="00665534"/>
    <w:rsid w:val="00684D37"/>
    <w:rsid w:val="00694030"/>
    <w:rsid w:val="006961D6"/>
    <w:rsid w:val="006975B7"/>
    <w:rsid w:val="006A175B"/>
    <w:rsid w:val="006A43E8"/>
    <w:rsid w:val="006C1173"/>
    <w:rsid w:val="006D04CC"/>
    <w:rsid w:val="006D1088"/>
    <w:rsid w:val="006D2A35"/>
    <w:rsid w:val="006E6AFD"/>
    <w:rsid w:val="006F5785"/>
    <w:rsid w:val="00726103"/>
    <w:rsid w:val="00727F4C"/>
    <w:rsid w:val="00734F6B"/>
    <w:rsid w:val="00736D31"/>
    <w:rsid w:val="00777CB5"/>
    <w:rsid w:val="00781867"/>
    <w:rsid w:val="007D1D3A"/>
    <w:rsid w:val="007E2604"/>
    <w:rsid w:val="007E33D2"/>
    <w:rsid w:val="00824D28"/>
    <w:rsid w:val="00834903"/>
    <w:rsid w:val="008352AC"/>
    <w:rsid w:val="00852651"/>
    <w:rsid w:val="008553F7"/>
    <w:rsid w:val="008561FF"/>
    <w:rsid w:val="00864E28"/>
    <w:rsid w:val="00866EEF"/>
    <w:rsid w:val="008766AD"/>
    <w:rsid w:val="00881219"/>
    <w:rsid w:val="008957B9"/>
    <w:rsid w:val="008A6F4F"/>
    <w:rsid w:val="008C65CD"/>
    <w:rsid w:val="008E0A34"/>
    <w:rsid w:val="008E258C"/>
    <w:rsid w:val="008E4C9B"/>
    <w:rsid w:val="008E7B7C"/>
    <w:rsid w:val="008F1594"/>
    <w:rsid w:val="008F4B45"/>
    <w:rsid w:val="009000AA"/>
    <w:rsid w:val="00901F5E"/>
    <w:rsid w:val="00904C3E"/>
    <w:rsid w:val="00905C3C"/>
    <w:rsid w:val="00907B4A"/>
    <w:rsid w:val="0091587B"/>
    <w:rsid w:val="0091706C"/>
    <w:rsid w:val="00942A31"/>
    <w:rsid w:val="009542F2"/>
    <w:rsid w:val="009562F4"/>
    <w:rsid w:val="00977405"/>
    <w:rsid w:val="009858E2"/>
    <w:rsid w:val="009B32BA"/>
    <w:rsid w:val="009B51E7"/>
    <w:rsid w:val="009B5206"/>
    <w:rsid w:val="009B7859"/>
    <w:rsid w:val="009C742B"/>
    <w:rsid w:val="009D0B98"/>
    <w:rsid w:val="009E4A9E"/>
    <w:rsid w:val="009E66EE"/>
    <w:rsid w:val="009E6DE2"/>
    <w:rsid w:val="009E76F7"/>
    <w:rsid w:val="009F52D4"/>
    <w:rsid w:val="00A12835"/>
    <w:rsid w:val="00A167C9"/>
    <w:rsid w:val="00A26321"/>
    <w:rsid w:val="00A26614"/>
    <w:rsid w:val="00A27E24"/>
    <w:rsid w:val="00A3287F"/>
    <w:rsid w:val="00A37CE3"/>
    <w:rsid w:val="00A51FC5"/>
    <w:rsid w:val="00A526F1"/>
    <w:rsid w:val="00A5641C"/>
    <w:rsid w:val="00A60FB7"/>
    <w:rsid w:val="00A64177"/>
    <w:rsid w:val="00A7172E"/>
    <w:rsid w:val="00A72FDB"/>
    <w:rsid w:val="00A91196"/>
    <w:rsid w:val="00AA41CD"/>
    <w:rsid w:val="00AA5232"/>
    <w:rsid w:val="00AA69A9"/>
    <w:rsid w:val="00AB53A4"/>
    <w:rsid w:val="00AE2F7E"/>
    <w:rsid w:val="00B06E28"/>
    <w:rsid w:val="00B15CE8"/>
    <w:rsid w:val="00B2044B"/>
    <w:rsid w:val="00B23A4C"/>
    <w:rsid w:val="00B31FBA"/>
    <w:rsid w:val="00B322EF"/>
    <w:rsid w:val="00B378D4"/>
    <w:rsid w:val="00B3793F"/>
    <w:rsid w:val="00B542FB"/>
    <w:rsid w:val="00B714E8"/>
    <w:rsid w:val="00B77FC0"/>
    <w:rsid w:val="00B83E3D"/>
    <w:rsid w:val="00B90DB5"/>
    <w:rsid w:val="00BA0109"/>
    <w:rsid w:val="00BA7731"/>
    <w:rsid w:val="00BA7CA8"/>
    <w:rsid w:val="00BB25DE"/>
    <w:rsid w:val="00BC50C1"/>
    <w:rsid w:val="00BD1C20"/>
    <w:rsid w:val="00BD2649"/>
    <w:rsid w:val="00BE2018"/>
    <w:rsid w:val="00BE505F"/>
    <w:rsid w:val="00BF00A9"/>
    <w:rsid w:val="00BF426F"/>
    <w:rsid w:val="00C0126E"/>
    <w:rsid w:val="00C11326"/>
    <w:rsid w:val="00C131D7"/>
    <w:rsid w:val="00C13ABA"/>
    <w:rsid w:val="00C4491F"/>
    <w:rsid w:val="00C50734"/>
    <w:rsid w:val="00C61A31"/>
    <w:rsid w:val="00C66700"/>
    <w:rsid w:val="00C77159"/>
    <w:rsid w:val="00CA5F76"/>
    <w:rsid w:val="00CC39C8"/>
    <w:rsid w:val="00CF45CC"/>
    <w:rsid w:val="00D11EDB"/>
    <w:rsid w:val="00D16EF3"/>
    <w:rsid w:val="00D3244E"/>
    <w:rsid w:val="00D37294"/>
    <w:rsid w:val="00D3741F"/>
    <w:rsid w:val="00D422E5"/>
    <w:rsid w:val="00D467F7"/>
    <w:rsid w:val="00D62923"/>
    <w:rsid w:val="00D6302E"/>
    <w:rsid w:val="00D67E9A"/>
    <w:rsid w:val="00D76659"/>
    <w:rsid w:val="00DA50D6"/>
    <w:rsid w:val="00DB54A4"/>
    <w:rsid w:val="00DC127A"/>
    <w:rsid w:val="00DC356C"/>
    <w:rsid w:val="00DD1471"/>
    <w:rsid w:val="00DE22E2"/>
    <w:rsid w:val="00DF4D3A"/>
    <w:rsid w:val="00DF7606"/>
    <w:rsid w:val="00DF7C32"/>
    <w:rsid w:val="00E04877"/>
    <w:rsid w:val="00E2774C"/>
    <w:rsid w:val="00E36E51"/>
    <w:rsid w:val="00E43F82"/>
    <w:rsid w:val="00E7460D"/>
    <w:rsid w:val="00E81A86"/>
    <w:rsid w:val="00EA2CDC"/>
    <w:rsid w:val="00EB1630"/>
    <w:rsid w:val="00EB3BF6"/>
    <w:rsid w:val="00EC2DBE"/>
    <w:rsid w:val="00ED1055"/>
    <w:rsid w:val="00ED2B70"/>
    <w:rsid w:val="00ED3AA0"/>
    <w:rsid w:val="00ED60EE"/>
    <w:rsid w:val="00F074CE"/>
    <w:rsid w:val="00F07E89"/>
    <w:rsid w:val="00F33D07"/>
    <w:rsid w:val="00F50491"/>
    <w:rsid w:val="00F50994"/>
    <w:rsid w:val="00F72371"/>
    <w:rsid w:val="00F72A03"/>
    <w:rsid w:val="00F74AD4"/>
    <w:rsid w:val="00F74DFC"/>
    <w:rsid w:val="00F910C6"/>
    <w:rsid w:val="00F93F71"/>
    <w:rsid w:val="00FB4DEF"/>
    <w:rsid w:val="00FC690D"/>
    <w:rsid w:val="00FD1E77"/>
    <w:rsid w:val="00FE50B6"/>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nhideWhenUsed/>
    <w:rsid w:val="00907B4A"/>
    <w:rPr>
      <w:sz w:val="16"/>
      <w:szCs w:val="16"/>
    </w:rPr>
  </w:style>
  <w:style w:type="paragraph" w:styleId="CommentText">
    <w:name w:val="annotation text"/>
    <w:basedOn w:val="Normal"/>
    <w:link w:val="CommentTextChar"/>
    <w:unhideWhenUsed/>
    <w:rsid w:val="00907B4A"/>
    <w:pPr>
      <w:spacing w:line="240" w:lineRule="auto"/>
    </w:pPr>
    <w:rPr>
      <w:szCs w:val="20"/>
    </w:rPr>
  </w:style>
  <w:style w:type="character" w:customStyle="1" w:styleId="CommentTextChar">
    <w:name w:val="Comment Text Char"/>
    <w:basedOn w:val="DefaultParagraphFont"/>
    <w:link w:val="CommentText"/>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Tablea">
    <w:name w:val="Table(a)"/>
    <w:aliases w:val="ta"/>
    <w:basedOn w:val="Normal"/>
    <w:rsid w:val="00A72FDB"/>
    <w:pPr>
      <w:spacing w:before="60" w:after="0" w:line="240" w:lineRule="auto"/>
      <w:ind w:left="284" w:hanging="284"/>
    </w:pPr>
    <w:rPr>
      <w:rFonts w:ascii="Times New Roman" w:eastAsia="Times New Roman" w:hAnsi="Times New Roman" w:cs="Times New Roman"/>
      <w:szCs w:val="20"/>
      <w:lang w:eastAsia="en-AU"/>
    </w:rPr>
  </w:style>
  <w:style w:type="paragraph" w:customStyle="1" w:styleId="Tablei">
    <w:name w:val="Table(i)"/>
    <w:aliases w:val="taa"/>
    <w:basedOn w:val="Normal"/>
    <w:rsid w:val="00A72FDB"/>
    <w:pPr>
      <w:tabs>
        <w:tab w:val="left" w:pos="-6543"/>
        <w:tab w:val="left" w:pos="-6260"/>
        <w:tab w:val="right" w:pos="970"/>
      </w:tabs>
      <w:spacing w:after="0" w:line="240" w:lineRule="exact"/>
      <w:ind w:left="828" w:hanging="284"/>
    </w:pPr>
    <w:rPr>
      <w:rFonts w:ascii="Times New Roman" w:eastAsia="Times New Roman" w:hAnsi="Times New Roman" w:cs="Times New Roman"/>
      <w:szCs w:val="20"/>
      <w:lang w:eastAsia="en-AU"/>
    </w:rPr>
  </w:style>
  <w:style w:type="table" w:styleId="TableGrid">
    <w:name w:val="Table Grid"/>
    <w:basedOn w:val="TableNormal"/>
    <w:uiPriority w:val="39"/>
    <w:rsid w:val="00A72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aliases w:val="tt"/>
    <w:basedOn w:val="Normal"/>
    <w:rsid w:val="00665534"/>
    <w:pPr>
      <w:spacing w:before="60" w:after="0" w:line="240" w:lineRule="atLeast"/>
    </w:pPr>
    <w:rPr>
      <w:rFonts w:ascii="Times New Roman" w:eastAsia="Times New Roman" w:hAnsi="Times New Roman" w:cs="Times New Roman"/>
      <w:szCs w:val="20"/>
      <w:lang w:eastAsia="en-AU"/>
    </w:rPr>
  </w:style>
  <w:style w:type="table" w:styleId="GridTable1Light-Accent6">
    <w:name w:val="Grid Table 1 Light Accent 6"/>
    <w:basedOn w:val="TableNormal"/>
    <w:uiPriority w:val="46"/>
    <w:rsid w:val="003C2C9B"/>
    <w:pPr>
      <w:spacing w:after="0" w:line="240" w:lineRule="auto"/>
    </w:pPr>
    <w:tblPr>
      <w:tblStyleRowBandSize w:val="1"/>
      <w:tblStyleColBandSize w:val="1"/>
      <w:tblBorders>
        <w:top w:val="single" w:sz="4" w:space="0" w:color="E69F9E" w:themeColor="accent6" w:themeTint="66"/>
        <w:left w:val="single" w:sz="4" w:space="0" w:color="E69F9E" w:themeColor="accent6" w:themeTint="66"/>
        <w:bottom w:val="single" w:sz="4" w:space="0" w:color="E69F9E" w:themeColor="accent6" w:themeTint="66"/>
        <w:right w:val="single" w:sz="4" w:space="0" w:color="E69F9E" w:themeColor="accent6" w:themeTint="66"/>
        <w:insideH w:val="single" w:sz="4" w:space="0" w:color="E69F9E" w:themeColor="accent6" w:themeTint="66"/>
        <w:insideV w:val="single" w:sz="4" w:space="0" w:color="E69F9E" w:themeColor="accent6" w:themeTint="66"/>
      </w:tblBorders>
    </w:tblPr>
    <w:tblStylePr w:type="firstRow">
      <w:rPr>
        <w:b/>
        <w:bCs/>
      </w:rPr>
      <w:tblPr/>
      <w:tcPr>
        <w:tcBorders>
          <w:bottom w:val="single" w:sz="12" w:space="0" w:color="DA6F6E" w:themeColor="accent6" w:themeTint="99"/>
        </w:tcBorders>
      </w:tcPr>
    </w:tblStylePr>
    <w:tblStylePr w:type="lastRow">
      <w:rPr>
        <w:b/>
        <w:bCs/>
      </w:rPr>
      <w:tblPr/>
      <w:tcPr>
        <w:tcBorders>
          <w:top w:val="double" w:sz="2" w:space="0" w:color="DA6F6E" w:themeColor="accent6"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C2C9B"/>
    <w:pPr>
      <w:spacing w:after="0" w:line="240" w:lineRule="auto"/>
    </w:pPr>
    <w:tblPr>
      <w:tblStyleRowBandSize w:val="1"/>
      <w:tblStyleColBandSize w:val="1"/>
      <w:tblBorders>
        <w:top w:val="single" w:sz="4" w:space="0" w:color="FFDF83" w:themeColor="accent3" w:themeTint="66"/>
        <w:left w:val="single" w:sz="4" w:space="0" w:color="FFDF83" w:themeColor="accent3" w:themeTint="66"/>
        <w:bottom w:val="single" w:sz="4" w:space="0" w:color="FFDF83" w:themeColor="accent3" w:themeTint="66"/>
        <w:right w:val="single" w:sz="4" w:space="0" w:color="FFDF83" w:themeColor="accent3" w:themeTint="66"/>
        <w:insideH w:val="single" w:sz="4" w:space="0" w:color="FFDF83" w:themeColor="accent3" w:themeTint="66"/>
        <w:insideV w:val="single" w:sz="4" w:space="0" w:color="FFDF83" w:themeColor="accent3" w:themeTint="66"/>
      </w:tblBorders>
    </w:tblPr>
    <w:tblStylePr w:type="firstRow">
      <w:rPr>
        <w:b/>
        <w:bCs/>
      </w:rPr>
      <w:tblPr/>
      <w:tcPr>
        <w:tcBorders>
          <w:bottom w:val="single" w:sz="12" w:space="0" w:color="FFD045" w:themeColor="accent3" w:themeTint="99"/>
        </w:tcBorders>
      </w:tcPr>
    </w:tblStylePr>
    <w:tblStylePr w:type="lastRow">
      <w:rPr>
        <w:b/>
        <w:bCs/>
      </w:rPr>
      <w:tblPr/>
      <w:tcPr>
        <w:tcBorders>
          <w:top w:val="double" w:sz="2" w:space="0" w:color="FFD045"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C2C9B"/>
    <w:pPr>
      <w:spacing w:after="0" w:line="240" w:lineRule="auto"/>
    </w:pPr>
    <w:tblPr>
      <w:tblStyleRowBandSize w:val="1"/>
      <w:tblStyleColBandSize w:val="1"/>
      <w:tblBorders>
        <w:top w:val="single" w:sz="4" w:space="0" w:color="C9DBB3" w:themeColor="accent2" w:themeTint="66"/>
        <w:left w:val="single" w:sz="4" w:space="0" w:color="C9DBB3" w:themeColor="accent2" w:themeTint="66"/>
        <w:bottom w:val="single" w:sz="4" w:space="0" w:color="C9DBB3" w:themeColor="accent2" w:themeTint="66"/>
        <w:right w:val="single" w:sz="4" w:space="0" w:color="C9DBB3" w:themeColor="accent2" w:themeTint="66"/>
        <w:insideH w:val="single" w:sz="4" w:space="0" w:color="C9DBB3" w:themeColor="accent2" w:themeTint="66"/>
        <w:insideV w:val="single" w:sz="4" w:space="0" w:color="C9DBB3" w:themeColor="accent2" w:themeTint="66"/>
      </w:tblBorders>
    </w:tblPr>
    <w:tblStylePr w:type="firstRow">
      <w:rPr>
        <w:b/>
        <w:bCs/>
      </w:rPr>
      <w:tblPr/>
      <w:tcPr>
        <w:tcBorders>
          <w:bottom w:val="single" w:sz="12" w:space="0" w:color="AEC98D" w:themeColor="accent2" w:themeTint="99"/>
        </w:tcBorders>
      </w:tcPr>
    </w:tblStylePr>
    <w:tblStylePr w:type="lastRow">
      <w:rPr>
        <w:b/>
        <w:bCs/>
      </w:rPr>
      <w:tblPr/>
      <w:tcPr>
        <w:tcBorders>
          <w:top w:val="double" w:sz="2" w:space="0" w:color="AEC98D" w:themeColor="accent2"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3C2C9B"/>
    <w:pPr>
      <w:spacing w:after="0" w:line="240" w:lineRule="auto"/>
    </w:pPr>
    <w:tblPr>
      <w:tblStyleRowBandSize w:val="1"/>
      <w:tblStyleColBandSize w:val="1"/>
      <w:tblBorders>
        <w:top w:val="single" w:sz="4" w:space="0" w:color="DE937E" w:themeColor="accent5" w:themeTint="99"/>
        <w:left w:val="single" w:sz="4" w:space="0" w:color="DE937E" w:themeColor="accent5" w:themeTint="99"/>
        <w:bottom w:val="single" w:sz="4" w:space="0" w:color="DE937E" w:themeColor="accent5" w:themeTint="99"/>
        <w:right w:val="single" w:sz="4" w:space="0" w:color="DE937E" w:themeColor="accent5" w:themeTint="99"/>
        <w:insideH w:val="single" w:sz="4" w:space="0" w:color="DE937E" w:themeColor="accent5" w:themeTint="99"/>
        <w:insideV w:val="single" w:sz="4" w:space="0" w:color="DE937E" w:themeColor="accent5" w:themeTint="99"/>
      </w:tblBorders>
    </w:tblPr>
    <w:tblStylePr w:type="firstRow">
      <w:rPr>
        <w:b/>
        <w:bCs/>
        <w:color w:val="FFFFFF" w:themeColor="background1"/>
      </w:rPr>
      <w:tblPr/>
      <w:tcPr>
        <w:tcBorders>
          <w:top w:val="single" w:sz="4" w:space="0" w:color="C05131" w:themeColor="accent5"/>
          <w:left w:val="single" w:sz="4" w:space="0" w:color="C05131" w:themeColor="accent5"/>
          <w:bottom w:val="single" w:sz="4" w:space="0" w:color="C05131" w:themeColor="accent5"/>
          <w:right w:val="single" w:sz="4" w:space="0" w:color="C05131" w:themeColor="accent5"/>
          <w:insideH w:val="nil"/>
          <w:insideV w:val="nil"/>
        </w:tcBorders>
        <w:shd w:val="clear" w:color="auto" w:fill="C05131" w:themeFill="accent5"/>
      </w:tcPr>
    </w:tblStylePr>
    <w:tblStylePr w:type="lastRow">
      <w:rPr>
        <w:b/>
        <w:bCs/>
      </w:rPr>
      <w:tblPr/>
      <w:tcPr>
        <w:tcBorders>
          <w:top w:val="double" w:sz="4" w:space="0" w:color="C05131" w:themeColor="accent5"/>
        </w:tcBorders>
      </w:tcPr>
    </w:tblStylePr>
    <w:tblStylePr w:type="firstCol">
      <w:rPr>
        <w:b/>
        <w:bCs/>
      </w:rPr>
    </w:tblStylePr>
    <w:tblStylePr w:type="lastCol">
      <w:rPr>
        <w:b/>
        <w:bCs/>
      </w:rPr>
    </w:tblStylePr>
    <w:tblStylePr w:type="band1Vert">
      <w:tblPr/>
      <w:tcPr>
        <w:shd w:val="clear" w:color="auto" w:fill="F4DBD3" w:themeFill="accent5" w:themeFillTint="33"/>
      </w:tcPr>
    </w:tblStylePr>
    <w:tblStylePr w:type="band1Horz">
      <w:tblPr/>
      <w:tcPr>
        <w:shd w:val="clear" w:color="auto" w:fill="F4DBD3" w:themeFill="accent5" w:themeFillTint="33"/>
      </w:tcPr>
    </w:tblStylePr>
  </w:style>
  <w:style w:type="table" w:styleId="GridTable4-Accent3">
    <w:name w:val="Grid Table 4 Accent 3"/>
    <w:basedOn w:val="TableNormal"/>
    <w:uiPriority w:val="49"/>
    <w:rsid w:val="003C2C9B"/>
    <w:pPr>
      <w:spacing w:after="0" w:line="240" w:lineRule="auto"/>
    </w:pPr>
    <w:tblPr>
      <w:tblStyleRowBandSize w:val="1"/>
      <w:tblStyleColBandSize w:val="1"/>
      <w:tblBorders>
        <w:top w:val="single" w:sz="4" w:space="0" w:color="FFD045" w:themeColor="accent3" w:themeTint="99"/>
        <w:left w:val="single" w:sz="4" w:space="0" w:color="FFD045" w:themeColor="accent3" w:themeTint="99"/>
        <w:bottom w:val="single" w:sz="4" w:space="0" w:color="FFD045" w:themeColor="accent3" w:themeTint="99"/>
        <w:right w:val="single" w:sz="4" w:space="0" w:color="FFD045" w:themeColor="accent3" w:themeTint="99"/>
        <w:insideH w:val="single" w:sz="4" w:space="0" w:color="FFD045" w:themeColor="accent3" w:themeTint="99"/>
        <w:insideV w:val="single" w:sz="4" w:space="0" w:color="FFD045" w:themeColor="accent3" w:themeTint="99"/>
      </w:tblBorders>
    </w:tblPr>
    <w:tblStylePr w:type="firstRow">
      <w:rPr>
        <w:b/>
        <w:bCs/>
        <w:color w:val="FFFFFF" w:themeColor="background1"/>
      </w:rPr>
      <w:tblPr/>
      <w:tcPr>
        <w:tcBorders>
          <w:top w:val="single" w:sz="4" w:space="0" w:color="C99700" w:themeColor="accent3"/>
          <w:left w:val="single" w:sz="4" w:space="0" w:color="C99700" w:themeColor="accent3"/>
          <w:bottom w:val="single" w:sz="4" w:space="0" w:color="C99700" w:themeColor="accent3"/>
          <w:right w:val="single" w:sz="4" w:space="0" w:color="C99700" w:themeColor="accent3"/>
          <w:insideH w:val="nil"/>
          <w:insideV w:val="nil"/>
        </w:tcBorders>
        <w:shd w:val="clear" w:color="auto" w:fill="C99700" w:themeFill="accent3"/>
      </w:tcPr>
    </w:tblStylePr>
    <w:tblStylePr w:type="lastRow">
      <w:rPr>
        <w:b/>
        <w:bCs/>
      </w:rPr>
      <w:tblPr/>
      <w:tcPr>
        <w:tcBorders>
          <w:top w:val="double" w:sz="4" w:space="0" w:color="C99700" w:themeColor="accent3"/>
        </w:tcBorders>
      </w:tcPr>
    </w:tblStylePr>
    <w:tblStylePr w:type="firstCol">
      <w:rPr>
        <w:b/>
        <w:bCs/>
      </w:rPr>
    </w:tblStylePr>
    <w:tblStylePr w:type="lastCol">
      <w:rPr>
        <w:b/>
        <w:bCs/>
      </w:rPr>
    </w:tblStylePr>
    <w:tblStylePr w:type="band1Vert">
      <w:tblPr/>
      <w:tcPr>
        <w:shd w:val="clear" w:color="auto" w:fill="FFEFC1" w:themeFill="accent3" w:themeFillTint="33"/>
      </w:tcPr>
    </w:tblStylePr>
    <w:tblStylePr w:type="band1Horz">
      <w:tblPr/>
      <w:tcPr>
        <w:shd w:val="clear" w:color="auto" w:fill="FFEFC1" w:themeFill="accent3" w:themeFillTint="33"/>
      </w:tcPr>
    </w:tblStylePr>
  </w:style>
  <w:style w:type="table" w:styleId="GridTable4-Accent2">
    <w:name w:val="Grid Table 4 Accent 2"/>
    <w:basedOn w:val="TableNormal"/>
    <w:uiPriority w:val="49"/>
    <w:rsid w:val="003C2C9B"/>
    <w:pPr>
      <w:spacing w:after="0" w:line="240" w:lineRule="auto"/>
    </w:pPr>
    <w:tblPr>
      <w:tblStyleRowBandSize w:val="1"/>
      <w:tblStyleColBandSize w:val="1"/>
      <w:tblBorders>
        <w:top w:val="single" w:sz="4" w:space="0" w:color="AEC98D" w:themeColor="accent2" w:themeTint="99"/>
        <w:left w:val="single" w:sz="4" w:space="0" w:color="AEC98D" w:themeColor="accent2" w:themeTint="99"/>
        <w:bottom w:val="single" w:sz="4" w:space="0" w:color="AEC98D" w:themeColor="accent2" w:themeTint="99"/>
        <w:right w:val="single" w:sz="4" w:space="0" w:color="AEC98D" w:themeColor="accent2" w:themeTint="99"/>
        <w:insideH w:val="single" w:sz="4" w:space="0" w:color="AEC98D" w:themeColor="accent2" w:themeTint="99"/>
        <w:insideV w:val="single" w:sz="4" w:space="0" w:color="AEC98D" w:themeColor="accent2" w:themeTint="99"/>
      </w:tblBorders>
    </w:tblPr>
    <w:tblStylePr w:type="firstRow">
      <w:rPr>
        <w:b/>
        <w:bCs/>
        <w:color w:val="FFFFFF" w:themeColor="background1"/>
      </w:rPr>
      <w:tblPr/>
      <w:tcPr>
        <w:tcBorders>
          <w:top w:val="single" w:sz="4" w:space="0" w:color="789D4A" w:themeColor="accent2"/>
          <w:left w:val="single" w:sz="4" w:space="0" w:color="789D4A" w:themeColor="accent2"/>
          <w:bottom w:val="single" w:sz="4" w:space="0" w:color="789D4A" w:themeColor="accent2"/>
          <w:right w:val="single" w:sz="4" w:space="0" w:color="789D4A" w:themeColor="accent2"/>
          <w:insideH w:val="nil"/>
          <w:insideV w:val="nil"/>
        </w:tcBorders>
        <w:shd w:val="clear" w:color="auto" w:fill="789D4A" w:themeFill="accent2"/>
      </w:tcPr>
    </w:tblStylePr>
    <w:tblStylePr w:type="lastRow">
      <w:rPr>
        <w:b/>
        <w:bCs/>
      </w:rPr>
      <w:tblPr/>
      <w:tcPr>
        <w:tcBorders>
          <w:top w:val="double" w:sz="4" w:space="0" w:color="789D4A" w:themeColor="accent2"/>
        </w:tcBorders>
      </w:tcPr>
    </w:tblStylePr>
    <w:tblStylePr w:type="firstCol">
      <w:rPr>
        <w:b/>
        <w:bCs/>
      </w:rPr>
    </w:tblStylePr>
    <w:tblStylePr w:type="lastCol">
      <w:rPr>
        <w:b/>
        <w:bCs/>
      </w:rPr>
    </w:tblStylePr>
    <w:tblStylePr w:type="band1Vert">
      <w:tblPr/>
      <w:tcPr>
        <w:shd w:val="clear" w:color="auto" w:fill="E4EDD8" w:themeFill="accent2" w:themeFillTint="33"/>
      </w:tcPr>
    </w:tblStylePr>
    <w:tblStylePr w:type="band1Horz">
      <w:tblPr/>
      <w:tcPr>
        <w:shd w:val="clear" w:color="auto" w:fill="E4EDD8"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152335837">
      <w:bodyDiv w:val="1"/>
      <w:marLeft w:val="0"/>
      <w:marRight w:val="0"/>
      <w:marTop w:val="0"/>
      <w:marBottom w:val="0"/>
      <w:divBdr>
        <w:top w:val="none" w:sz="0" w:space="0" w:color="auto"/>
        <w:left w:val="none" w:sz="0" w:space="0" w:color="auto"/>
        <w:bottom w:val="none" w:sz="0" w:space="0" w:color="auto"/>
        <w:right w:val="none" w:sz="0" w:space="0" w:color="auto"/>
      </w:divBdr>
      <w:divsChild>
        <w:div w:id="2133859305">
          <w:marLeft w:val="0"/>
          <w:marRight w:val="0"/>
          <w:marTop w:val="240"/>
          <w:marBottom w:val="480"/>
          <w:divBdr>
            <w:top w:val="none" w:sz="0" w:space="0" w:color="auto"/>
            <w:left w:val="none" w:sz="0" w:space="0" w:color="auto"/>
            <w:bottom w:val="none" w:sz="0" w:space="0" w:color="auto"/>
            <w:right w:val="none" w:sz="0" w:space="0" w:color="auto"/>
          </w:divBdr>
          <w:divsChild>
            <w:div w:id="1793135978">
              <w:marLeft w:val="0"/>
              <w:marRight w:val="0"/>
              <w:marTop w:val="0"/>
              <w:marBottom w:val="0"/>
              <w:divBdr>
                <w:top w:val="none" w:sz="0" w:space="0" w:color="auto"/>
                <w:left w:val="none" w:sz="0" w:space="0" w:color="auto"/>
                <w:bottom w:val="none" w:sz="0" w:space="0" w:color="auto"/>
                <w:right w:val="none" w:sz="0" w:space="0" w:color="auto"/>
              </w:divBdr>
              <w:divsChild>
                <w:div w:id="165634925">
                  <w:marLeft w:val="0"/>
                  <w:marRight w:val="0"/>
                  <w:marTop w:val="0"/>
                  <w:marBottom w:val="0"/>
                  <w:divBdr>
                    <w:top w:val="none" w:sz="0" w:space="0" w:color="auto"/>
                    <w:left w:val="none" w:sz="0" w:space="0" w:color="auto"/>
                    <w:bottom w:val="none" w:sz="0" w:space="0" w:color="auto"/>
                    <w:right w:val="none" w:sz="0" w:space="0" w:color="auto"/>
                  </w:divBdr>
                  <w:divsChild>
                    <w:div w:id="1403914417">
                      <w:marLeft w:val="0"/>
                      <w:marRight w:val="0"/>
                      <w:marTop w:val="0"/>
                      <w:marBottom w:val="0"/>
                      <w:divBdr>
                        <w:top w:val="none" w:sz="0" w:space="0" w:color="auto"/>
                        <w:left w:val="none" w:sz="0" w:space="0" w:color="auto"/>
                        <w:bottom w:val="none" w:sz="0" w:space="0" w:color="auto"/>
                        <w:right w:val="none" w:sz="0" w:space="0" w:color="auto"/>
                      </w:divBdr>
                      <w:divsChild>
                        <w:div w:id="1151948955">
                          <w:marLeft w:val="0"/>
                          <w:marRight w:val="0"/>
                          <w:marTop w:val="0"/>
                          <w:marBottom w:val="0"/>
                          <w:divBdr>
                            <w:top w:val="none" w:sz="0" w:space="0" w:color="auto"/>
                            <w:left w:val="none" w:sz="0" w:space="0" w:color="auto"/>
                            <w:bottom w:val="none" w:sz="0" w:space="0" w:color="auto"/>
                            <w:right w:val="none" w:sz="0" w:space="0" w:color="auto"/>
                          </w:divBdr>
                          <w:divsChild>
                            <w:div w:id="19671545">
                              <w:marLeft w:val="0"/>
                              <w:marRight w:val="0"/>
                              <w:marTop w:val="150"/>
                              <w:marBottom w:val="150"/>
                              <w:divBdr>
                                <w:top w:val="none" w:sz="0" w:space="0" w:color="auto"/>
                                <w:left w:val="none" w:sz="0" w:space="0" w:color="auto"/>
                                <w:bottom w:val="none" w:sz="0" w:space="0" w:color="auto"/>
                                <w:right w:val="none" w:sz="0" w:space="0" w:color="auto"/>
                              </w:divBdr>
                              <w:divsChild>
                                <w:div w:id="44917640">
                                  <w:marLeft w:val="0"/>
                                  <w:marRight w:val="0"/>
                                  <w:marTop w:val="0"/>
                                  <w:marBottom w:val="0"/>
                                  <w:divBdr>
                                    <w:top w:val="none" w:sz="0" w:space="0" w:color="auto"/>
                                    <w:left w:val="none" w:sz="0" w:space="0" w:color="auto"/>
                                    <w:bottom w:val="none" w:sz="0" w:space="0" w:color="auto"/>
                                    <w:right w:val="none" w:sz="0" w:space="0" w:color="auto"/>
                                  </w:divBdr>
                                  <w:divsChild>
                                    <w:div w:id="1789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197871">
      <w:bodyDiv w:val="1"/>
      <w:marLeft w:val="0"/>
      <w:marRight w:val="0"/>
      <w:marTop w:val="0"/>
      <w:marBottom w:val="0"/>
      <w:divBdr>
        <w:top w:val="none" w:sz="0" w:space="0" w:color="auto"/>
        <w:left w:val="none" w:sz="0" w:space="0" w:color="auto"/>
        <w:bottom w:val="none" w:sz="0" w:space="0" w:color="auto"/>
        <w:right w:val="none" w:sz="0" w:space="0" w:color="auto"/>
      </w:divBdr>
      <w:divsChild>
        <w:div w:id="256140548">
          <w:marLeft w:val="0"/>
          <w:marRight w:val="0"/>
          <w:marTop w:val="240"/>
          <w:marBottom w:val="480"/>
          <w:divBdr>
            <w:top w:val="none" w:sz="0" w:space="0" w:color="auto"/>
            <w:left w:val="none" w:sz="0" w:space="0" w:color="auto"/>
            <w:bottom w:val="none" w:sz="0" w:space="0" w:color="auto"/>
            <w:right w:val="none" w:sz="0" w:space="0" w:color="auto"/>
          </w:divBdr>
          <w:divsChild>
            <w:div w:id="658581427">
              <w:marLeft w:val="0"/>
              <w:marRight w:val="0"/>
              <w:marTop w:val="0"/>
              <w:marBottom w:val="0"/>
              <w:divBdr>
                <w:top w:val="none" w:sz="0" w:space="0" w:color="auto"/>
                <w:left w:val="none" w:sz="0" w:space="0" w:color="auto"/>
                <w:bottom w:val="none" w:sz="0" w:space="0" w:color="auto"/>
                <w:right w:val="none" w:sz="0" w:space="0" w:color="auto"/>
              </w:divBdr>
              <w:divsChild>
                <w:div w:id="636911245">
                  <w:marLeft w:val="0"/>
                  <w:marRight w:val="0"/>
                  <w:marTop w:val="0"/>
                  <w:marBottom w:val="0"/>
                  <w:divBdr>
                    <w:top w:val="none" w:sz="0" w:space="0" w:color="auto"/>
                    <w:left w:val="none" w:sz="0" w:space="0" w:color="auto"/>
                    <w:bottom w:val="none" w:sz="0" w:space="0" w:color="auto"/>
                    <w:right w:val="none" w:sz="0" w:space="0" w:color="auto"/>
                  </w:divBdr>
                  <w:divsChild>
                    <w:div w:id="1898127210">
                      <w:marLeft w:val="0"/>
                      <w:marRight w:val="0"/>
                      <w:marTop w:val="0"/>
                      <w:marBottom w:val="0"/>
                      <w:divBdr>
                        <w:top w:val="none" w:sz="0" w:space="0" w:color="auto"/>
                        <w:left w:val="none" w:sz="0" w:space="0" w:color="auto"/>
                        <w:bottom w:val="none" w:sz="0" w:space="0" w:color="auto"/>
                        <w:right w:val="none" w:sz="0" w:space="0" w:color="auto"/>
                      </w:divBdr>
                      <w:divsChild>
                        <w:div w:id="1827891871">
                          <w:marLeft w:val="0"/>
                          <w:marRight w:val="0"/>
                          <w:marTop w:val="0"/>
                          <w:marBottom w:val="0"/>
                          <w:divBdr>
                            <w:top w:val="none" w:sz="0" w:space="0" w:color="auto"/>
                            <w:left w:val="none" w:sz="0" w:space="0" w:color="auto"/>
                            <w:bottom w:val="none" w:sz="0" w:space="0" w:color="auto"/>
                            <w:right w:val="none" w:sz="0" w:space="0" w:color="auto"/>
                          </w:divBdr>
                          <w:divsChild>
                            <w:div w:id="1236934711">
                              <w:marLeft w:val="0"/>
                              <w:marRight w:val="0"/>
                              <w:marTop w:val="0"/>
                              <w:marBottom w:val="0"/>
                              <w:divBdr>
                                <w:top w:val="none" w:sz="0" w:space="0" w:color="auto"/>
                                <w:left w:val="none" w:sz="0" w:space="0" w:color="auto"/>
                                <w:bottom w:val="none" w:sz="0" w:space="0" w:color="auto"/>
                                <w:right w:val="none" w:sz="0" w:space="0" w:color="auto"/>
                              </w:divBdr>
                              <w:divsChild>
                                <w:div w:id="2037851697">
                                  <w:marLeft w:val="0"/>
                                  <w:marRight w:val="0"/>
                                  <w:marTop w:val="150"/>
                                  <w:marBottom w:val="150"/>
                                  <w:divBdr>
                                    <w:top w:val="none" w:sz="0" w:space="0" w:color="auto"/>
                                    <w:left w:val="none" w:sz="0" w:space="0" w:color="auto"/>
                                    <w:bottom w:val="none" w:sz="0" w:space="0" w:color="auto"/>
                                    <w:right w:val="none" w:sz="0" w:space="0" w:color="auto"/>
                                  </w:divBdr>
                                  <w:divsChild>
                                    <w:div w:id="1730808826">
                                      <w:marLeft w:val="0"/>
                                      <w:marRight w:val="0"/>
                                      <w:marTop w:val="0"/>
                                      <w:marBottom w:val="0"/>
                                      <w:divBdr>
                                        <w:top w:val="none" w:sz="0" w:space="0" w:color="auto"/>
                                        <w:left w:val="none" w:sz="0" w:space="0" w:color="auto"/>
                                        <w:bottom w:val="none" w:sz="0" w:space="0" w:color="auto"/>
                                        <w:right w:val="none" w:sz="0" w:space="0" w:color="auto"/>
                                      </w:divBdr>
                                      <w:divsChild>
                                        <w:div w:id="152548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bsonline.gov.a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ervicesaustralia.gov.au/organisations/health-professionals/news/all" TargetMode="External"/><Relationship Id="rId4" Type="http://schemas.openxmlformats.org/officeDocument/2006/relationships/webSettings" Target="webSettings.xml"/><Relationship Id="rId9" Type="http://schemas.openxmlformats.org/officeDocument/2006/relationships/hyperlink" Target="mailto:askMBS@health.gov.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2021-01-27T23:56:00Z</dcterms:created>
  <dcterms:modified xsi:type="dcterms:W3CDTF">2021-01-27T23:56:00Z</dcterms:modified>
</cp:coreProperties>
</file>