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305E7E16" w:rsidR="00BA2732" w:rsidRDefault="0064475C" w:rsidP="003D033A">
      <w:pPr>
        <w:pStyle w:val="Title"/>
      </w:pPr>
      <w:r>
        <w:t>Amendment to item 45617 for upper eyelid reduction surgery</w:t>
      </w:r>
    </w:p>
    <w:p w14:paraId="6EFD4B5B" w14:textId="63EFF840" w:rsidR="00064168" w:rsidRPr="00867595" w:rsidRDefault="00064168" w:rsidP="00064168">
      <w:pPr>
        <w:rPr>
          <w:szCs w:val="22"/>
        </w:rPr>
      </w:pPr>
      <w:bookmarkStart w:id="0" w:name="_Hlk4568006"/>
      <w:r w:rsidRPr="00867595">
        <w:rPr>
          <w:szCs w:val="22"/>
        </w:rPr>
        <w:t xml:space="preserve">Last updated: </w:t>
      </w:r>
      <w:r w:rsidR="00DA54CE">
        <w:rPr>
          <w:szCs w:val="22"/>
        </w:rPr>
        <w:t>22</w:t>
      </w:r>
      <w:r w:rsidR="0064475C">
        <w:rPr>
          <w:szCs w:val="22"/>
        </w:rPr>
        <w:t xml:space="preserve"> August 2022</w:t>
      </w:r>
    </w:p>
    <w:p w14:paraId="343BAC80" w14:textId="77777777" w:rsidR="0064475C" w:rsidRDefault="0064475C" w:rsidP="0064475C">
      <w:pPr>
        <w:pStyle w:val="ListParagraph"/>
        <w:numPr>
          <w:ilvl w:val="0"/>
          <w:numId w:val="27"/>
        </w:numPr>
        <w:spacing w:before="0" w:after="60" w:line="280" w:lineRule="exact"/>
        <w:contextualSpacing w:val="0"/>
      </w:pPr>
      <w:bookmarkStart w:id="1" w:name="_Hlk535506978"/>
      <w:bookmarkEnd w:id="0"/>
      <w:r>
        <w:t>From 1 November 2022, Medicare Benefits Schedule item 45617 will be amended to ensure that patients requiring appropriate treatment are not unintentionally excluded from claiming this item, by removing references to visual field testing.</w:t>
      </w:r>
    </w:p>
    <w:p w14:paraId="70558469" w14:textId="77777777" w:rsidR="0064475C" w:rsidRDefault="0064475C" w:rsidP="0064475C">
      <w:pPr>
        <w:pStyle w:val="ListParagraph"/>
        <w:numPr>
          <w:ilvl w:val="0"/>
          <w:numId w:val="27"/>
        </w:numPr>
        <w:spacing w:before="0" w:after="60" w:line="280" w:lineRule="exact"/>
        <w:contextualSpacing w:val="0"/>
      </w:pPr>
      <w:r>
        <w:t xml:space="preserve">These changes will be relevant for medical specialists in the areas of plastic and reconstructive surgery, ophthalmology and </w:t>
      </w:r>
      <w:proofErr w:type="spellStart"/>
      <w:r>
        <w:t>oculoplastics</w:t>
      </w:r>
      <w:proofErr w:type="spellEnd"/>
      <w:r>
        <w:t xml:space="preserve">. </w:t>
      </w:r>
    </w:p>
    <w:p w14:paraId="1BC5AF27" w14:textId="77777777" w:rsidR="0064475C" w:rsidRDefault="0064475C" w:rsidP="0064475C">
      <w:pPr>
        <w:pStyle w:val="ListParagraph"/>
        <w:numPr>
          <w:ilvl w:val="0"/>
          <w:numId w:val="27"/>
        </w:numPr>
        <w:spacing w:before="0" w:after="60" w:line="280" w:lineRule="exact"/>
        <w:contextualSpacing w:val="0"/>
      </w:pPr>
      <w:r>
        <w:t>Medical specialists will need to ensure that patients meet the requirements of the amended item descriptor and should note that photographic and/or diagnostic imaging evidence demonstrating the clinical need for this service must be documented in the patient notes.</w:t>
      </w:r>
    </w:p>
    <w:bookmarkEnd w:id="1"/>
    <w:p w14:paraId="44460BF5" w14:textId="77777777" w:rsidR="00064168" w:rsidRPr="00867595" w:rsidRDefault="00064168" w:rsidP="00064168">
      <w:pPr>
        <w:pStyle w:val="Heading2"/>
      </w:pPr>
      <w:r w:rsidRPr="00867595">
        <w:t>What are the changes?</w:t>
      </w:r>
    </w:p>
    <w:p w14:paraId="3F92D677" w14:textId="77777777" w:rsidR="0064475C" w:rsidRDefault="00064168" w:rsidP="0064475C">
      <w:pPr>
        <w:spacing w:before="0" w:after="60" w:line="280" w:lineRule="exact"/>
        <w:rPr>
          <w:szCs w:val="22"/>
        </w:rPr>
      </w:pPr>
      <w:r w:rsidRPr="0064475C">
        <w:rPr>
          <w:szCs w:val="22"/>
        </w:rPr>
        <w:t xml:space="preserve">Effective </w:t>
      </w:r>
      <w:r w:rsidR="0064475C" w:rsidRPr="0064475C">
        <w:rPr>
          <w:szCs w:val="22"/>
        </w:rPr>
        <w:t>1 November 2022,</w:t>
      </w:r>
      <w:r w:rsidRPr="0064475C">
        <w:rPr>
          <w:szCs w:val="22"/>
        </w:rPr>
        <w:t xml:space="preserve"> there </w:t>
      </w:r>
      <w:bookmarkStart w:id="2" w:name="_Hlk535507068"/>
      <w:r w:rsidRPr="0064475C">
        <w:rPr>
          <w:szCs w:val="22"/>
        </w:rPr>
        <w:t xml:space="preserve">will be a </w:t>
      </w:r>
      <w:bookmarkEnd w:id="2"/>
      <w:r w:rsidRPr="0064475C">
        <w:rPr>
          <w:szCs w:val="22"/>
        </w:rPr>
        <w:t>revised item</w:t>
      </w:r>
      <w:r w:rsidR="0064475C" w:rsidRPr="0064475C">
        <w:rPr>
          <w:szCs w:val="22"/>
        </w:rPr>
        <w:t xml:space="preserve"> descriptor for item 45617 for upper eyelid reduction. The revised item includes:</w:t>
      </w:r>
    </w:p>
    <w:p w14:paraId="5B123CF1" w14:textId="5F439AB4" w:rsidR="0064475C" w:rsidRDefault="0064475C" w:rsidP="0064475C">
      <w:pPr>
        <w:pStyle w:val="ListParagraph"/>
        <w:numPr>
          <w:ilvl w:val="0"/>
          <w:numId w:val="27"/>
        </w:numPr>
        <w:spacing w:before="0" w:after="60" w:line="280" w:lineRule="exact"/>
        <w:contextualSpacing w:val="0"/>
      </w:pPr>
      <w:r>
        <w:t>The reference to visual field testing and the requirement that a visual field test must be confirmed by an optometrist or ophthalmologist will be removed and replaced by a history of demonstrated visual impairment documented in the patient notes.</w:t>
      </w:r>
    </w:p>
    <w:p w14:paraId="65B8D898" w14:textId="77777777" w:rsidR="0064475C" w:rsidRDefault="0064475C" w:rsidP="0064475C">
      <w:pPr>
        <w:pStyle w:val="ListParagraph"/>
        <w:numPr>
          <w:ilvl w:val="0"/>
          <w:numId w:val="27"/>
        </w:numPr>
        <w:spacing w:before="0" w:after="60" w:line="280" w:lineRule="exact"/>
        <w:contextualSpacing w:val="0"/>
      </w:pPr>
      <w:r>
        <w:t>All other indications for this item will remain.</w:t>
      </w:r>
    </w:p>
    <w:p w14:paraId="7F5A2066" w14:textId="77777777" w:rsidR="0064475C" w:rsidRDefault="0064475C" w:rsidP="0064475C">
      <w:pPr>
        <w:pStyle w:val="ListParagraph"/>
        <w:numPr>
          <w:ilvl w:val="0"/>
          <w:numId w:val="27"/>
        </w:numPr>
        <w:spacing w:before="0" w:after="60" w:line="280" w:lineRule="exact"/>
        <w:contextualSpacing w:val="0"/>
      </w:pPr>
      <w:r>
        <w:t>The requirement for photographic and/or diagnostic imaging evidence demonstrating the clinical need for this service to be documented in the patient notes for this item is unchanged.</w:t>
      </w:r>
    </w:p>
    <w:p w14:paraId="42BD5171" w14:textId="77777777" w:rsidR="00064168" w:rsidRDefault="00064168" w:rsidP="00064168">
      <w:pPr>
        <w:pStyle w:val="Heading2"/>
      </w:pPr>
      <w:r>
        <w:t>Why are the changes being made?</w:t>
      </w:r>
    </w:p>
    <w:p w14:paraId="0623832E" w14:textId="77777777" w:rsidR="0064475C" w:rsidRDefault="0064475C" w:rsidP="0064475C">
      <w:r>
        <w:t>This change will support appropriate patient access to the item:</w:t>
      </w:r>
    </w:p>
    <w:p w14:paraId="2C3B0BE4" w14:textId="467E4397" w:rsidR="0064475C" w:rsidRDefault="0064475C" w:rsidP="00064168">
      <w:pPr>
        <w:pStyle w:val="ListParagraph"/>
        <w:numPr>
          <w:ilvl w:val="0"/>
          <w:numId w:val="27"/>
        </w:numPr>
        <w:spacing w:before="0" w:after="60" w:line="280" w:lineRule="exact"/>
        <w:contextualSpacing w:val="0"/>
      </w:pPr>
      <w:r>
        <w:t>Expert advice from the profession suggested that visual field testing does not consistently distinguish between patients who do and do not qualify for the service. The change will ensure the item does not unintentionally exclude patients for whom this treatment is appropriate</w:t>
      </w:r>
      <w:r w:rsidR="00E725E7">
        <w:t>.</w:t>
      </w:r>
    </w:p>
    <w:p w14:paraId="137C2458" w14:textId="3A64BB3E" w:rsidR="00214ACB" w:rsidRDefault="00214ACB" w:rsidP="00214ACB">
      <w:r>
        <w:t>For private health insurance purposes, item 45617 will continue to be listed under the following clinical category and procedure type:</w:t>
      </w:r>
    </w:p>
    <w:p w14:paraId="1C8B0E26" w14:textId="66BCF671" w:rsidR="00214ACB" w:rsidRDefault="00214ACB" w:rsidP="00214ACB">
      <w:pPr>
        <w:pStyle w:val="ListParagraph"/>
        <w:numPr>
          <w:ilvl w:val="0"/>
          <w:numId w:val="29"/>
        </w:numPr>
        <w:spacing w:before="0" w:after="60" w:line="280" w:lineRule="exact"/>
      </w:pPr>
      <w:r>
        <w:t xml:space="preserve">Clinical category: </w:t>
      </w:r>
      <w:r w:rsidR="00784751">
        <w:t xml:space="preserve">Plastic and </w:t>
      </w:r>
      <w:r w:rsidR="005C210E">
        <w:t>r</w:t>
      </w:r>
      <w:r w:rsidR="00784751">
        <w:t xml:space="preserve">econstructive </w:t>
      </w:r>
      <w:r w:rsidR="005C210E">
        <w:t>s</w:t>
      </w:r>
      <w:r w:rsidR="00784751">
        <w:t>urgery</w:t>
      </w:r>
      <w:r w:rsidR="005C210E">
        <w:t xml:space="preserve"> (medically necessary)</w:t>
      </w:r>
    </w:p>
    <w:p w14:paraId="1DAA9AE7" w14:textId="00C12A7C" w:rsidR="00214ACB" w:rsidRPr="007E0068" w:rsidRDefault="00214ACB" w:rsidP="00214ACB">
      <w:pPr>
        <w:pStyle w:val="ListParagraph"/>
        <w:numPr>
          <w:ilvl w:val="0"/>
          <w:numId w:val="29"/>
        </w:numPr>
        <w:spacing w:before="0" w:after="60" w:line="280" w:lineRule="exact"/>
      </w:pPr>
      <w:r>
        <w:t xml:space="preserve">Procedure type: </w:t>
      </w:r>
      <w:r w:rsidR="00784751">
        <w:t>Unlisted</w:t>
      </w:r>
    </w:p>
    <w:p w14:paraId="2EE22CFF" w14:textId="77777777" w:rsidR="00214ACB" w:rsidRDefault="00214ACB" w:rsidP="00214ACB">
      <w:pPr>
        <w:spacing w:before="0" w:after="60" w:line="280" w:lineRule="exact"/>
      </w:pPr>
    </w:p>
    <w:p w14:paraId="4B2559AC" w14:textId="22497DF5" w:rsidR="00064168" w:rsidRDefault="00064168" w:rsidP="00064168">
      <w:pPr>
        <w:pStyle w:val="Heading2"/>
      </w:pPr>
      <w:r>
        <w:lastRenderedPageBreak/>
        <w:t>What does this mean for providers</w:t>
      </w:r>
      <w:r w:rsidR="00E725E7">
        <w:t xml:space="preserve">, </w:t>
      </w:r>
      <w:proofErr w:type="gramStart"/>
      <w:r>
        <w:t>referrers</w:t>
      </w:r>
      <w:proofErr w:type="gramEnd"/>
      <w:r w:rsidR="00E725E7">
        <w:t xml:space="preserve"> and </w:t>
      </w:r>
      <w:r>
        <w:t>other stakeholders</w:t>
      </w:r>
      <w:r w:rsidR="00E725E7">
        <w:t xml:space="preserve">? </w:t>
      </w:r>
    </w:p>
    <w:p w14:paraId="6273CD17" w14:textId="77777777" w:rsidR="0064475C" w:rsidRDefault="0064475C" w:rsidP="0064475C">
      <w:r>
        <w:t>This change means that for relevant patients who have a history of a demonstrated visual impairment, they will not need to be referred to an optometrist or ophthalmologist to confirm this through a visual field test. All other indications for the service are unchanged. The requirement for photographic and/or diagnostic imaging evidence demonstrating the clinical need for this service to be documented in the patient notes for this item is unchanged.</w:t>
      </w:r>
    </w:p>
    <w:p w14:paraId="7F7DA4F7" w14:textId="77777777" w:rsidR="00064168" w:rsidRDefault="00064168" w:rsidP="00064168">
      <w:pPr>
        <w:pStyle w:val="Heading2"/>
      </w:pPr>
      <w:r>
        <w:t>How will these changes affect patients</w:t>
      </w:r>
      <w:r w:rsidRPr="001A7FB7">
        <w:t>?</w:t>
      </w:r>
    </w:p>
    <w:p w14:paraId="0311581C" w14:textId="77777777" w:rsidR="0064475C" w:rsidRDefault="0064475C" w:rsidP="0064475C">
      <w:pPr>
        <w:pStyle w:val="CommentText"/>
      </w:pPr>
      <w:r w:rsidRPr="0064475C">
        <w:rPr>
          <w:rFonts w:eastAsia="Times New Roman" w:cs="Times New Roman"/>
          <w:color w:val="000000" w:themeColor="text1"/>
          <w:sz w:val="22"/>
          <w:szCs w:val="24"/>
        </w:rPr>
        <w:t>The changes will provide improved access for patients where this service is appropriate. It will help doctors to refer patients for the most suitable tests/procedure for them when they are necessary. Patients will not be required to undergo unnecessary tests/procedures</w:t>
      </w:r>
      <w:r>
        <w:rPr>
          <w:rFonts w:cs="Arial"/>
          <w:color w:val="222222"/>
        </w:rPr>
        <w:t>.</w:t>
      </w:r>
    </w:p>
    <w:p w14:paraId="5BD9BE80" w14:textId="061B530B" w:rsidR="00064168" w:rsidRDefault="00064168" w:rsidP="00064168">
      <w:pPr>
        <w:pStyle w:val="Heading2"/>
      </w:pPr>
      <w:r w:rsidRPr="001A7FB7">
        <w:t>Who was consulted on the changes?</w:t>
      </w:r>
    </w:p>
    <w:p w14:paraId="3DA8D383" w14:textId="77777777" w:rsidR="0064475C" w:rsidRDefault="0064475C" w:rsidP="0064475C">
      <w:r>
        <w:t>This</w:t>
      </w:r>
      <w:r w:rsidRPr="00482832">
        <w:t xml:space="preserve"> change to </w:t>
      </w:r>
      <w:r>
        <w:t xml:space="preserve">item </w:t>
      </w:r>
      <w:r w:rsidRPr="00482832">
        <w:t>45617 was proposed by the Continuous Improvement Committee for Plastic and Reconstructive Surgery which was established following the disbanding of the Medicare Claims Review Panel (MCRP)</w:t>
      </w:r>
      <w:r>
        <w:t xml:space="preserve"> in 2018</w:t>
      </w:r>
      <w:r w:rsidRPr="00482832">
        <w:t xml:space="preserve">. </w:t>
      </w:r>
    </w:p>
    <w:p w14:paraId="10C71A1D" w14:textId="77777777" w:rsidR="0064475C" w:rsidRDefault="0064475C" w:rsidP="0064475C">
      <w:r w:rsidRPr="00482832">
        <w:t>In addition to the Continuous Improvement Committee, who proposed this change, the Australian Society of Plastic Surgeons, the Australian College of Optometry and the Royal Australian and New Zealand Society of Ophthalmologists</w:t>
      </w:r>
      <w:r>
        <w:t xml:space="preserve"> were consulted prior to implementation.</w:t>
      </w:r>
    </w:p>
    <w:p w14:paraId="5FE598A2" w14:textId="77777777" w:rsidR="00D5554D" w:rsidRDefault="00D5554D">
      <w:pPr>
        <w:spacing w:before="0" w:after="0" w:line="240" w:lineRule="auto"/>
        <w:rPr>
          <w:rFonts w:cs="Arial"/>
          <w:b/>
          <w:bCs/>
          <w:iCs/>
          <w:color w:val="358189"/>
          <w:sz w:val="36"/>
          <w:szCs w:val="28"/>
        </w:rPr>
      </w:pPr>
      <w:r>
        <w:br w:type="page"/>
      </w:r>
    </w:p>
    <w:p w14:paraId="5819821E" w14:textId="3C673EEB" w:rsidR="004620B7" w:rsidRDefault="004620B7" w:rsidP="004620B7">
      <w:pPr>
        <w:pStyle w:val="Heading2"/>
      </w:pPr>
      <w:r w:rsidRPr="007A32E7">
        <w:lastRenderedPageBreak/>
        <w:t xml:space="preserve">Amended item descriptor </w:t>
      </w:r>
      <w:r>
        <w:br/>
      </w:r>
      <w:r w:rsidRPr="007A32E7">
        <w:t xml:space="preserve">(to take effect </w:t>
      </w:r>
      <w:r>
        <w:t>1 November</w:t>
      </w:r>
      <w:r w:rsidRPr="007A32E7">
        <w:t xml:space="preserve"> 20</w:t>
      </w:r>
      <w:r>
        <w:t>22</w:t>
      </w:r>
      <w:r w:rsidRPr="007A32E7">
        <w:t>)</w:t>
      </w:r>
    </w:p>
    <w:tbl>
      <w:tblPr>
        <w:tblStyle w:val="GridTable4-Accent2"/>
        <w:tblW w:w="0" w:type="auto"/>
        <w:tblLook w:val="04A0" w:firstRow="1" w:lastRow="0" w:firstColumn="1" w:lastColumn="0" w:noHBand="0" w:noVBand="1"/>
      </w:tblPr>
      <w:tblGrid>
        <w:gridCol w:w="9060"/>
      </w:tblGrid>
      <w:tr w:rsidR="004620B7" w14:paraId="69E22989" w14:textId="77777777" w:rsidTr="006F16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EE60888" w14:textId="44645104" w:rsidR="004620B7" w:rsidRDefault="004620B7" w:rsidP="006F16E9">
            <w:pPr>
              <w:rPr>
                <w:b w:val="0"/>
                <w:bCs w:val="0"/>
                <w:lang w:eastAsia="en-AU"/>
              </w:rPr>
            </w:pPr>
            <w:r>
              <w:rPr>
                <w:lang w:eastAsia="en-AU"/>
              </w:rPr>
              <w:t xml:space="preserve">Category 3 – THERAPEUTIC </w:t>
            </w:r>
            <w:r w:rsidR="00DA54CE">
              <w:rPr>
                <w:lang w:eastAsia="en-AU"/>
              </w:rPr>
              <w:t>PROCEDURES</w:t>
            </w:r>
            <w:r>
              <w:rPr>
                <w:lang w:eastAsia="en-AU"/>
              </w:rPr>
              <w:t xml:space="preserve">   </w:t>
            </w:r>
          </w:p>
        </w:tc>
      </w:tr>
      <w:tr w:rsidR="004620B7" w14:paraId="22837B28" w14:textId="77777777" w:rsidTr="006F1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4606EB2" w14:textId="2BDF8F2E" w:rsidR="004620B7" w:rsidRDefault="004620B7" w:rsidP="006F16E9">
            <w:pPr>
              <w:rPr>
                <w:b w:val="0"/>
                <w:bCs w:val="0"/>
                <w:lang w:eastAsia="en-AU"/>
              </w:rPr>
            </w:pPr>
            <w:r>
              <w:rPr>
                <w:lang w:eastAsia="en-AU"/>
              </w:rPr>
              <w:t>T8 – Surgical Operations</w:t>
            </w:r>
          </w:p>
        </w:tc>
      </w:tr>
      <w:tr w:rsidR="006F7F21" w14:paraId="2AF8CE79" w14:textId="77777777" w:rsidTr="006F7F21">
        <w:trPr>
          <w:trHeight w:val="480"/>
        </w:trPr>
        <w:tc>
          <w:tcPr>
            <w:cnfStyle w:val="001000000000" w:firstRow="0" w:lastRow="0" w:firstColumn="1" w:lastColumn="0" w:oddVBand="0" w:evenVBand="0" w:oddHBand="0" w:evenHBand="0" w:firstRowFirstColumn="0" w:firstRowLastColumn="0" w:lastRowFirstColumn="0" w:lastRowLastColumn="0"/>
            <w:tcW w:w="9060" w:type="dxa"/>
            <w:tcBorders>
              <w:bottom w:val="single" w:sz="4" w:space="0" w:color="auto"/>
            </w:tcBorders>
            <w:hideMark/>
          </w:tcPr>
          <w:p w14:paraId="2A481921" w14:textId="36AA7023" w:rsidR="006F7F21" w:rsidRPr="006F7F21" w:rsidRDefault="006F7F21" w:rsidP="006F7F21">
            <w:pPr>
              <w:rPr>
                <w:lang w:eastAsia="en-AU"/>
              </w:rPr>
            </w:pPr>
            <w:r>
              <w:rPr>
                <w:lang w:eastAsia="en-AU"/>
              </w:rPr>
              <w:t xml:space="preserve">Item </w:t>
            </w:r>
            <w:r w:rsidRPr="006F7F21">
              <w:rPr>
                <w:rStyle w:val="BoldAllCaps"/>
                <w:b/>
                <w:bCs w:val="0"/>
                <w:color w:val="auto"/>
              </w:rPr>
              <w:t>4</w:t>
            </w:r>
            <w:r w:rsidRPr="006F7F21">
              <w:rPr>
                <w:caps/>
                <w:lang w:eastAsia="en-AU"/>
              </w:rPr>
              <w:t>5617</w:t>
            </w:r>
          </w:p>
        </w:tc>
      </w:tr>
      <w:tr w:rsidR="006F7F21" w14:paraId="79BF4E25" w14:textId="77777777" w:rsidTr="006F7F21">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auto"/>
            </w:tcBorders>
          </w:tcPr>
          <w:p w14:paraId="2A257326" w14:textId="62544F44" w:rsidR="006F7F21" w:rsidRDefault="00944863" w:rsidP="006F7F21">
            <w:pPr>
              <w:rPr>
                <w:lang w:eastAsia="en-AU"/>
              </w:rPr>
            </w:pPr>
            <w:r>
              <w:rPr>
                <w:lang w:eastAsia="en-AU"/>
              </w:rPr>
              <w:t>Amended item d</w:t>
            </w:r>
            <w:r w:rsidR="006F7F21">
              <w:rPr>
                <w:lang w:eastAsia="en-AU"/>
              </w:rPr>
              <w:t xml:space="preserve">escriptor </w:t>
            </w:r>
          </w:p>
        </w:tc>
      </w:tr>
      <w:tr w:rsidR="006F7F21" w14:paraId="648B0A5F" w14:textId="77777777" w:rsidTr="00C132EC">
        <w:tc>
          <w:tcPr>
            <w:cnfStyle w:val="001000000000" w:firstRow="0" w:lastRow="0" w:firstColumn="1" w:lastColumn="0" w:oddVBand="0" w:evenVBand="0" w:oddHBand="0" w:evenHBand="0" w:firstRowFirstColumn="0" w:firstRowLastColumn="0" w:lastRowFirstColumn="0" w:lastRowLastColumn="0"/>
            <w:tcW w:w="9060" w:type="dxa"/>
            <w:hideMark/>
          </w:tcPr>
          <w:p w14:paraId="7E253502" w14:textId="54531E81" w:rsidR="006F7F21" w:rsidRPr="005B4BE6" w:rsidRDefault="006F7F21" w:rsidP="004620B7">
            <w:pPr>
              <w:autoSpaceDE w:val="0"/>
              <w:autoSpaceDN w:val="0"/>
              <w:adjustRightInd w:val="0"/>
              <w:spacing w:line="240" w:lineRule="auto"/>
              <w:rPr>
                <w:rFonts w:eastAsiaTheme="minorHAnsi" w:cs="Arial"/>
                <w:b w:val="0"/>
                <w:bCs w:val="0"/>
                <w:szCs w:val="20"/>
              </w:rPr>
            </w:pPr>
            <w:r w:rsidRPr="005B4BE6">
              <w:rPr>
                <w:rFonts w:eastAsiaTheme="minorHAnsi" w:cs="Arial"/>
                <w:b w:val="0"/>
                <w:bCs w:val="0"/>
                <w:szCs w:val="20"/>
              </w:rPr>
              <w:t>Upper eyelid, reduction of, if:</w:t>
            </w:r>
          </w:p>
          <w:p w14:paraId="746F93B2" w14:textId="77777777" w:rsidR="006F7F21" w:rsidRPr="005B4BE6" w:rsidRDefault="006F7F21" w:rsidP="004620B7">
            <w:pPr>
              <w:autoSpaceDE w:val="0"/>
              <w:autoSpaceDN w:val="0"/>
              <w:adjustRightInd w:val="0"/>
              <w:spacing w:after="0" w:line="240" w:lineRule="auto"/>
              <w:rPr>
                <w:rFonts w:eastAsiaTheme="minorHAnsi" w:cs="Arial"/>
                <w:b w:val="0"/>
                <w:bCs w:val="0"/>
                <w:szCs w:val="20"/>
              </w:rPr>
            </w:pPr>
            <w:r w:rsidRPr="005B4BE6">
              <w:rPr>
                <w:rFonts w:eastAsiaTheme="minorHAnsi" w:cs="Arial"/>
                <w:b w:val="0"/>
                <w:bCs w:val="0"/>
                <w:szCs w:val="20"/>
              </w:rPr>
              <w:t>(a) the reduction is for any of the following:</w:t>
            </w:r>
          </w:p>
          <w:p w14:paraId="52F38C65" w14:textId="4CD00F23" w:rsidR="006F7F21" w:rsidRPr="005B4BE6" w:rsidRDefault="006F7F21" w:rsidP="005B4BE6">
            <w:pPr>
              <w:autoSpaceDE w:val="0"/>
              <w:autoSpaceDN w:val="0"/>
              <w:adjustRightInd w:val="0"/>
              <w:spacing w:line="240" w:lineRule="auto"/>
              <w:ind w:left="731" w:hanging="425"/>
              <w:rPr>
                <w:rFonts w:eastAsiaTheme="minorHAnsi" w:cs="Arial"/>
                <w:strike/>
                <w:color w:val="auto"/>
                <w:szCs w:val="20"/>
              </w:rPr>
            </w:pPr>
            <w:r w:rsidRPr="005B4BE6">
              <w:rPr>
                <w:rFonts w:eastAsiaTheme="minorHAnsi" w:cs="Arial"/>
                <w:strike/>
                <w:color w:val="auto"/>
                <w:szCs w:val="20"/>
              </w:rPr>
              <w:t>(</w:t>
            </w:r>
            <w:proofErr w:type="spellStart"/>
            <w:r w:rsidRPr="005B4BE6">
              <w:rPr>
                <w:rFonts w:eastAsiaTheme="minorHAnsi" w:cs="Arial"/>
                <w:strike/>
                <w:color w:val="auto"/>
                <w:szCs w:val="20"/>
              </w:rPr>
              <w:t>i</w:t>
            </w:r>
            <w:proofErr w:type="spellEnd"/>
            <w:r w:rsidRPr="005B4BE6">
              <w:rPr>
                <w:rFonts w:eastAsiaTheme="minorHAnsi" w:cs="Arial"/>
                <w:strike/>
                <w:color w:val="auto"/>
                <w:szCs w:val="20"/>
              </w:rPr>
              <w:t xml:space="preserve">) </w:t>
            </w:r>
            <w:r w:rsidR="005B4BE6">
              <w:rPr>
                <w:rFonts w:eastAsiaTheme="minorHAnsi" w:cs="Arial"/>
                <w:strike/>
                <w:color w:val="auto"/>
                <w:szCs w:val="20"/>
              </w:rPr>
              <w:t xml:space="preserve">  </w:t>
            </w:r>
            <w:r w:rsidRPr="005B4BE6">
              <w:rPr>
                <w:rFonts w:eastAsiaTheme="minorHAnsi" w:cs="Arial"/>
                <w:strike/>
                <w:color w:val="auto"/>
                <w:szCs w:val="20"/>
              </w:rPr>
              <w:t xml:space="preserve">skin redundancy that causes a visual field defect (confirmed by an </w:t>
            </w:r>
            <w:r w:rsidR="005B4BE6">
              <w:rPr>
                <w:rFonts w:eastAsiaTheme="minorHAnsi" w:cs="Arial"/>
                <w:strike/>
                <w:color w:val="auto"/>
                <w:szCs w:val="20"/>
              </w:rPr>
              <w:t xml:space="preserve">  </w:t>
            </w:r>
            <w:r w:rsidRPr="005B4BE6">
              <w:rPr>
                <w:rFonts w:eastAsiaTheme="minorHAnsi" w:cs="Arial"/>
                <w:strike/>
                <w:color w:val="auto"/>
                <w:szCs w:val="20"/>
              </w:rPr>
              <w:t xml:space="preserve">optometrist or ophthalmologist) or intertriginous inflammation of </w:t>
            </w:r>
            <w:proofErr w:type="gramStart"/>
            <w:r w:rsidRPr="005B4BE6">
              <w:rPr>
                <w:rFonts w:eastAsiaTheme="minorHAnsi" w:cs="Arial"/>
                <w:strike/>
                <w:color w:val="auto"/>
                <w:szCs w:val="20"/>
              </w:rPr>
              <w:t xml:space="preserve">the </w:t>
            </w:r>
            <w:r w:rsidR="005B4BE6">
              <w:rPr>
                <w:rFonts w:eastAsiaTheme="minorHAnsi" w:cs="Arial"/>
                <w:strike/>
                <w:color w:val="auto"/>
                <w:szCs w:val="20"/>
              </w:rPr>
              <w:t xml:space="preserve"> </w:t>
            </w:r>
            <w:r w:rsidRPr="005B4BE6">
              <w:rPr>
                <w:rFonts w:eastAsiaTheme="minorHAnsi" w:cs="Arial"/>
                <w:strike/>
                <w:color w:val="auto"/>
                <w:szCs w:val="20"/>
              </w:rPr>
              <w:t>eyelid</w:t>
            </w:r>
            <w:proofErr w:type="gramEnd"/>
            <w:r w:rsidRPr="005B4BE6">
              <w:rPr>
                <w:rFonts w:eastAsiaTheme="minorHAnsi" w:cs="Arial"/>
                <w:strike/>
                <w:color w:val="auto"/>
                <w:szCs w:val="20"/>
              </w:rPr>
              <w:t>;</w:t>
            </w:r>
          </w:p>
          <w:p w14:paraId="645DF0CE" w14:textId="506DA8E9" w:rsidR="006F7F21" w:rsidRPr="005B4BE6" w:rsidRDefault="005B4BE6" w:rsidP="005B4BE6">
            <w:pPr>
              <w:pStyle w:val="ListParagraph"/>
              <w:numPr>
                <w:ilvl w:val="0"/>
                <w:numId w:val="28"/>
              </w:numPr>
              <w:tabs>
                <w:tab w:val="left" w:pos="873"/>
              </w:tabs>
              <w:autoSpaceDE w:val="0"/>
              <w:autoSpaceDN w:val="0"/>
              <w:adjustRightInd w:val="0"/>
              <w:spacing w:before="0" w:after="0" w:line="240" w:lineRule="auto"/>
              <w:ind w:left="589" w:hanging="283"/>
              <w:contextualSpacing w:val="0"/>
              <w:rPr>
                <w:rFonts w:eastAsiaTheme="minorHAnsi" w:cs="Arial"/>
                <w:color w:val="auto"/>
                <w:szCs w:val="20"/>
              </w:rPr>
            </w:pPr>
            <w:r>
              <w:rPr>
                <w:rFonts w:eastAsiaTheme="minorHAnsi" w:cs="Arial"/>
                <w:color w:val="auto"/>
                <w:szCs w:val="20"/>
              </w:rPr>
              <w:t xml:space="preserve">  </w:t>
            </w:r>
            <w:r w:rsidR="006F7F21" w:rsidRPr="005B4BE6">
              <w:rPr>
                <w:rFonts w:eastAsiaTheme="minorHAnsi" w:cs="Arial"/>
                <w:color w:val="auto"/>
                <w:szCs w:val="20"/>
              </w:rPr>
              <w:t xml:space="preserve">history of a demonstrated visual </w:t>
            </w:r>
            <w:proofErr w:type="gramStart"/>
            <w:r w:rsidR="006F7F21" w:rsidRPr="005B4BE6">
              <w:rPr>
                <w:rFonts w:eastAsiaTheme="minorHAnsi" w:cs="Arial"/>
                <w:color w:val="auto"/>
                <w:szCs w:val="20"/>
              </w:rPr>
              <w:t>impairment;</w:t>
            </w:r>
            <w:proofErr w:type="gramEnd"/>
          </w:p>
          <w:p w14:paraId="02EC012E" w14:textId="77777777" w:rsidR="006F7F21" w:rsidRPr="005B4BE6" w:rsidRDefault="006F7F21" w:rsidP="005B4BE6">
            <w:pPr>
              <w:pStyle w:val="ListParagraph"/>
              <w:tabs>
                <w:tab w:val="left" w:pos="886"/>
                <w:tab w:val="left" w:pos="1346"/>
              </w:tabs>
              <w:autoSpaceDE w:val="0"/>
              <w:autoSpaceDN w:val="0"/>
              <w:adjustRightInd w:val="0"/>
              <w:spacing w:after="0" w:line="240" w:lineRule="auto"/>
              <w:ind w:left="589" w:hanging="283"/>
              <w:rPr>
                <w:rFonts w:eastAsiaTheme="minorHAnsi" w:cs="Arial"/>
                <w:color w:val="auto"/>
                <w:szCs w:val="20"/>
              </w:rPr>
            </w:pPr>
          </w:p>
          <w:p w14:paraId="52B68CFF" w14:textId="18EACFF5" w:rsidR="005B4BE6" w:rsidRPr="005B4BE6" w:rsidRDefault="006F7F21" w:rsidP="005B4BE6">
            <w:pPr>
              <w:pStyle w:val="ListParagraph"/>
              <w:numPr>
                <w:ilvl w:val="0"/>
                <w:numId w:val="28"/>
              </w:numPr>
              <w:autoSpaceDE w:val="0"/>
              <w:autoSpaceDN w:val="0"/>
              <w:adjustRightInd w:val="0"/>
              <w:spacing w:before="0" w:after="0" w:line="240" w:lineRule="auto"/>
              <w:ind w:left="731" w:hanging="425"/>
              <w:contextualSpacing w:val="0"/>
              <w:rPr>
                <w:rFonts w:eastAsiaTheme="minorHAnsi" w:cs="Arial"/>
                <w:color w:val="auto"/>
                <w:szCs w:val="20"/>
              </w:rPr>
            </w:pPr>
            <w:r w:rsidRPr="005B4BE6">
              <w:rPr>
                <w:rFonts w:eastAsiaTheme="minorHAnsi" w:cs="Arial"/>
                <w:color w:val="auto"/>
                <w:szCs w:val="20"/>
              </w:rPr>
              <w:t xml:space="preserve">intertriginous inflammation of the </w:t>
            </w:r>
            <w:proofErr w:type="gramStart"/>
            <w:r w:rsidRPr="005B4BE6">
              <w:rPr>
                <w:rFonts w:eastAsiaTheme="minorHAnsi" w:cs="Arial"/>
                <w:color w:val="auto"/>
                <w:szCs w:val="20"/>
              </w:rPr>
              <w:t>eyelid;</w:t>
            </w:r>
            <w:proofErr w:type="gramEnd"/>
          </w:p>
          <w:p w14:paraId="404BF2FF" w14:textId="77777777" w:rsidR="005B4BE6" w:rsidRPr="005B4BE6" w:rsidRDefault="005B4BE6" w:rsidP="005B4BE6">
            <w:pPr>
              <w:pStyle w:val="ListParagraph"/>
              <w:ind w:left="589" w:hanging="283"/>
              <w:rPr>
                <w:rFonts w:eastAsiaTheme="minorHAnsi" w:cs="Arial"/>
                <w:szCs w:val="20"/>
              </w:rPr>
            </w:pPr>
          </w:p>
          <w:p w14:paraId="02D445E6" w14:textId="1F567440" w:rsidR="006F7F21" w:rsidRPr="005B4BE6" w:rsidRDefault="006F7F21" w:rsidP="005B4BE6">
            <w:pPr>
              <w:pStyle w:val="ListParagraph"/>
              <w:numPr>
                <w:ilvl w:val="0"/>
                <w:numId w:val="28"/>
              </w:numPr>
              <w:autoSpaceDE w:val="0"/>
              <w:autoSpaceDN w:val="0"/>
              <w:adjustRightInd w:val="0"/>
              <w:spacing w:before="0" w:after="0" w:line="240" w:lineRule="auto"/>
              <w:ind w:left="589" w:hanging="283"/>
              <w:contextualSpacing w:val="0"/>
              <w:rPr>
                <w:rFonts w:eastAsiaTheme="minorHAnsi" w:cs="Arial"/>
                <w:color w:val="auto"/>
                <w:szCs w:val="20"/>
              </w:rPr>
            </w:pPr>
            <w:r w:rsidRPr="005B4BE6">
              <w:rPr>
                <w:rFonts w:eastAsiaTheme="minorHAnsi" w:cs="Arial"/>
                <w:szCs w:val="20"/>
              </w:rPr>
              <w:t xml:space="preserve">herniation of orbital fat in </w:t>
            </w:r>
            <w:proofErr w:type="gramStart"/>
            <w:r w:rsidRPr="005B4BE6">
              <w:rPr>
                <w:rFonts w:eastAsiaTheme="minorHAnsi" w:cs="Arial"/>
                <w:szCs w:val="20"/>
              </w:rPr>
              <w:t>exophthalmos;</w:t>
            </w:r>
            <w:proofErr w:type="gramEnd"/>
          </w:p>
          <w:p w14:paraId="7FD46F9F" w14:textId="77777777" w:rsidR="00D1494B" w:rsidRPr="005B4BE6" w:rsidRDefault="00D1494B" w:rsidP="005B4BE6">
            <w:pPr>
              <w:tabs>
                <w:tab w:val="left" w:pos="943"/>
              </w:tabs>
              <w:autoSpaceDE w:val="0"/>
              <w:autoSpaceDN w:val="0"/>
              <w:adjustRightInd w:val="0"/>
              <w:spacing w:before="0" w:after="0" w:line="240" w:lineRule="auto"/>
              <w:ind w:left="589" w:hanging="283"/>
              <w:rPr>
                <w:rFonts w:eastAsiaTheme="minorHAnsi" w:cs="Arial"/>
                <w:szCs w:val="20"/>
              </w:rPr>
            </w:pPr>
          </w:p>
          <w:p w14:paraId="1C47DC02" w14:textId="19F5D09B" w:rsidR="006F7F21" w:rsidRPr="005B4BE6" w:rsidRDefault="006F7F21" w:rsidP="005B4BE6">
            <w:pPr>
              <w:pStyle w:val="ListParagraph"/>
              <w:numPr>
                <w:ilvl w:val="0"/>
                <w:numId w:val="28"/>
              </w:numPr>
              <w:tabs>
                <w:tab w:val="left" w:pos="589"/>
              </w:tabs>
              <w:autoSpaceDE w:val="0"/>
              <w:autoSpaceDN w:val="0"/>
              <w:adjustRightInd w:val="0"/>
              <w:spacing w:before="0" w:after="0" w:line="240" w:lineRule="auto"/>
              <w:ind w:left="589" w:hanging="283"/>
              <w:contextualSpacing w:val="0"/>
              <w:rPr>
                <w:rFonts w:eastAsiaTheme="minorHAnsi" w:cs="Arial"/>
                <w:szCs w:val="20"/>
              </w:rPr>
            </w:pPr>
            <w:r w:rsidRPr="005B4BE6">
              <w:rPr>
                <w:rFonts w:eastAsiaTheme="minorHAnsi" w:cs="Arial"/>
                <w:szCs w:val="20"/>
              </w:rPr>
              <w:t xml:space="preserve">facial nerve </w:t>
            </w:r>
            <w:proofErr w:type="gramStart"/>
            <w:r w:rsidRPr="005B4BE6">
              <w:rPr>
                <w:rFonts w:eastAsiaTheme="minorHAnsi" w:cs="Arial"/>
                <w:szCs w:val="20"/>
              </w:rPr>
              <w:t>palsy;</w:t>
            </w:r>
            <w:proofErr w:type="gramEnd"/>
          </w:p>
          <w:p w14:paraId="0BCFF1E6" w14:textId="77777777" w:rsidR="006F7F21" w:rsidRPr="005B4BE6" w:rsidRDefault="006F7F21" w:rsidP="005B4BE6">
            <w:pPr>
              <w:pStyle w:val="ListParagraph"/>
              <w:tabs>
                <w:tab w:val="left" w:pos="886"/>
              </w:tabs>
              <w:autoSpaceDE w:val="0"/>
              <w:autoSpaceDN w:val="0"/>
              <w:adjustRightInd w:val="0"/>
              <w:spacing w:after="0" w:line="240" w:lineRule="auto"/>
              <w:ind w:left="589" w:hanging="283"/>
              <w:rPr>
                <w:rFonts w:eastAsiaTheme="minorHAnsi" w:cs="Arial"/>
                <w:szCs w:val="20"/>
              </w:rPr>
            </w:pPr>
          </w:p>
          <w:p w14:paraId="1B42B757" w14:textId="77777777" w:rsidR="005B4BE6" w:rsidRPr="005B4BE6" w:rsidRDefault="005B4BE6" w:rsidP="005B4BE6">
            <w:pPr>
              <w:pStyle w:val="ListParagraph"/>
              <w:numPr>
                <w:ilvl w:val="0"/>
                <w:numId w:val="28"/>
              </w:numPr>
              <w:tabs>
                <w:tab w:val="left" w:pos="886"/>
              </w:tabs>
              <w:autoSpaceDE w:val="0"/>
              <w:autoSpaceDN w:val="0"/>
              <w:adjustRightInd w:val="0"/>
              <w:spacing w:before="0" w:after="0" w:line="240" w:lineRule="auto"/>
              <w:ind w:left="589" w:hanging="283"/>
              <w:contextualSpacing w:val="0"/>
              <w:rPr>
                <w:rFonts w:eastAsiaTheme="minorHAnsi" w:cs="Arial"/>
                <w:szCs w:val="20"/>
              </w:rPr>
            </w:pPr>
            <w:r>
              <w:rPr>
                <w:rFonts w:eastAsiaTheme="minorHAnsi" w:cs="Arial"/>
                <w:szCs w:val="20"/>
              </w:rPr>
              <w:t xml:space="preserve">  </w:t>
            </w:r>
            <w:r w:rsidR="006F7F21" w:rsidRPr="005B4BE6">
              <w:rPr>
                <w:rFonts w:eastAsiaTheme="minorHAnsi" w:cs="Arial"/>
                <w:szCs w:val="20"/>
              </w:rPr>
              <w:t xml:space="preserve">post-traumatic </w:t>
            </w:r>
            <w:proofErr w:type="gramStart"/>
            <w:r w:rsidR="006F7F21" w:rsidRPr="005B4BE6">
              <w:rPr>
                <w:rFonts w:eastAsiaTheme="minorHAnsi" w:cs="Arial"/>
                <w:szCs w:val="20"/>
              </w:rPr>
              <w:t>scarring;</w:t>
            </w:r>
            <w:proofErr w:type="gramEnd"/>
          </w:p>
          <w:p w14:paraId="69803C0D" w14:textId="77777777" w:rsidR="005B4BE6" w:rsidRPr="005B4BE6" w:rsidRDefault="005B4BE6" w:rsidP="005B4BE6">
            <w:pPr>
              <w:pStyle w:val="ListParagraph"/>
              <w:rPr>
                <w:rFonts w:eastAsiaTheme="minorHAnsi" w:cs="Arial"/>
                <w:szCs w:val="20"/>
              </w:rPr>
            </w:pPr>
          </w:p>
          <w:p w14:paraId="655D0131" w14:textId="447D47C3" w:rsidR="006F7F21" w:rsidRPr="005B4BE6" w:rsidRDefault="006F7F21" w:rsidP="005B4BE6">
            <w:pPr>
              <w:pStyle w:val="ListParagraph"/>
              <w:numPr>
                <w:ilvl w:val="0"/>
                <w:numId w:val="28"/>
              </w:numPr>
              <w:tabs>
                <w:tab w:val="left" w:pos="589"/>
              </w:tabs>
              <w:autoSpaceDE w:val="0"/>
              <w:autoSpaceDN w:val="0"/>
              <w:adjustRightInd w:val="0"/>
              <w:spacing w:before="0" w:after="0" w:line="240" w:lineRule="auto"/>
              <w:ind w:left="731" w:hanging="425"/>
              <w:contextualSpacing w:val="0"/>
              <w:rPr>
                <w:rFonts w:eastAsiaTheme="minorHAnsi" w:cs="Arial"/>
                <w:szCs w:val="20"/>
              </w:rPr>
            </w:pPr>
            <w:r w:rsidRPr="005B4BE6">
              <w:rPr>
                <w:rFonts w:eastAsiaTheme="minorHAnsi" w:cs="Arial"/>
                <w:szCs w:val="20"/>
              </w:rPr>
              <w:t>the restoration of symmetry of contralateral upper eyelid in respect of one of the conditions mentioned in subparagraphs (</w:t>
            </w:r>
            <w:proofErr w:type="spellStart"/>
            <w:r w:rsidRPr="005B4BE6">
              <w:rPr>
                <w:rFonts w:eastAsiaTheme="minorHAnsi" w:cs="Arial"/>
                <w:szCs w:val="20"/>
              </w:rPr>
              <w:t>i</w:t>
            </w:r>
            <w:proofErr w:type="spellEnd"/>
            <w:r w:rsidRPr="005B4BE6">
              <w:rPr>
                <w:rFonts w:eastAsiaTheme="minorHAnsi" w:cs="Arial"/>
                <w:szCs w:val="20"/>
              </w:rPr>
              <w:t>) to (</w:t>
            </w:r>
            <w:r w:rsidRPr="005B4BE6">
              <w:rPr>
                <w:rFonts w:eastAsiaTheme="minorHAnsi" w:cs="Arial"/>
                <w:color w:val="auto"/>
                <w:szCs w:val="20"/>
              </w:rPr>
              <w:t>v)</w:t>
            </w:r>
            <w:r w:rsidRPr="005B4BE6">
              <w:rPr>
                <w:rFonts w:eastAsiaTheme="minorHAnsi" w:cs="Arial"/>
                <w:szCs w:val="20"/>
              </w:rPr>
              <w:t>;</w:t>
            </w:r>
            <w:r w:rsidRPr="005B4BE6">
              <w:rPr>
                <w:rFonts w:eastAsiaTheme="minorHAnsi" w:cs="Arial"/>
                <w:b w:val="0"/>
                <w:bCs w:val="0"/>
                <w:szCs w:val="20"/>
              </w:rPr>
              <w:t xml:space="preserve"> and</w:t>
            </w:r>
          </w:p>
          <w:p w14:paraId="3C03AE09" w14:textId="77777777" w:rsidR="006F7F21" w:rsidRPr="005B4BE6" w:rsidRDefault="006F7F21" w:rsidP="004620B7">
            <w:pPr>
              <w:autoSpaceDE w:val="0"/>
              <w:autoSpaceDN w:val="0"/>
              <w:adjustRightInd w:val="0"/>
              <w:spacing w:line="240" w:lineRule="auto"/>
              <w:rPr>
                <w:rFonts w:eastAsiaTheme="minorHAnsi" w:cs="Arial"/>
                <w:b w:val="0"/>
                <w:bCs w:val="0"/>
                <w:szCs w:val="20"/>
              </w:rPr>
            </w:pPr>
            <w:r w:rsidRPr="005B4BE6">
              <w:rPr>
                <w:rFonts w:eastAsiaTheme="minorHAnsi" w:cs="Arial"/>
                <w:b w:val="0"/>
                <w:bCs w:val="0"/>
                <w:szCs w:val="20"/>
              </w:rPr>
              <w:t>(b) photographic and/or diagnostic imaging evidence demonstrating the clinical need for this service is documented in the patient notes</w:t>
            </w:r>
          </w:p>
          <w:p w14:paraId="7438650F" w14:textId="77777777" w:rsidR="006F7F21" w:rsidRPr="005B4BE6" w:rsidRDefault="006F7F21" w:rsidP="004620B7">
            <w:pPr>
              <w:autoSpaceDE w:val="0"/>
              <w:autoSpaceDN w:val="0"/>
              <w:adjustRightInd w:val="0"/>
              <w:spacing w:after="0" w:line="240" w:lineRule="auto"/>
              <w:rPr>
                <w:rFonts w:eastAsiaTheme="minorHAnsi" w:cs="Arial"/>
                <w:b w:val="0"/>
                <w:bCs w:val="0"/>
                <w:szCs w:val="20"/>
              </w:rPr>
            </w:pPr>
            <w:r w:rsidRPr="005B4BE6">
              <w:rPr>
                <w:rFonts w:eastAsiaTheme="minorHAnsi" w:cs="Arial"/>
                <w:b w:val="0"/>
                <w:bCs w:val="0"/>
                <w:szCs w:val="20"/>
              </w:rPr>
              <w:t>(</w:t>
            </w:r>
            <w:proofErr w:type="spellStart"/>
            <w:r w:rsidRPr="005B4BE6">
              <w:rPr>
                <w:rFonts w:eastAsiaTheme="minorHAnsi" w:cs="Arial"/>
                <w:b w:val="0"/>
                <w:bCs w:val="0"/>
                <w:szCs w:val="20"/>
              </w:rPr>
              <w:t>Anaes</w:t>
            </w:r>
            <w:proofErr w:type="spellEnd"/>
            <w:r w:rsidRPr="005B4BE6">
              <w:rPr>
                <w:rFonts w:eastAsiaTheme="minorHAnsi" w:cs="Arial"/>
                <w:b w:val="0"/>
                <w:bCs w:val="0"/>
                <w:szCs w:val="20"/>
              </w:rPr>
              <w:t>.)</w:t>
            </w:r>
          </w:p>
          <w:p w14:paraId="3289EFD4" w14:textId="77777777" w:rsidR="006F7F21" w:rsidRPr="005B4BE6" w:rsidRDefault="006F7F21" w:rsidP="004620B7">
            <w:pPr>
              <w:autoSpaceDE w:val="0"/>
              <w:autoSpaceDN w:val="0"/>
              <w:adjustRightInd w:val="0"/>
              <w:spacing w:after="0" w:line="240" w:lineRule="auto"/>
              <w:rPr>
                <w:rFonts w:eastAsiaTheme="minorHAnsi" w:cs="Arial"/>
                <w:szCs w:val="20"/>
              </w:rPr>
            </w:pPr>
            <w:r w:rsidRPr="005B4BE6">
              <w:rPr>
                <w:rFonts w:eastAsiaTheme="minorHAnsi" w:cs="Arial"/>
                <w:szCs w:val="20"/>
              </w:rPr>
              <w:t>Fee: </w:t>
            </w:r>
            <w:r w:rsidRPr="005B4BE6">
              <w:rPr>
                <w:rFonts w:eastAsiaTheme="minorHAnsi" w:cs="Arial"/>
                <w:b w:val="0"/>
                <w:bCs w:val="0"/>
                <w:szCs w:val="20"/>
              </w:rPr>
              <w:t>$248.50</w:t>
            </w:r>
            <w:r w:rsidRPr="005B4BE6">
              <w:rPr>
                <w:rFonts w:eastAsiaTheme="minorHAnsi" w:cs="Arial"/>
                <w:szCs w:val="20"/>
              </w:rPr>
              <w:t> Benefit: </w:t>
            </w:r>
            <w:r w:rsidRPr="005B4BE6">
              <w:rPr>
                <w:rFonts w:eastAsiaTheme="minorHAnsi" w:cs="Arial"/>
                <w:b w:val="0"/>
                <w:bCs w:val="0"/>
                <w:szCs w:val="20"/>
              </w:rPr>
              <w:t>75% = $186.40 85% = $211.25</w:t>
            </w:r>
            <w:r w:rsidRPr="005B4BE6">
              <w:rPr>
                <w:rFonts w:eastAsiaTheme="minorHAnsi" w:cs="Arial"/>
                <w:szCs w:val="20"/>
              </w:rPr>
              <w:t xml:space="preserve"> </w:t>
            </w:r>
          </w:p>
          <w:p w14:paraId="70C269C2" w14:textId="77777777" w:rsidR="006F7F21" w:rsidRPr="005B4BE6" w:rsidRDefault="006F7F21" w:rsidP="004620B7">
            <w:pPr>
              <w:autoSpaceDE w:val="0"/>
              <w:autoSpaceDN w:val="0"/>
              <w:adjustRightInd w:val="0"/>
              <w:spacing w:after="0" w:line="240" w:lineRule="auto"/>
              <w:rPr>
                <w:rFonts w:eastAsiaTheme="minorHAnsi" w:cs="Arial"/>
                <w:b w:val="0"/>
                <w:bCs w:val="0"/>
                <w:szCs w:val="20"/>
              </w:rPr>
            </w:pPr>
            <w:r w:rsidRPr="005B4BE6">
              <w:rPr>
                <w:rFonts w:eastAsiaTheme="minorHAnsi" w:cs="Arial"/>
                <w:b w:val="0"/>
                <w:bCs w:val="0"/>
                <w:szCs w:val="20"/>
              </w:rPr>
              <w:t>(See para </w:t>
            </w:r>
            <w:r w:rsidRPr="005B4BE6">
              <w:rPr>
                <w:rFonts w:eastAsiaTheme="minorHAnsi" w:cs="Arial"/>
                <w:b w:val="0"/>
                <w:bCs w:val="0"/>
                <w:color w:val="0000FF"/>
                <w:szCs w:val="20"/>
                <w:u w:val="single"/>
              </w:rPr>
              <w:t>TN.8.103</w:t>
            </w:r>
            <w:r w:rsidRPr="005B4BE6">
              <w:rPr>
                <w:rFonts w:eastAsiaTheme="minorHAnsi" w:cs="Arial"/>
                <w:b w:val="0"/>
                <w:bCs w:val="0"/>
                <w:szCs w:val="20"/>
              </w:rPr>
              <w:t> of explanatory notes to this Category)</w:t>
            </w:r>
          </w:p>
          <w:p w14:paraId="574F9AD1" w14:textId="77777777" w:rsidR="004060C9" w:rsidRPr="005B4BE6" w:rsidRDefault="006F7F21" w:rsidP="004620B7">
            <w:pPr>
              <w:spacing w:after="60" w:line="240" w:lineRule="auto"/>
              <w:rPr>
                <w:rFonts w:eastAsiaTheme="minorHAnsi" w:cs="Arial"/>
                <w:b w:val="0"/>
                <w:bCs w:val="0"/>
                <w:szCs w:val="20"/>
              </w:rPr>
            </w:pPr>
            <w:r w:rsidRPr="005B4BE6">
              <w:rPr>
                <w:rFonts w:eastAsiaTheme="minorHAnsi" w:cs="Arial"/>
                <w:b w:val="0"/>
                <w:bCs w:val="0"/>
                <w:szCs w:val="20"/>
              </w:rPr>
              <w:t>Extended Medicare Safety Net Cap: $198.80</w:t>
            </w:r>
          </w:p>
          <w:p w14:paraId="33627E10" w14:textId="36D6538A" w:rsidR="006F7F21" w:rsidRPr="00C86F34" w:rsidRDefault="006F7F21" w:rsidP="004620B7">
            <w:pPr>
              <w:spacing w:after="60" w:line="240" w:lineRule="auto"/>
              <w:rPr>
                <w:rFonts w:asciiTheme="minorHAnsi" w:eastAsiaTheme="minorHAnsi" w:hAnsiTheme="minorHAnsi" w:cstheme="minorHAnsi"/>
                <w:szCs w:val="20"/>
              </w:rPr>
            </w:pPr>
            <w:r w:rsidRPr="00227B51">
              <w:rPr>
                <w:color w:val="FF0000"/>
                <w:lang w:eastAsia="en-AU"/>
              </w:rPr>
              <w:br/>
            </w:r>
          </w:p>
        </w:tc>
      </w:tr>
    </w:tbl>
    <w:p w14:paraId="79A454C5" w14:textId="77777777" w:rsidR="006F7F21" w:rsidRDefault="006F7F21" w:rsidP="00D5554D">
      <w:pPr>
        <w:pStyle w:val="Heading2"/>
        <w:spacing w:before="0"/>
      </w:pPr>
    </w:p>
    <w:p w14:paraId="49EE961B" w14:textId="77777777" w:rsidR="006F7F21" w:rsidRDefault="006F7F21">
      <w:pPr>
        <w:spacing w:before="0" w:after="0" w:line="240" w:lineRule="auto"/>
        <w:rPr>
          <w:rFonts w:cs="Arial"/>
          <w:b/>
          <w:bCs/>
          <w:iCs/>
          <w:color w:val="358189"/>
          <w:sz w:val="36"/>
          <w:szCs w:val="28"/>
        </w:rPr>
      </w:pPr>
      <w:r>
        <w:br w:type="page"/>
      </w:r>
    </w:p>
    <w:p w14:paraId="32E82B19" w14:textId="30550D5E" w:rsidR="00064168" w:rsidRDefault="00064168" w:rsidP="00D5554D">
      <w:pPr>
        <w:pStyle w:val="Heading2"/>
        <w:spacing w:before="0"/>
      </w:pPr>
      <w:r w:rsidRPr="001A7FB7">
        <w:lastRenderedPageBreak/>
        <w:t>How will the changes be monitored</w:t>
      </w:r>
      <w:r>
        <w:t xml:space="preserve"> and reviewed</w:t>
      </w:r>
      <w:r w:rsidRPr="001A7FB7">
        <w:t>?</w:t>
      </w:r>
    </w:p>
    <w:p w14:paraId="7760CAF7" w14:textId="77777777" w:rsidR="00572FB8" w:rsidRDefault="00572FB8" w:rsidP="00572FB8">
      <w:r>
        <w:t>The utilisation of the item following implementation of the changes will be monitored by the Department, and consultation with stakeholders will occur as required.</w:t>
      </w:r>
    </w:p>
    <w:p w14:paraId="3C63E237" w14:textId="6D1D0527" w:rsidR="00064168" w:rsidRDefault="00064168" w:rsidP="00064168">
      <w:pPr>
        <w:pStyle w:val="Heading2"/>
      </w:pPr>
      <w:r>
        <w:t>Where can I find more information?</w:t>
      </w:r>
    </w:p>
    <w:p w14:paraId="5EEA2BAC" w14:textId="7A474502"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7" w:history="1">
        <w:r w:rsidRPr="00867595">
          <w:rPr>
            <w:rStyle w:val="Hyperlink"/>
            <w:szCs w:val="22"/>
          </w:rPr>
          <w:t>www.mbsonline.gov.au</w:t>
        </w:r>
      </w:hyperlink>
      <w:r w:rsidR="00F66493">
        <w:rPr>
          <w:rStyle w:val="Hyperlink"/>
          <w:szCs w:val="22"/>
        </w:rPr>
        <w:t xml:space="preserve"> </w:t>
      </w:r>
      <w:r w:rsidRPr="00867595">
        <w:rPr>
          <w:rStyle w:val="Hyperlink"/>
          <w:szCs w:val="22"/>
        </w:rPr>
        <w:t>.</w:t>
      </w:r>
      <w:r w:rsidRPr="00867595">
        <w:rPr>
          <w:szCs w:val="22"/>
        </w:rPr>
        <w:t xml:space="preserve"> You can also subscribe to future MBS updates by visiting </w:t>
      </w:r>
      <w:hyperlink r:id="rId8" w:history="1">
        <w:r w:rsidRPr="00867595">
          <w:rPr>
            <w:rStyle w:val="Hyperlink"/>
            <w:szCs w:val="22"/>
          </w:rPr>
          <w:t>MBS Online</w:t>
        </w:r>
      </w:hyperlink>
      <w:r w:rsidRPr="00867595">
        <w:rPr>
          <w:szCs w:val="22"/>
        </w:rPr>
        <w:t xml:space="preserve"> and clicking ‘Subscribe’. </w:t>
      </w:r>
    </w:p>
    <w:p w14:paraId="589A6190" w14:textId="2DB8ABF0" w:rsidR="00064168" w:rsidRPr="00867595" w:rsidRDefault="00064168" w:rsidP="00064168">
      <w:pPr>
        <w:rPr>
          <w:szCs w:val="22"/>
        </w:rPr>
      </w:pPr>
      <w:r w:rsidRPr="00867595">
        <w:rPr>
          <w:szCs w:val="22"/>
        </w:rPr>
        <w:t xml:space="preserve">The Department of Health </w:t>
      </w:r>
      <w:r w:rsidR="00F66493">
        <w:rPr>
          <w:szCs w:val="22"/>
        </w:rPr>
        <w:t xml:space="preserve">and Aged Care </w:t>
      </w:r>
      <w:r w:rsidRPr="00867595">
        <w:rPr>
          <w:szCs w:val="22"/>
        </w:rPr>
        <w:t xml:space="preserve">provides an email advice service for providers seeking advice on interpretation of the MBS items and rules and the Health Insurance Act and associated regulations. If you have a query relating exclusively to interpretation of the Schedule, </w:t>
      </w:r>
      <w:r w:rsidR="00F66493">
        <w:rPr>
          <w:szCs w:val="22"/>
        </w:rPr>
        <w:t xml:space="preserve">please </w:t>
      </w:r>
      <w:r w:rsidRPr="00867595">
        <w:rPr>
          <w:szCs w:val="22"/>
        </w:rPr>
        <w:t xml:space="preserve">email </w:t>
      </w:r>
      <w:hyperlink r:id="rId9" w:history="1">
        <w:r w:rsidRPr="00867595">
          <w:rPr>
            <w:rStyle w:val="Hyperlink"/>
            <w:szCs w:val="22"/>
          </w:rPr>
          <w:t>askMBS@health.gov.au</w:t>
        </w:r>
      </w:hyperlink>
      <w:r w:rsidRPr="00867595">
        <w:rPr>
          <w:szCs w:val="22"/>
        </w:rPr>
        <w:t>.</w:t>
      </w:r>
    </w:p>
    <w:p w14:paraId="359DC9B9" w14:textId="7C9B7613" w:rsidR="00064168" w:rsidRPr="00867595" w:rsidRDefault="00064168" w:rsidP="00064168">
      <w:pPr>
        <w:rPr>
          <w:szCs w:val="22"/>
        </w:rPr>
      </w:pPr>
      <w:r w:rsidRPr="00867595">
        <w:rPr>
          <w:szCs w:val="22"/>
        </w:rPr>
        <w:t>Subscribe to ‘</w:t>
      </w:r>
      <w:hyperlink r:id="rId10"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77777777" w:rsidR="00064168" w:rsidRPr="00867595"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1" w:history="1">
        <w:r w:rsidRPr="00867595">
          <w:rPr>
            <w:rStyle w:val="Hyperlink"/>
            <w:szCs w:val="22"/>
          </w:rPr>
          <w:t>Downloads</w:t>
        </w:r>
      </w:hyperlink>
      <w:r w:rsidRPr="00867595">
        <w:rPr>
          <w:szCs w:val="22"/>
        </w:rPr>
        <w:t xml:space="preserve"> page.</w:t>
      </w:r>
    </w:p>
    <w:p w14:paraId="6C49876C" w14:textId="77777777" w:rsidR="00064168" w:rsidRDefault="00064168" w:rsidP="00064168"/>
    <w:p w14:paraId="06A10498" w14:textId="77777777" w:rsidR="00064168" w:rsidRDefault="00064168" w:rsidP="00064168">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A39EA1F" w14:textId="2135CC40" w:rsidR="00064168" w:rsidRPr="0029176A" w:rsidRDefault="00064168" w:rsidP="00064168">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4AD79C39" w14:textId="77777777" w:rsidR="00064168" w:rsidRPr="009040E9" w:rsidRDefault="00064168" w:rsidP="00064168">
      <w:pPr>
        <w:pStyle w:val="Tabletextleft"/>
      </w:pPr>
    </w:p>
    <w:p w14:paraId="3BE96EC7" w14:textId="77777777" w:rsidR="009040E9" w:rsidRPr="009040E9" w:rsidRDefault="009040E9" w:rsidP="009040E9">
      <w:pPr>
        <w:pStyle w:val="Tabletextleft"/>
      </w:pPr>
    </w:p>
    <w:sectPr w:rsidR="009040E9" w:rsidRPr="009040E9" w:rsidSect="00B53987">
      <w:headerReference w:type="default" r:id="rId12"/>
      <w:footerReference w:type="default" r:id="rId13"/>
      <w:headerReference w:type="first" r:id="rId14"/>
      <w:footerReference w:type="first" r:id="rId1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A98C" w14:textId="77777777" w:rsidR="00973F9F" w:rsidRDefault="00973F9F" w:rsidP="006B56BB">
      <w:r>
        <w:separator/>
      </w:r>
    </w:p>
    <w:p w14:paraId="4ED2033A" w14:textId="77777777" w:rsidR="00973F9F" w:rsidRDefault="00973F9F"/>
  </w:endnote>
  <w:endnote w:type="continuationSeparator" w:id="0">
    <w:p w14:paraId="4F134AE7" w14:textId="77777777" w:rsidR="00973F9F" w:rsidRDefault="00973F9F" w:rsidP="006B56BB">
      <w:r>
        <w:continuationSeparator/>
      </w:r>
    </w:p>
    <w:p w14:paraId="322D70B0" w14:textId="77777777" w:rsidR="00973F9F" w:rsidRDefault="00973F9F"/>
  </w:endnote>
  <w:endnote w:type="continuationNotice" w:id="1">
    <w:p w14:paraId="489CD2BD" w14:textId="77777777" w:rsidR="00973F9F" w:rsidRDefault="00973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E728FE"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403D4420" w:rsidR="00F51321" w:rsidRDefault="00572FB8" w:rsidP="00F51321">
    <w:pPr>
      <w:pStyle w:val="Footer"/>
      <w:tabs>
        <w:tab w:val="clear" w:pos="9026"/>
        <w:tab w:val="right" w:pos="10466"/>
      </w:tabs>
    </w:pPr>
    <w:r>
      <w:rPr>
        <w:b/>
      </w:rPr>
      <w:t xml:space="preserve">Amendment to item 45617 for upper eyelid reduction surgery </w:t>
    </w:r>
    <w:r w:rsidRPr="00E863C4">
      <w:rPr>
        <w:b/>
      </w:rPr>
      <w:t xml:space="preserve">– </w:t>
    </w:r>
    <w:r>
      <w:rPr>
        <w:b/>
      </w:rPr>
      <w:t>Factsheet</w:t>
    </w:r>
    <w:r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E728FE" w:rsidP="00F51321">
    <w:pPr>
      <w:pStyle w:val="Footer"/>
      <w:jc w:val="left"/>
      <w:rPr>
        <w:rStyle w:val="Hyperlink"/>
        <w:szCs w:val="18"/>
      </w:rPr>
    </w:pPr>
    <w:hyperlink r:id="rId1" w:history="1">
      <w:r w:rsidR="00F51321" w:rsidRPr="00E863C4">
        <w:rPr>
          <w:rStyle w:val="Hyperlink"/>
          <w:szCs w:val="18"/>
        </w:rPr>
        <w:t>MBS Online</w:t>
      </w:r>
    </w:hyperlink>
  </w:p>
  <w:p w14:paraId="0D093570" w14:textId="2E8A1382" w:rsidR="00F51321" w:rsidRPr="009B32BA" w:rsidRDefault="00F51321" w:rsidP="00F51321">
    <w:pPr>
      <w:pStyle w:val="Footer"/>
      <w:jc w:val="left"/>
      <w:rPr>
        <w:szCs w:val="18"/>
      </w:rPr>
    </w:pPr>
    <w:r w:rsidRPr="00870B05">
      <w:t>Last updated</w:t>
    </w:r>
    <w:r>
      <w:t xml:space="preserve"> – </w:t>
    </w:r>
    <w:r w:rsidR="00DA54CE">
      <w:t>2</w:t>
    </w:r>
    <w:r w:rsidR="00DF7C3C">
      <w:t>2</w:t>
    </w:r>
    <w:r w:rsidR="00572FB8">
      <w:t xml:space="preserve"> </w:t>
    </w:r>
    <w:r w:rsidR="00DF7C3C">
      <w:t>August</w:t>
    </w:r>
    <w:r w:rsidR="005C210E">
      <w:t xml:space="preserve"> </w:t>
    </w:r>
    <w:r w:rsidR="00572FB8">
      <w:t>2022</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E728FE"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92C85AE" w:rsidR="00064168" w:rsidRDefault="00572FB8" w:rsidP="00064168">
    <w:pPr>
      <w:pStyle w:val="Footer"/>
      <w:tabs>
        <w:tab w:val="clear" w:pos="9026"/>
        <w:tab w:val="right" w:pos="10466"/>
      </w:tabs>
    </w:pPr>
    <w:r>
      <w:rPr>
        <w:b/>
      </w:rPr>
      <w:t xml:space="preserve">Amendment to item 45617 for upper eyelid reduction surgery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E728FE" w:rsidP="00064168">
    <w:pPr>
      <w:pStyle w:val="Footer"/>
      <w:jc w:val="left"/>
      <w:rPr>
        <w:rStyle w:val="Hyperlink"/>
        <w:szCs w:val="18"/>
      </w:rPr>
    </w:pPr>
    <w:hyperlink r:id="rId1" w:history="1">
      <w:r w:rsidR="00064168" w:rsidRPr="00E863C4">
        <w:rPr>
          <w:rStyle w:val="Hyperlink"/>
          <w:szCs w:val="18"/>
        </w:rPr>
        <w:t>MBS Online</w:t>
      </w:r>
    </w:hyperlink>
  </w:p>
  <w:p w14:paraId="2964AB57" w14:textId="7458379C" w:rsidR="00CB03B8" w:rsidRPr="00064168" w:rsidRDefault="00064168" w:rsidP="00572FB8">
    <w:pPr>
      <w:pStyle w:val="Footer"/>
      <w:jc w:val="left"/>
    </w:pPr>
    <w:r w:rsidRPr="00870B05">
      <w:t>Last updated</w:t>
    </w:r>
    <w:r>
      <w:t xml:space="preserve"> – </w:t>
    </w:r>
    <w:r w:rsidR="00DF7C3C">
      <w:t>22 August</w:t>
    </w:r>
    <w:r w:rsidR="005C210E">
      <w:t xml:space="preserve"> </w:t>
    </w:r>
    <w:r w:rsidR="00572FB8">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57CF" w14:textId="77777777" w:rsidR="00973F9F" w:rsidRDefault="00973F9F" w:rsidP="006B56BB">
      <w:r>
        <w:separator/>
      </w:r>
    </w:p>
    <w:p w14:paraId="0439607E" w14:textId="77777777" w:rsidR="00973F9F" w:rsidRDefault="00973F9F"/>
  </w:footnote>
  <w:footnote w:type="continuationSeparator" w:id="0">
    <w:p w14:paraId="71B9B402" w14:textId="77777777" w:rsidR="00973F9F" w:rsidRDefault="00973F9F" w:rsidP="006B56BB">
      <w:r>
        <w:continuationSeparator/>
      </w:r>
    </w:p>
    <w:p w14:paraId="7C3B98A6" w14:textId="77777777" w:rsidR="00973F9F" w:rsidRDefault="00973F9F"/>
  </w:footnote>
  <w:footnote w:type="continuationNotice" w:id="1">
    <w:p w14:paraId="08C9091E" w14:textId="77777777" w:rsidR="00973F9F" w:rsidRDefault="00973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61EEE6E" w:rsidR="008E0C77" w:rsidRDefault="008E0C77" w:rsidP="008E0C77">
    <w:pPr>
      <w:pStyle w:val="Headertext"/>
      <w:spacing w:after="180"/>
      <w:jc w:val="left"/>
    </w:pPr>
  </w:p>
  <w:p w14:paraId="0831AF09" w14:textId="77777777" w:rsidR="00CB03B8" w:rsidRDefault="00CB0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2301B4CD"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B85A60"/>
    <w:multiLevelType w:val="hybridMultilevel"/>
    <w:tmpl w:val="617C4E58"/>
    <w:lvl w:ilvl="0" w:tplc="FE244592">
      <w:start w:val="1"/>
      <w:numFmt w:val="lowerRoman"/>
      <w:lvlText w:val="(%1)"/>
      <w:lvlJc w:val="left"/>
      <w:pPr>
        <w:ind w:left="1346" w:hanging="720"/>
      </w:pPr>
      <w:rPr>
        <w:rFonts w:hint="default"/>
        <w:b/>
        <w:bCs/>
      </w:rPr>
    </w:lvl>
    <w:lvl w:ilvl="1" w:tplc="0C090019" w:tentative="1">
      <w:start w:val="1"/>
      <w:numFmt w:val="lowerLetter"/>
      <w:lvlText w:val="%2."/>
      <w:lvlJc w:val="left"/>
      <w:pPr>
        <w:ind w:left="1706" w:hanging="360"/>
      </w:pPr>
    </w:lvl>
    <w:lvl w:ilvl="2" w:tplc="0C09001B" w:tentative="1">
      <w:start w:val="1"/>
      <w:numFmt w:val="lowerRoman"/>
      <w:lvlText w:val="%3."/>
      <w:lvlJc w:val="right"/>
      <w:pPr>
        <w:ind w:left="2426" w:hanging="180"/>
      </w:pPr>
    </w:lvl>
    <w:lvl w:ilvl="3" w:tplc="0C09000F" w:tentative="1">
      <w:start w:val="1"/>
      <w:numFmt w:val="decimal"/>
      <w:lvlText w:val="%4."/>
      <w:lvlJc w:val="left"/>
      <w:pPr>
        <w:ind w:left="3146" w:hanging="360"/>
      </w:pPr>
    </w:lvl>
    <w:lvl w:ilvl="4" w:tplc="0C090019" w:tentative="1">
      <w:start w:val="1"/>
      <w:numFmt w:val="lowerLetter"/>
      <w:lvlText w:val="%5."/>
      <w:lvlJc w:val="left"/>
      <w:pPr>
        <w:ind w:left="3866" w:hanging="360"/>
      </w:pPr>
    </w:lvl>
    <w:lvl w:ilvl="5" w:tplc="0C09001B" w:tentative="1">
      <w:start w:val="1"/>
      <w:numFmt w:val="lowerRoman"/>
      <w:lvlText w:val="%6."/>
      <w:lvlJc w:val="right"/>
      <w:pPr>
        <w:ind w:left="4586" w:hanging="180"/>
      </w:pPr>
    </w:lvl>
    <w:lvl w:ilvl="6" w:tplc="0C09000F" w:tentative="1">
      <w:start w:val="1"/>
      <w:numFmt w:val="decimal"/>
      <w:lvlText w:val="%7."/>
      <w:lvlJc w:val="left"/>
      <w:pPr>
        <w:ind w:left="5306" w:hanging="360"/>
      </w:pPr>
    </w:lvl>
    <w:lvl w:ilvl="7" w:tplc="0C090019" w:tentative="1">
      <w:start w:val="1"/>
      <w:numFmt w:val="lowerLetter"/>
      <w:lvlText w:val="%8."/>
      <w:lvlJc w:val="left"/>
      <w:pPr>
        <w:ind w:left="6026" w:hanging="360"/>
      </w:pPr>
    </w:lvl>
    <w:lvl w:ilvl="8" w:tplc="0C09001B" w:tentative="1">
      <w:start w:val="1"/>
      <w:numFmt w:val="lowerRoman"/>
      <w:lvlText w:val="%9."/>
      <w:lvlJc w:val="right"/>
      <w:pPr>
        <w:ind w:left="6746" w:hanging="180"/>
      </w:p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9"/>
  </w:num>
  <w:num w:numId="7">
    <w:abstractNumId w:val="16"/>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0"/>
  </w:num>
  <w:num w:numId="18">
    <w:abstractNumId w:val="12"/>
  </w:num>
  <w:num w:numId="19">
    <w:abstractNumId w:val="15"/>
  </w:num>
  <w:num w:numId="20">
    <w:abstractNumId w:val="10"/>
  </w:num>
  <w:num w:numId="21">
    <w:abstractNumId w:val="15"/>
  </w:num>
  <w:num w:numId="22">
    <w:abstractNumId w:val="21"/>
  </w:num>
  <w:num w:numId="23">
    <w:abstractNumId w:val="18"/>
  </w:num>
  <w:num w:numId="24">
    <w:abstractNumId w:val="20"/>
  </w:num>
  <w:num w:numId="25">
    <w:abstractNumId w:val="8"/>
  </w:num>
  <w:num w:numId="26">
    <w:abstractNumId w:val="17"/>
  </w:num>
  <w:num w:numId="27">
    <w:abstractNumId w:val="11"/>
  </w:num>
  <w:num w:numId="28">
    <w:abstractNumId w:val="1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024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4168"/>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14ACB"/>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5D1"/>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60C9"/>
    <w:rsid w:val="00410031"/>
    <w:rsid w:val="00415C81"/>
    <w:rsid w:val="00432378"/>
    <w:rsid w:val="00440D65"/>
    <w:rsid w:val="004435E6"/>
    <w:rsid w:val="00447E31"/>
    <w:rsid w:val="00453923"/>
    <w:rsid w:val="00454B9B"/>
    <w:rsid w:val="00457858"/>
    <w:rsid w:val="00460B0B"/>
    <w:rsid w:val="00461023"/>
    <w:rsid w:val="004620B7"/>
    <w:rsid w:val="00462FAC"/>
    <w:rsid w:val="00464631"/>
    <w:rsid w:val="00464B79"/>
    <w:rsid w:val="00467BBF"/>
    <w:rsid w:val="0048593C"/>
    <w:rsid w:val="004867E2"/>
    <w:rsid w:val="004929A9"/>
    <w:rsid w:val="004A06CB"/>
    <w:rsid w:val="004A78D9"/>
    <w:rsid w:val="004C1BCD"/>
    <w:rsid w:val="004C6BCF"/>
    <w:rsid w:val="004D58BF"/>
    <w:rsid w:val="004E33C0"/>
    <w:rsid w:val="004E4335"/>
    <w:rsid w:val="004F13EE"/>
    <w:rsid w:val="004F2022"/>
    <w:rsid w:val="004F7C05"/>
    <w:rsid w:val="00501C94"/>
    <w:rsid w:val="00506432"/>
    <w:rsid w:val="00506E82"/>
    <w:rsid w:val="0052051D"/>
    <w:rsid w:val="00545EE6"/>
    <w:rsid w:val="005550E7"/>
    <w:rsid w:val="005564FB"/>
    <w:rsid w:val="005572C7"/>
    <w:rsid w:val="005650ED"/>
    <w:rsid w:val="00572FB8"/>
    <w:rsid w:val="00575754"/>
    <w:rsid w:val="00581FBA"/>
    <w:rsid w:val="00591E20"/>
    <w:rsid w:val="00595408"/>
    <w:rsid w:val="00595E84"/>
    <w:rsid w:val="005A0C59"/>
    <w:rsid w:val="005A48EB"/>
    <w:rsid w:val="005A6CFB"/>
    <w:rsid w:val="005B4BE6"/>
    <w:rsid w:val="005C210E"/>
    <w:rsid w:val="005C5AEB"/>
    <w:rsid w:val="005E0A3F"/>
    <w:rsid w:val="005E6883"/>
    <w:rsid w:val="005E772F"/>
    <w:rsid w:val="005F4ECA"/>
    <w:rsid w:val="006041BE"/>
    <w:rsid w:val="006043C7"/>
    <w:rsid w:val="00624B52"/>
    <w:rsid w:val="00630794"/>
    <w:rsid w:val="00631DF4"/>
    <w:rsid w:val="00634175"/>
    <w:rsid w:val="006408AC"/>
    <w:rsid w:val="0064475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6F7F21"/>
    <w:rsid w:val="00701275"/>
    <w:rsid w:val="00707F56"/>
    <w:rsid w:val="00713558"/>
    <w:rsid w:val="00720D08"/>
    <w:rsid w:val="007263B9"/>
    <w:rsid w:val="007334F8"/>
    <w:rsid w:val="007339CD"/>
    <w:rsid w:val="007359D8"/>
    <w:rsid w:val="007362D4"/>
    <w:rsid w:val="0076672A"/>
    <w:rsid w:val="00775E45"/>
    <w:rsid w:val="00776E74"/>
    <w:rsid w:val="00784751"/>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4863"/>
    <w:rsid w:val="00945E7F"/>
    <w:rsid w:val="009557C1"/>
    <w:rsid w:val="00960D6E"/>
    <w:rsid w:val="00973F9F"/>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3705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0453"/>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55EDB"/>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1CC9"/>
    <w:rsid w:val="00C55258"/>
    <w:rsid w:val="00C82EEB"/>
    <w:rsid w:val="00C86F34"/>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147EB"/>
    <w:rsid w:val="00D1494B"/>
    <w:rsid w:val="00D34667"/>
    <w:rsid w:val="00D401E1"/>
    <w:rsid w:val="00D408B4"/>
    <w:rsid w:val="00D44330"/>
    <w:rsid w:val="00D524C8"/>
    <w:rsid w:val="00D5554D"/>
    <w:rsid w:val="00D70E24"/>
    <w:rsid w:val="00D72B61"/>
    <w:rsid w:val="00DA3D1D"/>
    <w:rsid w:val="00DA54CE"/>
    <w:rsid w:val="00DB6286"/>
    <w:rsid w:val="00DB645F"/>
    <w:rsid w:val="00DB76E9"/>
    <w:rsid w:val="00DC0A67"/>
    <w:rsid w:val="00DC1D5E"/>
    <w:rsid w:val="00DC5220"/>
    <w:rsid w:val="00DD2061"/>
    <w:rsid w:val="00DD7DAB"/>
    <w:rsid w:val="00DE3355"/>
    <w:rsid w:val="00DE60BA"/>
    <w:rsid w:val="00DF0C60"/>
    <w:rsid w:val="00DF486F"/>
    <w:rsid w:val="00DF5B5B"/>
    <w:rsid w:val="00DF7619"/>
    <w:rsid w:val="00DF7C3C"/>
    <w:rsid w:val="00E042D8"/>
    <w:rsid w:val="00E07EE7"/>
    <w:rsid w:val="00E1103B"/>
    <w:rsid w:val="00E17B44"/>
    <w:rsid w:val="00E20F27"/>
    <w:rsid w:val="00E22443"/>
    <w:rsid w:val="00E25B1F"/>
    <w:rsid w:val="00E27FEA"/>
    <w:rsid w:val="00E33CAA"/>
    <w:rsid w:val="00E4086F"/>
    <w:rsid w:val="00E43B3C"/>
    <w:rsid w:val="00E50188"/>
    <w:rsid w:val="00E50BB3"/>
    <w:rsid w:val="00E515CB"/>
    <w:rsid w:val="00E52260"/>
    <w:rsid w:val="00E639B6"/>
    <w:rsid w:val="00E6434B"/>
    <w:rsid w:val="00E6463D"/>
    <w:rsid w:val="00E725E7"/>
    <w:rsid w:val="00E728FE"/>
    <w:rsid w:val="00E72E9B"/>
    <w:rsid w:val="00E850C3"/>
    <w:rsid w:val="00E87DF2"/>
    <w:rsid w:val="00E9462E"/>
    <w:rsid w:val="00EA470E"/>
    <w:rsid w:val="00EA47A7"/>
    <w:rsid w:val="00EA57EB"/>
    <w:rsid w:val="00EB3226"/>
    <w:rsid w:val="00EC213A"/>
    <w:rsid w:val="00EC7744"/>
    <w:rsid w:val="00ED0DAD"/>
    <w:rsid w:val="00ED0F46"/>
    <w:rsid w:val="00ED2373"/>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66493"/>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3"/>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AmendedItemNumber">
    <w:name w:val="Amended Item Number"/>
    <w:basedOn w:val="DefaultParagraphFont"/>
    <w:uiPriority w:val="1"/>
    <w:qFormat/>
    <w:rsid w:val="004620B7"/>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table" w:styleId="GridTable4-Accent2">
    <w:name w:val="Grid Table 4 Accent 2"/>
    <w:basedOn w:val="TableNormal"/>
    <w:uiPriority w:val="49"/>
    <w:rsid w:val="004620B7"/>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214ACB"/>
    <w:rPr>
      <w:rFonts w:ascii="Arial" w:hAnsi="Arial"/>
      <w:color w:val="000000" w:themeColor="text1"/>
      <w:sz w:val="22"/>
      <w:szCs w:val="24"/>
      <w:lang w:eastAsia="en-US"/>
    </w:rPr>
  </w:style>
  <w:style w:type="character" w:styleId="FollowedHyperlink">
    <w:name w:val="FollowedHyperlink"/>
    <w:basedOn w:val="DefaultParagraphFont"/>
    <w:semiHidden/>
    <w:unhideWhenUsed/>
    <w:rsid w:val="00E725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download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mailto:askMBS@health.gov.a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2022-10-06T07:08:00Z</dcterms:created>
  <dcterms:modified xsi:type="dcterms:W3CDTF">2022-10-06T22:06:00Z</dcterms:modified>
</cp:coreProperties>
</file>