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A31FC" w14:textId="77777777" w:rsidR="005F67D5" w:rsidRPr="00BB4F1C" w:rsidRDefault="005F67D5" w:rsidP="005F67D5">
      <w:pPr>
        <w:pStyle w:val="Heading1"/>
      </w:pPr>
      <w:r>
        <w:rPr>
          <w:sz w:val="48"/>
        </w:rPr>
        <w:t xml:space="preserve">Quick Reference Guide - </w:t>
      </w:r>
      <w:r w:rsidRPr="00CB236B">
        <w:rPr>
          <w:sz w:val="48"/>
        </w:rPr>
        <w:t>COVID-19 Temporary MBS Telehealth Services</w:t>
      </w:r>
      <w:r>
        <w:rPr>
          <w:sz w:val="48"/>
        </w:rPr>
        <w:t xml:space="preserve"> for private patients receiving specialist care in-hospital</w:t>
      </w:r>
    </w:p>
    <w:p w14:paraId="5EDC43F2" w14:textId="41025244" w:rsidR="005F67D5" w:rsidRPr="00655923" w:rsidRDefault="005F67D5" w:rsidP="00DF582E">
      <w:pPr>
        <w:spacing w:before="240" w:after="60"/>
        <w:rPr>
          <w:b/>
          <w:bCs/>
        </w:rPr>
      </w:pPr>
      <w:r w:rsidRPr="00655923">
        <w:rPr>
          <w:b/>
          <w:bCs/>
        </w:rPr>
        <w:t xml:space="preserve">The new </w:t>
      </w:r>
      <w:r w:rsidR="007B2CA1">
        <w:rPr>
          <w:b/>
          <w:bCs/>
        </w:rPr>
        <w:t xml:space="preserve">MBS telehealth specialist </w:t>
      </w:r>
      <w:r w:rsidRPr="00655923">
        <w:rPr>
          <w:b/>
          <w:bCs/>
        </w:rPr>
        <w:t xml:space="preserve">items apply </w:t>
      </w:r>
      <w:r w:rsidR="00DF582E">
        <w:rPr>
          <w:b/>
          <w:bCs/>
        </w:rPr>
        <w:t xml:space="preserve">from 15 September 2021 </w:t>
      </w:r>
      <w:r w:rsidRPr="00655923">
        <w:rPr>
          <w:b/>
          <w:bCs/>
        </w:rPr>
        <w:t>where:</w:t>
      </w:r>
    </w:p>
    <w:p w14:paraId="692958B6" w14:textId="3EB0DBF3" w:rsidR="005F1CB1" w:rsidRPr="006E564D" w:rsidRDefault="00B958A1" w:rsidP="00B958A1">
      <w:pPr>
        <w:pStyle w:val="ListParagraph"/>
        <w:numPr>
          <w:ilvl w:val="1"/>
          <w:numId w:val="30"/>
        </w:numPr>
        <w:spacing w:after="20" w:line="240" w:lineRule="auto"/>
        <w:ind w:left="567" w:hanging="283"/>
      </w:pPr>
      <w:r>
        <w:t>A</w:t>
      </w:r>
      <w:r w:rsidR="005F1CB1">
        <w:t xml:space="preserve"> private</w:t>
      </w:r>
      <w:r w:rsidR="005F1CB1" w:rsidRPr="006E564D">
        <w:t xml:space="preserve"> patient </w:t>
      </w:r>
      <w:r w:rsidR="005F1CB1">
        <w:t>has been admitted to hospital</w:t>
      </w:r>
      <w:r w:rsidR="005F1CB1" w:rsidRPr="006E564D">
        <w:t>; and</w:t>
      </w:r>
    </w:p>
    <w:p w14:paraId="228993EC" w14:textId="21F2DCA2" w:rsidR="007B2CA1" w:rsidRDefault="00B958A1" w:rsidP="00B958A1">
      <w:pPr>
        <w:pStyle w:val="ListParagraph"/>
        <w:numPr>
          <w:ilvl w:val="1"/>
          <w:numId w:val="30"/>
        </w:numPr>
        <w:spacing w:after="20" w:line="240" w:lineRule="auto"/>
        <w:ind w:left="567" w:hanging="283"/>
      </w:pPr>
      <w:r>
        <w:t>T</w:t>
      </w:r>
      <w:r w:rsidR="005F1CB1" w:rsidRPr="006E564D">
        <w:t xml:space="preserve">he </w:t>
      </w:r>
      <w:r w:rsidR="005F1CB1">
        <w:t xml:space="preserve">admitting specialist medical practitioner, at the time the attendance is provided, </w:t>
      </w:r>
      <w:r w:rsidR="005F1CB1" w:rsidRPr="006E564D">
        <w:t>is:</w:t>
      </w:r>
    </w:p>
    <w:p w14:paraId="6B540814" w14:textId="58D3218E" w:rsidR="007B2CA1" w:rsidRPr="006E564D" w:rsidRDefault="005F1CB1" w:rsidP="00B958A1">
      <w:pPr>
        <w:pStyle w:val="ListParagraph"/>
        <w:numPr>
          <w:ilvl w:val="0"/>
          <w:numId w:val="39"/>
        </w:numPr>
        <w:spacing w:after="20" w:line="240" w:lineRule="auto"/>
      </w:pPr>
      <w:r w:rsidRPr="006E564D">
        <w:t>located in an area determined by the Commonwealth Chief Medical Officer to be a COVID-19 hotspot; or</w:t>
      </w:r>
    </w:p>
    <w:p w14:paraId="6418B136" w14:textId="36BB1FA0" w:rsidR="007B2CA1" w:rsidRDefault="005F1CB1" w:rsidP="00B958A1">
      <w:pPr>
        <w:pStyle w:val="ListParagraph"/>
        <w:numPr>
          <w:ilvl w:val="0"/>
          <w:numId w:val="39"/>
        </w:numPr>
        <w:spacing w:after="20" w:line="240" w:lineRule="auto"/>
      </w:pPr>
      <w:r>
        <w:t xml:space="preserve">required to isolate </w:t>
      </w:r>
      <w:r w:rsidRPr="006E564D">
        <w:t xml:space="preserve">because of a State or Territory </w:t>
      </w:r>
      <w:r>
        <w:t xml:space="preserve">COVID-19 </w:t>
      </w:r>
      <w:r w:rsidRPr="006E564D">
        <w:t>public health order; or</w:t>
      </w:r>
    </w:p>
    <w:p w14:paraId="7CF7D1FB" w14:textId="77777777" w:rsidR="005F1CB1" w:rsidRDefault="005F1CB1" w:rsidP="00B958A1">
      <w:pPr>
        <w:pStyle w:val="ListParagraph"/>
        <w:numPr>
          <w:ilvl w:val="0"/>
          <w:numId w:val="39"/>
        </w:numPr>
        <w:spacing w:after="20" w:line="240" w:lineRule="auto"/>
      </w:pPr>
      <w:r>
        <w:t xml:space="preserve">required to be in </w:t>
      </w:r>
      <w:r w:rsidRPr="006E564D">
        <w:t xml:space="preserve">quarantine because of a State or Territory </w:t>
      </w:r>
      <w:r>
        <w:t xml:space="preserve">COVID-19 </w:t>
      </w:r>
      <w:r w:rsidRPr="006E564D">
        <w:t>public health order</w:t>
      </w:r>
      <w:r>
        <w:t>.</w:t>
      </w:r>
    </w:p>
    <w:p w14:paraId="1F8558F7" w14:textId="77777777" w:rsidR="005F1CB1" w:rsidRDefault="005F1CB1" w:rsidP="00317218">
      <w:r>
        <w:t xml:space="preserve">The listing of COVID-19 hotspots by the Commonwealth Chief Medical Officer can be found at the Department’s website </w:t>
      </w:r>
      <w:hyperlink r:id="rId8" w:history="1">
        <w:r w:rsidRPr="00ED07D2">
          <w:rPr>
            <w:rStyle w:val="Hyperlink"/>
          </w:rPr>
          <w:t>www.health.gov.au</w:t>
        </w:r>
      </w:hyperlink>
      <w:r>
        <w:t xml:space="preserve"> and by searching COVID-19 hot spots. </w:t>
      </w:r>
    </w:p>
    <w:p w14:paraId="0AA3CCAE" w14:textId="11A9FD8C" w:rsidR="005F67D5" w:rsidRPr="00B958A1" w:rsidRDefault="005F67D5" w:rsidP="00B958A1">
      <w:pPr>
        <w:spacing w:after="60"/>
        <w:rPr>
          <w:b/>
          <w:bCs/>
        </w:rPr>
      </w:pPr>
      <w:r w:rsidRPr="00655923">
        <w:rPr>
          <w:b/>
          <w:bCs/>
        </w:rPr>
        <w:t xml:space="preserve">MBS </w:t>
      </w:r>
      <w:r w:rsidR="007B2CA1">
        <w:rPr>
          <w:b/>
          <w:bCs/>
        </w:rPr>
        <w:t>r</w:t>
      </w:r>
      <w:r w:rsidR="007B2CA1" w:rsidRPr="00DC3509">
        <w:rPr>
          <w:b/>
          <w:bCs/>
        </w:rPr>
        <w:t>ebate</w:t>
      </w:r>
      <w:r>
        <w:rPr>
          <w:b/>
          <w:bCs/>
        </w:rPr>
        <w:t>:</w:t>
      </w:r>
    </w:p>
    <w:p w14:paraId="48EFEEFA" w14:textId="77777777" w:rsidR="005F67D5" w:rsidRPr="00655923" w:rsidRDefault="005F67D5" w:rsidP="005F67D5">
      <w:pPr>
        <w:pStyle w:val="ListParagraph"/>
        <w:numPr>
          <w:ilvl w:val="1"/>
          <w:numId w:val="30"/>
        </w:numPr>
        <w:spacing w:after="20" w:line="240" w:lineRule="auto"/>
        <w:ind w:left="567" w:hanging="283"/>
      </w:pPr>
      <w:r w:rsidRPr="00655923">
        <w:t xml:space="preserve">The new </w:t>
      </w:r>
      <w:r>
        <w:t xml:space="preserve">inpatient telehealth </w:t>
      </w:r>
      <w:r w:rsidRPr="00655923">
        <w:t>items attract a Medicare rebate of 85% of the MBS Schedule Fee.</w:t>
      </w:r>
    </w:p>
    <w:p w14:paraId="37AFB667" w14:textId="417094F0" w:rsidR="005F67D5" w:rsidRPr="00655923" w:rsidRDefault="005F67D5" w:rsidP="005F67D5">
      <w:pPr>
        <w:pStyle w:val="ListParagraph"/>
        <w:numPr>
          <w:ilvl w:val="1"/>
          <w:numId w:val="30"/>
        </w:numPr>
        <w:spacing w:after="20" w:line="240" w:lineRule="auto"/>
        <w:ind w:left="567" w:hanging="283"/>
      </w:pPr>
      <w:r w:rsidRPr="00655923">
        <w:t xml:space="preserve">Private health insurance benefits are </w:t>
      </w:r>
      <w:r w:rsidRPr="002F4F01">
        <w:rPr>
          <w:u w:val="single"/>
        </w:rPr>
        <w:t>not</w:t>
      </w:r>
      <w:r w:rsidRPr="00655923">
        <w:t xml:space="preserve"> payable for the</w:t>
      </w:r>
      <w:r w:rsidR="00B90639">
        <w:t xml:space="preserve">se </w:t>
      </w:r>
      <w:r w:rsidR="00081A5E">
        <w:t>telehealth attendances</w:t>
      </w:r>
      <w:r w:rsidRPr="00655923">
        <w:t>.</w:t>
      </w:r>
    </w:p>
    <w:p w14:paraId="6AF54F21" w14:textId="11F010C1" w:rsidR="005F67D5" w:rsidRDefault="005609B9" w:rsidP="005F67D5">
      <w:pPr>
        <w:pStyle w:val="ListParagraph"/>
        <w:numPr>
          <w:ilvl w:val="1"/>
          <w:numId w:val="30"/>
        </w:numPr>
        <w:spacing w:after="20" w:line="240" w:lineRule="auto"/>
        <w:ind w:left="567" w:hanging="283"/>
      </w:pPr>
      <w:r>
        <w:t>O</w:t>
      </w:r>
      <w:r w:rsidR="005F67D5" w:rsidRPr="00655923">
        <w:t>ut of pocket costs for the new items will count towards the patient’s Medicare Safety Nets</w:t>
      </w:r>
      <w:r w:rsidR="005F67D5">
        <w:t xml:space="preserve"> (original and extended)</w:t>
      </w:r>
      <w:r w:rsidR="005F67D5" w:rsidRPr="00655923">
        <w:t xml:space="preserve">. </w:t>
      </w:r>
    </w:p>
    <w:p w14:paraId="6E6AD897" w14:textId="2B11077B" w:rsidR="007E062D" w:rsidRDefault="007E062D" w:rsidP="005F67D5">
      <w:pPr>
        <w:pStyle w:val="ListParagraph"/>
        <w:numPr>
          <w:ilvl w:val="1"/>
          <w:numId w:val="30"/>
        </w:numPr>
        <w:spacing w:after="20" w:line="240" w:lineRule="auto"/>
        <w:ind w:left="567" w:hanging="283"/>
      </w:pPr>
      <w:r>
        <w:t xml:space="preserve">The fee structure for the new items aligns with equivalent </w:t>
      </w:r>
      <w:r w:rsidR="00AE7790">
        <w:t>face</w:t>
      </w:r>
      <w:r w:rsidR="00081A5E">
        <w:t>-</w:t>
      </w:r>
      <w:r w:rsidR="00AE7790">
        <w:t>to</w:t>
      </w:r>
      <w:r w:rsidR="00081A5E">
        <w:t>-</w:t>
      </w:r>
      <w:r w:rsidR="00AE7790">
        <w:t>face items and existing COVID-19 telehealth specialist items introduced from March 2020</w:t>
      </w:r>
      <w:r w:rsidR="00081A5E">
        <w:t>.</w:t>
      </w:r>
    </w:p>
    <w:p w14:paraId="2E62DED4" w14:textId="77777777" w:rsidR="0097371A" w:rsidRPr="00655923" w:rsidRDefault="0097371A" w:rsidP="00F433B2">
      <w:pPr>
        <w:pStyle w:val="ListParagraph"/>
        <w:numPr>
          <w:ilvl w:val="0"/>
          <w:numId w:val="0"/>
        </w:numPr>
        <w:spacing w:after="20" w:line="240" w:lineRule="auto"/>
        <w:ind w:left="567"/>
      </w:pPr>
    </w:p>
    <w:p w14:paraId="1D6B28E7" w14:textId="77777777" w:rsidR="005F67D5" w:rsidRPr="00655923" w:rsidRDefault="005F67D5" w:rsidP="005F67D5">
      <w:pPr>
        <w:spacing w:after="120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  <w:r w:rsidRPr="00655923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 xml:space="preserve">Table </w:t>
      </w:r>
      <w:r w:rsidRPr="00655923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fldChar w:fldCharType="begin"/>
      </w:r>
      <w:r w:rsidRPr="00655923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instrText xml:space="preserve"> SEQ Table \* ARABIC </w:instrText>
      </w:r>
      <w:r w:rsidRPr="00655923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fldChar w:fldCharType="separate"/>
      </w:r>
      <w:r w:rsidRPr="00655923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>1</w:t>
      </w:r>
      <w:r w:rsidRPr="00655923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fldChar w:fldCharType="end"/>
      </w:r>
      <w:r w:rsidRPr="00655923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>. Specialist services</w:t>
      </w:r>
    </w:p>
    <w:tbl>
      <w:tblPr>
        <w:tblStyle w:val="TableGrid211"/>
        <w:tblW w:w="4948" w:type="pct"/>
        <w:tblInd w:w="0" w:type="dxa"/>
        <w:tblLayout w:type="fixed"/>
        <w:tblLook w:val="04A0" w:firstRow="1" w:lastRow="0" w:firstColumn="1" w:lastColumn="0" w:noHBand="0" w:noVBand="1"/>
        <w:tblCaption w:val="Table 1. Specialist services introduced in September 2021"/>
        <w:tblDescription w:val="A table showing specialist inpatient services introduced in September 2021, with separate columns for existing (face-to-face) items, telehealth (videoconference) items and telephone items."/>
      </w:tblPr>
      <w:tblGrid>
        <w:gridCol w:w="3037"/>
        <w:gridCol w:w="1342"/>
        <w:gridCol w:w="1484"/>
        <w:gridCol w:w="1780"/>
        <w:gridCol w:w="1418"/>
        <w:gridCol w:w="1276"/>
      </w:tblGrid>
      <w:tr w:rsidR="005F67D5" w:rsidRPr="00F61881" w14:paraId="50B3D304" w14:textId="77777777" w:rsidTr="00197E5B">
        <w:trPr>
          <w:tblHeader/>
        </w:trPr>
        <w:tc>
          <w:tcPr>
            <w:tcW w:w="1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30CEE99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Service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22A44C4" w14:textId="170E940E" w:rsidR="005F67D5" w:rsidRPr="00F61881" w:rsidRDefault="00754866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Equivalent 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to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 </w:t>
            </w:r>
            <w:r w:rsidR="005F67D5"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Items </w:t>
            </w:r>
          </w:p>
          <w:p w14:paraId="6EE00BF4" w14:textId="2552A0E6" w:rsidR="005F67D5" w:rsidRPr="00F61881" w:rsidRDefault="00754866" w:rsidP="00197E5B">
            <w:pPr>
              <w:spacing w:line="276" w:lineRule="auto"/>
              <w:outlineLvl w:val="1"/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</w:rPr>
            </w:pPr>
            <w:r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(consulting room / in hospital)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43782A8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</w:t>
            </w:r>
          </w:p>
          <w:p w14:paraId="009C39FB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Telehealth items 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via video-conference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4690896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In-patient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Telephone items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 xml:space="preserve"> – for when video-conferencing is not available</w:t>
            </w: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C7B1106" w14:textId="77777777" w:rsidR="005F67D5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Fee</w:t>
            </w:r>
          </w:p>
          <w:p w14:paraId="2848F0CD" w14:textId="77777777" w:rsidR="005F67D5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14AA5FE" w14:textId="7BEB7A19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Rebate</w:t>
            </w:r>
          </w:p>
          <w:p w14:paraId="13B81B8D" w14:textId="52CD5FC5" w:rsidR="00081A5E" w:rsidRDefault="00081A5E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(85%)</w:t>
            </w:r>
          </w:p>
          <w:p w14:paraId="77CEB99E" w14:textId="0C671C4B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</w:tr>
      <w:tr w:rsidR="005F67D5" w:rsidRPr="00F61881" w14:paraId="7443DA64" w14:textId="77777777" w:rsidTr="00981114">
        <w:tc>
          <w:tcPr>
            <w:tcW w:w="1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DB31A98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Specialist. Initial attendance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00066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104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C3853" w14:textId="77777777" w:rsidR="005F67D5" w:rsidRPr="00F61881" w:rsidRDefault="005F67D5" w:rsidP="00981114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91846*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997F4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91848*</w:t>
            </w: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73047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$90.35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3D5F4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$76.80</w:t>
            </w:r>
          </w:p>
        </w:tc>
      </w:tr>
      <w:tr w:rsidR="005F67D5" w:rsidRPr="00F61881" w14:paraId="392D9CA4" w14:textId="77777777" w:rsidTr="00981114">
        <w:tc>
          <w:tcPr>
            <w:tcW w:w="1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A1E1115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Specialist. Subsequent attendance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23C0E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105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6AE5F" w14:textId="77777777" w:rsidR="005F67D5" w:rsidRPr="00F61881" w:rsidRDefault="005F67D5" w:rsidP="00981114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91847*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C185B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91849*</w:t>
            </w: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F041F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$45.40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DE16B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$38.60</w:t>
            </w:r>
          </w:p>
        </w:tc>
      </w:tr>
    </w:tbl>
    <w:p w14:paraId="45B798EE" w14:textId="77777777" w:rsidR="007E062D" w:rsidRPr="00F61881" w:rsidRDefault="007E062D" w:rsidP="007E062D">
      <w:pPr>
        <w:spacing w:before="120" w:after="0"/>
        <w:rPr>
          <w:rFonts w:ascii="Segoe UI" w:hAnsi="Segoe UI" w:cs="Segoe UI"/>
          <w:sz w:val="18"/>
          <w:szCs w:val="18"/>
        </w:rPr>
      </w:pPr>
      <w:r w:rsidRPr="00F61881">
        <w:rPr>
          <w:rFonts w:ascii="Segoe UI" w:hAnsi="Segoe UI" w:cs="Segoe UI"/>
          <w:sz w:val="18"/>
          <w:szCs w:val="18"/>
        </w:rPr>
        <w:t xml:space="preserve">*For </w:t>
      </w:r>
      <w:r w:rsidRPr="00F61881">
        <w:rPr>
          <w:rFonts w:ascii="Segoe UI" w:hAnsi="Segoe UI" w:cs="Segoe UI"/>
          <w:sz w:val="18"/>
          <w:szCs w:val="18"/>
          <w:u w:val="single"/>
        </w:rPr>
        <w:t>all</w:t>
      </w:r>
      <w:r w:rsidRPr="00F61881">
        <w:rPr>
          <w:rFonts w:ascii="Segoe UI" w:hAnsi="Segoe UI" w:cs="Segoe UI"/>
          <w:sz w:val="18"/>
          <w:szCs w:val="18"/>
        </w:rPr>
        <w:t xml:space="preserve"> specialties that have an existing arrangement to access consultations at the specialist rate.</w:t>
      </w:r>
    </w:p>
    <w:p w14:paraId="25DF0018" w14:textId="2F72C811" w:rsidR="005F67D5" w:rsidRDefault="005F67D5" w:rsidP="005F67D5">
      <w:pPr>
        <w:spacing w:after="0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</w:p>
    <w:p w14:paraId="14619496" w14:textId="77777777" w:rsidR="007E062D" w:rsidRDefault="007E062D">
      <w:pPr>
        <w:spacing w:line="259" w:lineRule="auto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  <w:r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br w:type="page"/>
      </w:r>
    </w:p>
    <w:p w14:paraId="77135B41" w14:textId="1D0643BE" w:rsidR="005F67D5" w:rsidRPr="00D043DD" w:rsidRDefault="005F67D5" w:rsidP="005F67D5">
      <w:pPr>
        <w:spacing w:after="120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  <w:r w:rsidRPr="00D043DD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lastRenderedPageBreak/>
        <w:t xml:space="preserve">Table </w:t>
      </w:r>
      <w:r w:rsidRPr="00D043DD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fldChar w:fldCharType="begin"/>
      </w:r>
      <w:r w:rsidRPr="00D043DD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instrText xml:space="preserve"> SEQ Table \* ARABIC </w:instrText>
      </w:r>
      <w:r w:rsidRPr="00D043DD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fldChar w:fldCharType="separate"/>
      </w:r>
      <w:r w:rsidRPr="00D043DD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>2</w:t>
      </w:r>
      <w:r w:rsidRPr="00D043DD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fldChar w:fldCharType="end"/>
      </w:r>
      <w:r w:rsidRPr="00D043DD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>. Consultant Physician services</w:t>
      </w:r>
    </w:p>
    <w:tbl>
      <w:tblPr>
        <w:tblStyle w:val="TableGrid211"/>
        <w:tblW w:w="5000" w:type="pct"/>
        <w:tblInd w:w="0" w:type="dxa"/>
        <w:tblLook w:val="04A0" w:firstRow="1" w:lastRow="0" w:firstColumn="1" w:lastColumn="0" w:noHBand="0" w:noVBand="1"/>
        <w:tblCaption w:val="Table 2. Consultant Psychiatrist services introduced in September 2021"/>
        <w:tblDescription w:val="A table showing specialist inpatient services introduced in September 2021, with separate columns for existing (face-to-face) items, telehealth (videoconference) items and telephone items."/>
      </w:tblPr>
      <w:tblGrid>
        <w:gridCol w:w="3110"/>
        <w:gridCol w:w="1410"/>
        <w:gridCol w:w="1554"/>
        <w:gridCol w:w="1554"/>
        <w:gridCol w:w="1410"/>
        <w:gridCol w:w="1408"/>
      </w:tblGrid>
      <w:tr w:rsidR="005F67D5" w:rsidRPr="00F61881" w14:paraId="667A2F3C" w14:textId="77777777" w:rsidTr="00197E5B">
        <w:trPr>
          <w:tblHeader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CA0B1D8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Service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B2C9B44" w14:textId="4766DAB1" w:rsidR="00754866" w:rsidRPr="00F61881" w:rsidRDefault="00754866" w:rsidP="00754866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Equivalent 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to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Items </w:t>
            </w:r>
          </w:p>
          <w:p w14:paraId="0C8D24BB" w14:textId="4FE08A92" w:rsidR="005F67D5" w:rsidRPr="00F61881" w:rsidRDefault="00754866" w:rsidP="00197E5B">
            <w:pPr>
              <w:spacing w:line="276" w:lineRule="auto"/>
              <w:outlineLvl w:val="1"/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</w:rPr>
            </w:pPr>
            <w:r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(consulting room / in hospital)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DC6CF82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</w:t>
            </w:r>
          </w:p>
          <w:p w14:paraId="6F138331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Telehealth items 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via video-conference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A9CEE41" w14:textId="77777777" w:rsidR="005F67D5" w:rsidRPr="00F61881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In-patient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Telephone items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 xml:space="preserve"> – for when video-conferencing is not available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16D0C67" w14:textId="77777777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Fee</w:t>
            </w:r>
          </w:p>
          <w:p w14:paraId="5F81AE9F" w14:textId="77777777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D14F67C" w14:textId="4399BCC4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Rebate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 (85%)</w:t>
            </w:r>
          </w:p>
          <w:p w14:paraId="7840BC06" w14:textId="4BBF95A1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</w:tr>
      <w:tr w:rsidR="005F67D5" w:rsidRPr="00F61881" w14:paraId="08513F09" w14:textId="77777777" w:rsidTr="007E062D">
        <w:trPr>
          <w:trHeight w:val="184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872F0C7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Consultant physician. Initial attendance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BF648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110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408E3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92471**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5D97D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92425**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54EE7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$159.35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0BA20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$135.45</w:t>
            </w:r>
          </w:p>
        </w:tc>
      </w:tr>
      <w:tr w:rsidR="005F67D5" w:rsidRPr="00F61881" w14:paraId="0066AC68" w14:textId="77777777" w:rsidTr="007E062D"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FEBF4D7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Consultant physician. Subsequent attendance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CBB45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116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8ED68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92472**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8701F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92426**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217B9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$79.75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4F278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$67.80</w:t>
            </w:r>
          </w:p>
        </w:tc>
      </w:tr>
      <w:tr w:rsidR="005F67D5" w:rsidRPr="00F61881" w14:paraId="1BA5EE43" w14:textId="77777777" w:rsidTr="007E062D"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DF0B7D7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Consultant physician. Minor attendance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9BDCD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119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32BBA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92473**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158A2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92427**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2256E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$45.40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2B9FC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$38.60</w:t>
            </w:r>
          </w:p>
        </w:tc>
      </w:tr>
    </w:tbl>
    <w:p w14:paraId="27B09B72" w14:textId="77777777" w:rsidR="007E062D" w:rsidRDefault="007E062D" w:rsidP="007E062D">
      <w:pPr>
        <w:spacing w:after="240"/>
        <w:rPr>
          <w:rFonts w:ascii="Segoe UI" w:hAnsi="Segoe UI" w:cs="Segoe UI"/>
          <w:sz w:val="18"/>
          <w:szCs w:val="18"/>
        </w:rPr>
      </w:pPr>
      <w:r w:rsidRPr="00F61881">
        <w:rPr>
          <w:rFonts w:ascii="Segoe UI" w:hAnsi="Segoe UI" w:cs="Segoe UI"/>
          <w:sz w:val="18"/>
          <w:szCs w:val="18"/>
        </w:rPr>
        <w:t xml:space="preserve">**For </w:t>
      </w:r>
      <w:r w:rsidRPr="00F61881">
        <w:rPr>
          <w:rFonts w:ascii="Segoe UI" w:hAnsi="Segoe UI" w:cs="Segoe UI"/>
          <w:sz w:val="18"/>
          <w:szCs w:val="18"/>
          <w:u w:val="single"/>
        </w:rPr>
        <w:t>all</w:t>
      </w:r>
      <w:r w:rsidRPr="00F61881">
        <w:rPr>
          <w:rFonts w:ascii="Segoe UI" w:hAnsi="Segoe UI" w:cs="Segoe UI"/>
          <w:sz w:val="18"/>
          <w:szCs w:val="18"/>
        </w:rPr>
        <w:t xml:space="preserve"> specialties that have an existing arrangement to access consultations at the consultant physician rate.</w:t>
      </w:r>
    </w:p>
    <w:p w14:paraId="1C8B92CE" w14:textId="77777777" w:rsidR="005F67D5" w:rsidRPr="00D043DD" w:rsidRDefault="005F67D5" w:rsidP="005F67D5">
      <w:pPr>
        <w:spacing w:line="259" w:lineRule="auto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  <w:r w:rsidRPr="00D043DD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>Table 3. Consultant Psychiatrist services</w:t>
      </w:r>
    </w:p>
    <w:tbl>
      <w:tblPr>
        <w:tblStyle w:val="TableGrid211"/>
        <w:tblW w:w="5000" w:type="pct"/>
        <w:tblInd w:w="0" w:type="dxa"/>
        <w:tblLook w:val="04A0" w:firstRow="1" w:lastRow="0" w:firstColumn="1" w:lastColumn="0" w:noHBand="0" w:noVBand="1"/>
        <w:tblCaption w:val="Table 3. Consultant Psychiatrist services introduced in September 2021"/>
        <w:tblDescription w:val="A table showing specialist inpatient services introduced in September 2021, with separate columns for existing (face-to-face) items, telehealth (videoconference) items and telephone items."/>
      </w:tblPr>
      <w:tblGrid>
        <w:gridCol w:w="3110"/>
        <w:gridCol w:w="1410"/>
        <w:gridCol w:w="1554"/>
        <w:gridCol w:w="1552"/>
        <w:gridCol w:w="1410"/>
        <w:gridCol w:w="1410"/>
      </w:tblGrid>
      <w:tr w:rsidR="005F67D5" w:rsidRPr="00F61881" w14:paraId="30DCD13D" w14:textId="77777777" w:rsidTr="00197E5B">
        <w:trPr>
          <w:tblHeader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18BA4DB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Service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C0B8626" w14:textId="2E4C91D3" w:rsidR="00754866" w:rsidRPr="00F61881" w:rsidRDefault="00754866" w:rsidP="00754866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Equivalent 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to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Items </w:t>
            </w:r>
          </w:p>
          <w:p w14:paraId="6DF18047" w14:textId="4A8321D2" w:rsidR="005F67D5" w:rsidRPr="00F61881" w:rsidRDefault="00754866" w:rsidP="00197E5B">
            <w:pPr>
              <w:spacing w:line="276" w:lineRule="auto"/>
              <w:outlineLvl w:val="1"/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</w:rPr>
            </w:pPr>
            <w:r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(consulting room / in hospital)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4D30413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</w:t>
            </w:r>
          </w:p>
          <w:p w14:paraId="0E50367B" w14:textId="77777777" w:rsidR="005F67D5" w:rsidRPr="00F61881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Telehealth items 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via video-conference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646BD8A" w14:textId="77777777" w:rsidR="005F67D5" w:rsidRPr="00F61881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In-patient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Telephone items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 xml:space="preserve"> – for when video-conferencing is not available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2E21B18" w14:textId="77777777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Fee</w:t>
            </w:r>
          </w:p>
          <w:p w14:paraId="473637E4" w14:textId="77777777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60B0D4F" w14:textId="2BDFDD9D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Rebate</w:t>
            </w:r>
          </w:p>
          <w:p w14:paraId="464589BB" w14:textId="177C9A85" w:rsidR="00081A5E" w:rsidRDefault="00081A5E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(85%)</w:t>
            </w:r>
          </w:p>
          <w:p w14:paraId="710A3D41" w14:textId="67ECA5E0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</w:tr>
      <w:tr w:rsidR="005F67D5" w:rsidRPr="00F61881" w14:paraId="723BD1D9" w14:textId="77777777" w:rsidTr="00981114"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53D6EC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DC3509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Consultant psychiatrist, attendance, new patient (or has not received attendance in preceding 24 mths), more than 45 minutes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8D356" w14:textId="02A96D8C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296</w:t>
            </w:r>
            <w:r w:rsidR="00754866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 xml:space="preserve"> / 297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0352E" w14:textId="77777777" w:rsidR="005F67D5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92466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4DC42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92506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2B2CE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$274.95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27914" w14:textId="77777777" w:rsidR="005F67D5" w:rsidRPr="004C40E7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E82DB6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$233.75</w:t>
            </w:r>
          </w:p>
        </w:tc>
      </w:tr>
      <w:tr w:rsidR="005F67D5" w:rsidRPr="00F61881" w14:paraId="3DA30825" w14:textId="77777777" w:rsidTr="00981114"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BEE6D03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Consultant psychiatrist. Consultation, not more than 15 minutes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8FD9C" w14:textId="3C34D173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300</w:t>
            </w:r>
            <w:r w:rsidR="00754866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 xml:space="preserve"> / 320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0458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92461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16010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92501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F1338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$45.75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0F0D0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$38.90</w:t>
            </w:r>
          </w:p>
        </w:tc>
      </w:tr>
      <w:tr w:rsidR="005F67D5" w:rsidRPr="00F61881" w14:paraId="5F52714D" w14:textId="77777777" w:rsidTr="00981114"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27C5034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Consultant psychiatrist. Consultation, 15 to 30 minutes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DAFC8" w14:textId="1ED48E48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302</w:t>
            </w:r>
            <w:r w:rsidR="00754866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 xml:space="preserve"> /322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D8425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92462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335EB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92502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82DDE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$91.30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49204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$77.65</w:t>
            </w:r>
          </w:p>
        </w:tc>
      </w:tr>
      <w:tr w:rsidR="005F67D5" w:rsidRPr="00F61881" w14:paraId="65B35D3B" w14:textId="77777777" w:rsidTr="00981114"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8D18C9B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Consultant psychiatrist. Consultation, 30 to 45 minutes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D42" w14:textId="4E749651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304</w:t>
            </w:r>
            <w:r w:rsidR="00754866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 xml:space="preserve"> / 324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B25B2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92463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20AC2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92503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3A04D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$140.55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96C0E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$119.50</w:t>
            </w:r>
          </w:p>
        </w:tc>
      </w:tr>
      <w:tr w:rsidR="005F67D5" w:rsidRPr="00F61881" w14:paraId="74173068" w14:textId="77777777" w:rsidTr="00981114"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D0C7BEC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Consultant psychiatrist. Consultation, 45 to 75 minutes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ADE41" w14:textId="3BBC9A18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306</w:t>
            </w:r>
            <w:r w:rsidR="00754866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 xml:space="preserve"> / 326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D556D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92464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3336D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92504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8CE1C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$194.00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80F7E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$164.90</w:t>
            </w:r>
          </w:p>
        </w:tc>
      </w:tr>
      <w:tr w:rsidR="005F67D5" w:rsidRPr="00F61881" w14:paraId="14FE2F41" w14:textId="77777777" w:rsidTr="00981114"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8A90B9B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Consultant psychiatrist. Consultation, more than 75 minutes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EFCAB" w14:textId="17BAF4AE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308</w:t>
            </w:r>
            <w:r w:rsidR="00754866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 xml:space="preserve"> / 328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01146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92465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38C84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92505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24E83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$225.10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AD806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$191.35</w:t>
            </w:r>
          </w:p>
        </w:tc>
      </w:tr>
    </w:tbl>
    <w:p w14:paraId="2CEF87B5" w14:textId="77777777" w:rsidR="00B958A1" w:rsidRDefault="00B958A1" w:rsidP="005F67D5">
      <w:pPr>
        <w:spacing w:after="120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</w:p>
    <w:p w14:paraId="3E837697" w14:textId="77777777" w:rsidR="00B958A1" w:rsidRDefault="00B958A1" w:rsidP="005F67D5">
      <w:pPr>
        <w:spacing w:after="120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</w:p>
    <w:p w14:paraId="00079FB0" w14:textId="7C35FEF8" w:rsidR="005F67D5" w:rsidRPr="00D043DD" w:rsidRDefault="005F67D5" w:rsidP="005F67D5">
      <w:pPr>
        <w:spacing w:after="120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  <w:r w:rsidRPr="00D043DD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lastRenderedPageBreak/>
        <w:t>Table 4. Public Health Physician services</w:t>
      </w:r>
    </w:p>
    <w:tbl>
      <w:tblPr>
        <w:tblStyle w:val="TableGrid211"/>
        <w:tblW w:w="5000" w:type="pct"/>
        <w:tblInd w:w="0" w:type="dxa"/>
        <w:tblLook w:val="04A0" w:firstRow="1" w:lastRow="0" w:firstColumn="1" w:lastColumn="0" w:noHBand="0" w:noVBand="1"/>
        <w:tblCaption w:val="Table 4. Public health physician attendances introduced in September 2021"/>
        <w:tblDescription w:val="A table showing specialist inpatient services introduced in September 2021, with separate columns for existing (face-to-face) items, telehealth (videoconference) items and telephone items."/>
      </w:tblPr>
      <w:tblGrid>
        <w:gridCol w:w="3250"/>
        <w:gridCol w:w="1272"/>
        <w:gridCol w:w="1554"/>
        <w:gridCol w:w="1552"/>
        <w:gridCol w:w="1410"/>
        <w:gridCol w:w="1408"/>
      </w:tblGrid>
      <w:tr w:rsidR="005F67D5" w:rsidRPr="00F61881" w14:paraId="4D923975" w14:textId="77777777" w:rsidTr="00197E5B">
        <w:trPr>
          <w:tblHeader/>
        </w:trPr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F85C973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Service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C6E0674" w14:textId="6D460D20" w:rsidR="00754866" w:rsidRPr="00F61881" w:rsidRDefault="00754866" w:rsidP="00754866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Equivalent 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to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Items </w:t>
            </w:r>
          </w:p>
          <w:p w14:paraId="1C24310F" w14:textId="3372638F" w:rsidR="005F67D5" w:rsidRPr="00F61881" w:rsidRDefault="00754866" w:rsidP="00197E5B">
            <w:pPr>
              <w:spacing w:line="276" w:lineRule="auto"/>
              <w:outlineLvl w:val="1"/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</w:rPr>
            </w:pPr>
            <w:r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(consulting room / in hospital)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37ABE81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</w:t>
            </w:r>
          </w:p>
          <w:p w14:paraId="06EB1B3B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Telehealth items 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via video-conference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4805B0A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In-patient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Telephone items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 xml:space="preserve"> – for when video-conferencing is not available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B312F60" w14:textId="77777777" w:rsidR="005F67D5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Fee</w:t>
            </w:r>
          </w:p>
          <w:p w14:paraId="38F35E2D" w14:textId="77777777" w:rsidR="005F67D5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B70B831" w14:textId="1B697014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Rebate</w:t>
            </w:r>
          </w:p>
          <w:p w14:paraId="36FD7B9E" w14:textId="1A36ABEB" w:rsidR="00081A5E" w:rsidRDefault="00081A5E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(85%)</w:t>
            </w:r>
          </w:p>
          <w:p w14:paraId="5E571374" w14:textId="3E73F504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</w:tr>
      <w:tr w:rsidR="005F67D5" w:rsidRPr="00F61881" w14:paraId="7D37FD4B" w14:textId="77777777" w:rsidTr="00981114"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DB3220E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Public health physician, level A attendance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E6A25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410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AFF67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92517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51D2F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92525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D7D33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$20.65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8E14B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$17.60</w:t>
            </w:r>
          </w:p>
        </w:tc>
      </w:tr>
      <w:tr w:rsidR="005F67D5" w:rsidRPr="00F61881" w14:paraId="721FE3FA" w14:textId="77777777" w:rsidTr="00981114"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7FD1A9C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Public health physician, level B attendance, less than 20 minutes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2AFF4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411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52950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92518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EBDB4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92526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05B7D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$45.15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28D9F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$38.40</w:t>
            </w:r>
          </w:p>
        </w:tc>
      </w:tr>
      <w:tr w:rsidR="005F67D5" w:rsidRPr="00F61881" w14:paraId="1191DD0C" w14:textId="77777777" w:rsidTr="00981114"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C79D825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Public health physician, level C attendance, at least 20 minutes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5D3B0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412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6F562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92519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0808D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92527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073CB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$87.35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71307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$74.25</w:t>
            </w:r>
          </w:p>
        </w:tc>
      </w:tr>
      <w:tr w:rsidR="005F67D5" w:rsidRPr="00F61881" w14:paraId="775FC193" w14:textId="77777777" w:rsidTr="00981114"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3D9BF3F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Public health physician, level D attendance, at least 40 minutes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A9BF7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413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E48E5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92520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F3DE7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92528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6900C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$128.60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100FE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$109.35</w:t>
            </w:r>
          </w:p>
        </w:tc>
      </w:tr>
    </w:tbl>
    <w:p w14:paraId="2F92122C" w14:textId="77777777" w:rsidR="005F67D5" w:rsidRDefault="005F67D5" w:rsidP="005F67D5">
      <w:pPr>
        <w:pStyle w:val="Caption"/>
        <w:keepNext/>
        <w:spacing w:after="0"/>
        <w:rPr>
          <w:rFonts w:ascii="Segoe UI" w:eastAsia="Times New Roman" w:hAnsi="Segoe UI" w:cs="Segoe UI"/>
          <w:color w:val="001A70"/>
        </w:rPr>
      </w:pPr>
    </w:p>
    <w:p w14:paraId="11CFFFDF" w14:textId="4662442F" w:rsidR="005F67D5" w:rsidRPr="007B2CA1" w:rsidRDefault="005F67D5" w:rsidP="007B2CA1">
      <w:pPr>
        <w:spacing w:after="120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  <w:r w:rsidRPr="007B2CA1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 xml:space="preserve">Table 5. Neurosurgery </w:t>
      </w:r>
      <w:r w:rsidR="00B958A1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>services</w:t>
      </w:r>
    </w:p>
    <w:tbl>
      <w:tblPr>
        <w:tblStyle w:val="TableGrid211"/>
        <w:tblW w:w="5000" w:type="pct"/>
        <w:tblInd w:w="0" w:type="dxa"/>
        <w:tblLook w:val="04A0" w:firstRow="1" w:lastRow="0" w:firstColumn="1" w:lastColumn="0" w:noHBand="0" w:noVBand="1"/>
        <w:tblCaption w:val="Table 5. Neurosurgery attendances introduced in September 2021"/>
        <w:tblDescription w:val="A table showing specialist inpatient services introduced in September 2021, with separate columns for existing (face-to-face) items, telehealth (videoconference) items and telephone items."/>
      </w:tblPr>
      <w:tblGrid>
        <w:gridCol w:w="3250"/>
        <w:gridCol w:w="1272"/>
        <w:gridCol w:w="1554"/>
        <w:gridCol w:w="1552"/>
        <w:gridCol w:w="1410"/>
        <w:gridCol w:w="1408"/>
      </w:tblGrid>
      <w:tr w:rsidR="005F67D5" w:rsidRPr="00F61881" w14:paraId="1582EFD1" w14:textId="77777777" w:rsidTr="00197E5B">
        <w:trPr>
          <w:tblHeader/>
        </w:trPr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397D856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Service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2FB1653" w14:textId="1D1AD426" w:rsidR="00754866" w:rsidRPr="00F61881" w:rsidRDefault="00754866" w:rsidP="00754866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Equivalent 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to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Items </w:t>
            </w:r>
          </w:p>
          <w:p w14:paraId="6B4318C1" w14:textId="29496A2E" w:rsidR="005F67D5" w:rsidRPr="00F61881" w:rsidRDefault="00754866" w:rsidP="00197E5B">
            <w:pPr>
              <w:spacing w:line="276" w:lineRule="auto"/>
              <w:outlineLvl w:val="1"/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</w:rPr>
            </w:pPr>
            <w:r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(consulting room / in hospital)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8199230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</w:t>
            </w:r>
          </w:p>
          <w:p w14:paraId="5809E878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Telehealth items 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via video-conference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F2823CE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In-patient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Telephone items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 xml:space="preserve"> – for when video-conferencing is not available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1F25202" w14:textId="77777777" w:rsidR="005F67D5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Fee</w:t>
            </w:r>
          </w:p>
          <w:p w14:paraId="1840C4BC" w14:textId="77777777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7C82802" w14:textId="3E6E1FF3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Rebate</w:t>
            </w:r>
          </w:p>
          <w:p w14:paraId="21CC955B" w14:textId="0B38BC02" w:rsidR="00081A5E" w:rsidRDefault="00081A5E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(85%)</w:t>
            </w:r>
          </w:p>
          <w:p w14:paraId="24B381AF" w14:textId="441A715B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</w:tr>
      <w:tr w:rsidR="005F67D5" w:rsidRPr="00F61881" w14:paraId="5C6134CA" w14:textId="77777777" w:rsidTr="00981114"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B36E537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Neurosurgeon, initial attendance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42F9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6007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A3C0D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92615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E8049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92625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C47E2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$136.85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EA15D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$116.35</w:t>
            </w:r>
          </w:p>
        </w:tc>
      </w:tr>
      <w:tr w:rsidR="005F67D5" w:rsidRPr="00F61881" w14:paraId="20BC353D" w14:textId="77777777" w:rsidTr="00981114"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8331894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Neurosurgeon, minor attendance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2AE85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6009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E0C77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92616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11DA7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92626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B6324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$45.40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71CE4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4C40E7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$38.60</w:t>
            </w:r>
          </w:p>
        </w:tc>
      </w:tr>
    </w:tbl>
    <w:p w14:paraId="6F5339E7" w14:textId="77777777" w:rsidR="005F67D5" w:rsidRDefault="005F67D5" w:rsidP="005F67D5">
      <w:pPr>
        <w:pStyle w:val="Caption"/>
        <w:keepNext/>
        <w:spacing w:after="0"/>
        <w:rPr>
          <w:rFonts w:ascii="Segoe UI" w:eastAsia="Times New Roman" w:hAnsi="Segoe UI" w:cs="Segoe UI"/>
          <w:color w:val="001A70"/>
        </w:rPr>
      </w:pPr>
    </w:p>
    <w:p w14:paraId="66E13D77" w14:textId="007B3F48" w:rsidR="005F67D5" w:rsidRPr="007B2CA1" w:rsidRDefault="005F67D5" w:rsidP="007B2CA1">
      <w:pPr>
        <w:spacing w:after="120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  <w:r w:rsidRPr="007B2CA1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 xml:space="preserve">Table 6. Anaesthesia </w:t>
      </w:r>
      <w:r w:rsidR="00B958A1">
        <w:rPr>
          <w:rFonts w:ascii="Segoe UI" w:eastAsia="Times New Roman" w:hAnsi="Segoe UI" w:cs="Segoe UI"/>
          <w:i/>
          <w:iCs/>
          <w:color w:val="001A70"/>
          <w:sz w:val="18"/>
          <w:szCs w:val="18"/>
        </w:rPr>
        <w:t>services</w:t>
      </w:r>
    </w:p>
    <w:tbl>
      <w:tblPr>
        <w:tblStyle w:val="TableGrid211"/>
        <w:tblW w:w="5000" w:type="pct"/>
        <w:tblInd w:w="0" w:type="dxa"/>
        <w:tblLook w:val="04A0" w:firstRow="1" w:lastRow="0" w:firstColumn="1" w:lastColumn="0" w:noHBand="0" w:noVBand="1"/>
        <w:tblCaption w:val="Table 6. Anaethesia attendances introduced in September 2021"/>
        <w:tblDescription w:val="A table showing specialist inpatient services introduced in September 2021, with separate columns for existing (face-to-face) items, telehealth (videoconference) items and telephone items."/>
      </w:tblPr>
      <w:tblGrid>
        <w:gridCol w:w="3250"/>
        <w:gridCol w:w="1272"/>
        <w:gridCol w:w="1554"/>
        <w:gridCol w:w="1552"/>
        <w:gridCol w:w="1410"/>
        <w:gridCol w:w="1408"/>
      </w:tblGrid>
      <w:tr w:rsidR="005F67D5" w:rsidRPr="00F61881" w14:paraId="4B55F638" w14:textId="77777777" w:rsidTr="00197E5B">
        <w:trPr>
          <w:tblHeader/>
        </w:trPr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9FFE375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Service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B855D5B" w14:textId="3B295E69" w:rsidR="00754866" w:rsidRPr="00F61881" w:rsidRDefault="00754866" w:rsidP="00754866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Equivalent 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to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Items </w:t>
            </w:r>
          </w:p>
          <w:p w14:paraId="2D2022C6" w14:textId="3D17ABBA" w:rsidR="005F67D5" w:rsidRPr="00F61881" w:rsidRDefault="00754866" w:rsidP="00197E5B">
            <w:pPr>
              <w:spacing w:line="276" w:lineRule="auto"/>
              <w:outlineLvl w:val="1"/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</w:rPr>
            </w:pPr>
            <w:r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(consulting room / in hospital)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4E2D37B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</w:t>
            </w:r>
          </w:p>
          <w:p w14:paraId="4CD7EF72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Telehealth items 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via video-conference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309D97C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In-patient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Telephone items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 xml:space="preserve"> – for when video-conferencing is not available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BE92131" w14:textId="77777777" w:rsidR="005F67D5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Fee</w:t>
            </w:r>
          </w:p>
          <w:p w14:paraId="39AB4904" w14:textId="77777777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B1CEDCD" w14:textId="1A914307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Rebate</w:t>
            </w:r>
          </w:p>
          <w:p w14:paraId="51C51867" w14:textId="018ABC5A" w:rsidR="00081A5E" w:rsidRDefault="00081A5E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(85%)</w:t>
            </w:r>
          </w:p>
          <w:p w14:paraId="1FDBB907" w14:textId="2CB42D44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</w:tr>
      <w:tr w:rsidR="005F67D5" w:rsidRPr="00F61881" w14:paraId="0F14A097" w14:textId="77777777" w:rsidTr="00981114"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BD3906B" w14:textId="77777777" w:rsidR="005F67D5" w:rsidRPr="00F61881" w:rsidRDefault="005F67D5" w:rsidP="00981114">
            <w:pPr>
              <w:spacing w:line="276" w:lineRule="auto"/>
              <w:outlineLvl w:val="1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Anaesthetist, professional attendance, advanced or complex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83D0D" w14:textId="77777777" w:rsidR="005F67D5" w:rsidRPr="00F61881" w:rsidRDefault="005F67D5" w:rsidP="00197E5B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17615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AEFF1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92702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3D0AF" w14:textId="77777777" w:rsidR="005F67D5" w:rsidRPr="00F61881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92713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9A524" w14:textId="77777777" w:rsidR="005F67D5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1F49C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$90.35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10834" w14:textId="77777777" w:rsidR="005F67D5" w:rsidRPr="001F49C8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EF5B68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$76.80</w:t>
            </w:r>
          </w:p>
        </w:tc>
      </w:tr>
    </w:tbl>
    <w:p w14:paraId="25617156" w14:textId="77777777" w:rsidR="005F67D5" w:rsidRPr="00D043DD" w:rsidRDefault="005F67D5" w:rsidP="005F67D5">
      <w:pPr>
        <w:pStyle w:val="Caption"/>
        <w:keepNext/>
        <w:spacing w:before="240"/>
        <w:rPr>
          <w:rFonts w:ascii="Segoe UI" w:eastAsia="Times New Roman" w:hAnsi="Segoe UI" w:cs="Segoe UI"/>
          <w:color w:val="001A70"/>
        </w:rPr>
      </w:pPr>
      <w:r w:rsidRPr="00D043DD">
        <w:rPr>
          <w:rFonts w:ascii="Segoe UI" w:eastAsia="Times New Roman" w:hAnsi="Segoe UI" w:cs="Segoe UI"/>
          <w:color w:val="001A70"/>
        </w:rPr>
        <w:lastRenderedPageBreak/>
        <w:t>Table 7. Oral and maxillofacial surgical services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  <w:tblCaption w:val="Table 7. Oral and maxillofacial attendances introduced in September 2021"/>
        <w:tblDescription w:val="A table showing specialist inpatient services introduced in September 2021, with separate columns for existing (face-to-face) items, telehealth (videoconference) items and telephone items."/>
      </w:tblPr>
      <w:tblGrid>
        <w:gridCol w:w="3243"/>
        <w:gridCol w:w="1271"/>
        <w:gridCol w:w="1556"/>
        <w:gridCol w:w="1554"/>
        <w:gridCol w:w="1412"/>
        <w:gridCol w:w="1410"/>
      </w:tblGrid>
      <w:tr w:rsidR="005F67D5" w14:paraId="52494B1F" w14:textId="77777777" w:rsidTr="00197E5B">
        <w:trPr>
          <w:tblHeader/>
        </w:trPr>
        <w:tc>
          <w:tcPr>
            <w:tcW w:w="1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5B7BA" w14:textId="77777777" w:rsidR="005F67D5" w:rsidRPr="004E36E4" w:rsidRDefault="005F67D5" w:rsidP="00981114">
            <w:pPr>
              <w:pStyle w:val="Heading2"/>
              <w:spacing w:before="0" w:after="0" w:line="276" w:lineRule="auto"/>
              <w:outlineLvl w:val="1"/>
              <w:rPr>
                <w:rFonts w:ascii="Segoe UI" w:hAnsi="Segoe UI" w:cs="Segoe UI"/>
                <w:b/>
                <w:color w:val="001A70"/>
                <w:sz w:val="18"/>
                <w:szCs w:val="18"/>
              </w:rPr>
            </w:pPr>
            <w:r w:rsidRPr="004E36E4">
              <w:rPr>
                <w:rFonts w:ascii="Segoe UI" w:hAnsi="Segoe UI" w:cs="Segoe UI"/>
                <w:b/>
                <w:color w:val="001A70"/>
                <w:sz w:val="18"/>
                <w:szCs w:val="18"/>
              </w:rPr>
              <w:t>Service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27A5C" w14:textId="5023C048" w:rsidR="00754866" w:rsidRPr="00F61881" w:rsidRDefault="00754866" w:rsidP="00754866">
            <w:pPr>
              <w:spacing w:line="276" w:lineRule="auto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Equivalent 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to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-</w:t>
            </w:r>
            <w:r w:rsidRPr="00754866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face</w:t>
            </w:r>
            <w:r w:rsidR="00081A5E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Items </w:t>
            </w:r>
          </w:p>
          <w:p w14:paraId="3C6CD292" w14:textId="77777777" w:rsidR="00754866" w:rsidRPr="00F61881" w:rsidRDefault="00754866" w:rsidP="00754866">
            <w:pPr>
              <w:spacing w:line="276" w:lineRule="auto"/>
              <w:outlineLvl w:val="1"/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(consulting room / in hospital)</w:t>
            </w:r>
          </w:p>
          <w:p w14:paraId="5BA618FC" w14:textId="50A1651D" w:rsidR="005F67D5" w:rsidRPr="004E36E4" w:rsidRDefault="005F67D5" w:rsidP="00981114">
            <w:pPr>
              <w:pStyle w:val="Heading2"/>
              <w:spacing w:before="0" w:after="0" w:line="276" w:lineRule="auto"/>
              <w:outlineLvl w:val="1"/>
              <w:rPr>
                <w:rFonts w:ascii="Segoe UI" w:hAnsi="Segoe UI" w:cs="Segoe UI"/>
                <w:i/>
                <w:color w:val="001A70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196127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</w:t>
            </w:r>
          </w:p>
          <w:p w14:paraId="7EB0D454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Telehealth items 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>via video-conference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CE9F70" w14:textId="77777777" w:rsidR="005F67D5" w:rsidRPr="00F61881" w:rsidRDefault="005F67D5" w:rsidP="00197E5B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 xml:space="preserve">In-patient </w:t>
            </w:r>
            <w:r w:rsidRPr="00F61881"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Telephone items</w:t>
            </w:r>
            <w:r w:rsidRPr="00F61881">
              <w:rPr>
                <w:rFonts w:ascii="Segoe UI" w:eastAsia="Times New Roman" w:hAnsi="Segoe UI" w:cs="Segoe UI"/>
                <w:i/>
                <w:color w:val="001A70"/>
                <w:sz w:val="18"/>
                <w:szCs w:val="18"/>
              </w:rPr>
              <w:t xml:space="preserve"> – for when video-conferencing is not available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1C76E84" w14:textId="77777777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Fee</w:t>
            </w:r>
          </w:p>
          <w:p w14:paraId="0AE7AE33" w14:textId="77777777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1291E5" w14:textId="426871E8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MBS Rebate</w:t>
            </w:r>
          </w:p>
          <w:p w14:paraId="3BE6A760" w14:textId="37CCCAFD" w:rsidR="00081A5E" w:rsidRDefault="00081A5E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(85%)</w:t>
            </w:r>
          </w:p>
          <w:p w14:paraId="6474074F" w14:textId="6AB570EE" w:rsidR="005F67D5" w:rsidRDefault="005F67D5" w:rsidP="007B2CA1">
            <w:pPr>
              <w:spacing w:line="276" w:lineRule="auto"/>
              <w:jc w:val="center"/>
              <w:outlineLvl w:val="1"/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color w:val="001A70"/>
                <w:sz w:val="18"/>
                <w:szCs w:val="18"/>
              </w:rPr>
              <w:t>In-patient Video and Phone</w:t>
            </w:r>
          </w:p>
        </w:tc>
      </w:tr>
      <w:tr w:rsidR="005F67D5" w14:paraId="0F0E25BC" w14:textId="77777777" w:rsidTr="00981114">
        <w:tc>
          <w:tcPr>
            <w:tcW w:w="1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0D3D3E7" w14:textId="77777777" w:rsidR="005F67D5" w:rsidRPr="004E36E4" w:rsidRDefault="005F67D5" w:rsidP="00981114">
            <w:pPr>
              <w:pStyle w:val="Heading2"/>
              <w:spacing w:before="0" w:after="0" w:line="276" w:lineRule="auto"/>
              <w:outlineLvl w:val="1"/>
              <w:rPr>
                <w:rFonts w:ascii="Segoe UI" w:hAnsi="Segoe UI" w:cs="Segoe UI"/>
                <w:color w:val="002060"/>
                <w:sz w:val="18"/>
                <w:szCs w:val="18"/>
              </w:rPr>
            </w:pPr>
            <w:r w:rsidRPr="004E36E4">
              <w:rPr>
                <w:rFonts w:ascii="Segoe UI" w:hAnsi="Segoe UI" w:cs="Segoe UI"/>
                <w:color w:val="002060"/>
                <w:sz w:val="18"/>
                <w:szCs w:val="18"/>
              </w:rPr>
              <w:t>Dental practitioner (oral and maxillofacial surgery only), initial attendance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5377C" w14:textId="77777777" w:rsidR="005F67D5" w:rsidRPr="004E36E4" w:rsidRDefault="005F67D5" w:rsidP="00197E5B">
            <w:pPr>
              <w:spacing w:line="240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</w:rPr>
            </w:pPr>
            <w:r w:rsidRPr="004E36E4">
              <w:rPr>
                <w:rFonts w:ascii="Segoe UI" w:hAnsi="Segoe UI" w:cs="Segoe UI"/>
                <w:color w:val="002060"/>
                <w:sz w:val="18"/>
                <w:szCs w:val="18"/>
              </w:rPr>
              <w:t>51700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E5F78" w14:textId="77777777" w:rsidR="005F67D5" w:rsidRPr="004E36E4" w:rsidRDefault="005F67D5" w:rsidP="00197E5B">
            <w:pPr>
              <w:spacing w:line="240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</w:rPr>
              <w:t>54006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16D1D" w14:textId="77777777" w:rsidR="005F67D5" w:rsidRPr="004E36E4" w:rsidRDefault="005F67D5" w:rsidP="00981114">
            <w:pPr>
              <w:spacing w:line="240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</w:rPr>
              <w:t>54011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3C84E" w14:textId="77777777" w:rsidR="005F67D5" w:rsidRPr="006F7713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6F7713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$89.00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818DA" w14:textId="77777777" w:rsidR="005F67D5" w:rsidRPr="006F7713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6F7713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$75.65</w:t>
            </w:r>
          </w:p>
        </w:tc>
      </w:tr>
      <w:tr w:rsidR="005F67D5" w14:paraId="4065E30F" w14:textId="77777777" w:rsidTr="00981114">
        <w:tc>
          <w:tcPr>
            <w:tcW w:w="1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CCA5C2A" w14:textId="77777777" w:rsidR="005F67D5" w:rsidRPr="004E36E4" w:rsidRDefault="005F67D5" w:rsidP="00981114">
            <w:pPr>
              <w:pStyle w:val="Heading2"/>
              <w:spacing w:before="0" w:after="0" w:line="276" w:lineRule="auto"/>
              <w:outlineLvl w:val="1"/>
              <w:rPr>
                <w:rFonts w:ascii="Segoe UI" w:hAnsi="Segoe UI" w:cs="Segoe UI"/>
                <w:color w:val="002060"/>
                <w:sz w:val="18"/>
                <w:szCs w:val="18"/>
              </w:rPr>
            </w:pPr>
            <w:r w:rsidRPr="004E36E4">
              <w:rPr>
                <w:rFonts w:ascii="Segoe UI" w:hAnsi="Segoe UI" w:cs="Segoe UI"/>
                <w:color w:val="002060"/>
                <w:sz w:val="18"/>
                <w:szCs w:val="18"/>
              </w:rPr>
              <w:t>Dental practitioner (oral and maxillofacial surgery only), subsequent attendance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E79F1" w14:textId="77777777" w:rsidR="005F67D5" w:rsidRPr="004E36E4" w:rsidRDefault="005F67D5" w:rsidP="00197E5B">
            <w:pPr>
              <w:spacing w:line="240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</w:rPr>
            </w:pPr>
            <w:r w:rsidRPr="004E36E4">
              <w:rPr>
                <w:rFonts w:ascii="Segoe UI" w:hAnsi="Segoe UI" w:cs="Segoe UI"/>
                <w:color w:val="002060"/>
                <w:sz w:val="18"/>
                <w:szCs w:val="18"/>
              </w:rPr>
              <w:t>51703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905B6" w14:textId="77777777" w:rsidR="005F67D5" w:rsidRPr="004E36E4" w:rsidRDefault="005F67D5" w:rsidP="00197E5B">
            <w:pPr>
              <w:spacing w:line="240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</w:rPr>
              <w:t>54007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D1E4A" w14:textId="77777777" w:rsidR="005F67D5" w:rsidRPr="004E36E4" w:rsidRDefault="005F67D5" w:rsidP="00981114">
            <w:pPr>
              <w:spacing w:line="240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</w:rPr>
              <w:t>54012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FCA70" w14:textId="77777777" w:rsidR="005F67D5" w:rsidRPr="006F7713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6F7713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$44.75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5DE17" w14:textId="77777777" w:rsidR="005F67D5" w:rsidRPr="006F7713" w:rsidRDefault="005F67D5" w:rsidP="00981114">
            <w:pPr>
              <w:jc w:val="center"/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</w:pPr>
            <w:r w:rsidRPr="006F7713">
              <w:rPr>
                <w:rFonts w:ascii="Segoe UI" w:eastAsia="Times New Roman" w:hAnsi="Segoe UI" w:cs="Segoe UI"/>
                <w:color w:val="001A70"/>
                <w:sz w:val="18"/>
                <w:szCs w:val="18"/>
              </w:rPr>
              <w:t>$38.05</w:t>
            </w:r>
          </w:p>
        </w:tc>
      </w:tr>
    </w:tbl>
    <w:p w14:paraId="1A60BD9F" w14:textId="77777777" w:rsidR="005F67D5" w:rsidRPr="00F50994" w:rsidRDefault="005F67D5" w:rsidP="005F67D5">
      <w:pPr>
        <w:rPr>
          <w:szCs w:val="20"/>
        </w:rPr>
      </w:pPr>
    </w:p>
    <w:p w14:paraId="0C5736FC" w14:textId="77777777" w:rsidR="005F67D5" w:rsidRPr="00F50994" w:rsidRDefault="005F67D5" w:rsidP="005F67D5">
      <w:pPr>
        <w:rPr>
          <w:szCs w:val="20"/>
        </w:rPr>
      </w:pPr>
    </w:p>
    <w:p w14:paraId="44121346" w14:textId="77777777" w:rsidR="005F67D5" w:rsidRDefault="005F67D5" w:rsidP="00F112C8">
      <w:pPr>
        <w:pStyle w:val="Disclaimer"/>
        <w:rPr>
          <w:szCs w:val="20"/>
        </w:rPr>
      </w:pPr>
    </w:p>
    <w:sectPr w:rsidR="005F67D5" w:rsidSect="003E6457">
      <w:headerReference w:type="default" r:id="rId9"/>
      <w:footerReference w:type="default" r:id="rId10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D4AB2" w14:textId="77777777" w:rsidR="00683F8A" w:rsidRDefault="00683F8A" w:rsidP="006D1088">
      <w:pPr>
        <w:spacing w:after="0" w:line="240" w:lineRule="auto"/>
      </w:pPr>
      <w:r>
        <w:separator/>
      </w:r>
    </w:p>
  </w:endnote>
  <w:endnote w:type="continuationSeparator" w:id="0">
    <w:p w14:paraId="073B85D1" w14:textId="77777777" w:rsidR="00683F8A" w:rsidRDefault="00683F8A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0B622" w14:textId="77777777" w:rsidR="009B32BA" w:rsidRDefault="00F61616" w:rsidP="009B32BA">
    <w:pPr>
      <w:pStyle w:val="Footer"/>
    </w:pPr>
    <w:r>
      <w:rPr>
        <w:rStyle w:val="BookTitle"/>
        <w:noProof/>
      </w:rPr>
      <w:pict w14:anchorId="47338E21">
        <v:rect id="_x0000_i1025" style="width:523.3pt;height:1.9pt" o:hralign="center" o:hrstd="t" o:hr="t" fillcolor="#a0a0a0" stroked="f"/>
      </w:pict>
    </w:r>
    <w:r w:rsidR="009B32BA">
      <w:t>Medicare Benefits Schedule</w:t>
    </w:r>
  </w:p>
  <w:p w14:paraId="680833B4" w14:textId="369F8B1F" w:rsidR="009B32BA" w:rsidRDefault="00C40C34" w:rsidP="009B32BA">
    <w:pPr>
      <w:pStyle w:val="Footer"/>
      <w:tabs>
        <w:tab w:val="clear" w:pos="9026"/>
        <w:tab w:val="right" w:pos="10466"/>
      </w:tabs>
    </w:pPr>
    <w:r>
      <w:rPr>
        <w:b/>
      </w:rPr>
      <w:t xml:space="preserve">COVID-19 Temporary MBS Telehealth for </w:t>
    </w:r>
    <w:r w:rsidR="00AB1077">
      <w:rPr>
        <w:b/>
      </w:rPr>
      <w:t>p</w:t>
    </w:r>
    <w:r>
      <w:rPr>
        <w:b/>
      </w:rPr>
      <w:t xml:space="preserve">rivate </w:t>
    </w:r>
    <w:r w:rsidR="00AB1077">
      <w:rPr>
        <w:b/>
      </w:rPr>
      <w:t>p</w:t>
    </w:r>
    <w:r>
      <w:rPr>
        <w:b/>
      </w:rPr>
      <w:t>atients</w:t>
    </w:r>
    <w:r w:rsidR="00AB1077">
      <w:rPr>
        <w:b/>
      </w:rPr>
      <w:t xml:space="preserve"> receiving specialist care i</w:t>
    </w:r>
    <w:r>
      <w:rPr>
        <w:b/>
      </w:rPr>
      <w:t>n-</w:t>
    </w:r>
    <w:r w:rsidR="00AB1077">
      <w:rPr>
        <w:b/>
      </w:rPr>
      <w:t>h</w:t>
    </w:r>
    <w:r>
      <w:rPr>
        <w:b/>
      </w:rPr>
      <w:t>ospital</w:t>
    </w:r>
    <w:r w:rsidR="009B32BA" w:rsidRPr="00E863C4">
      <w:rPr>
        <w:b/>
      </w:rPr>
      <w:t xml:space="preserve"> – </w:t>
    </w:r>
    <w:r w:rsidR="009B32BA">
      <w:rPr>
        <w:b/>
      </w:rPr>
      <w:t>Factsheet</w:t>
    </w:r>
    <w:r w:rsidR="009B32BA" w:rsidRPr="00E863C4">
      <w:t xml:space="preserve"> 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32BA">
          <w:tab/>
        </w:r>
        <w:r w:rsidR="009B32BA"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B32BA" w:rsidRPr="00F546CA">
                  <w:t xml:space="preserve">Page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PAGE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9B0901">
                  <w:rPr>
                    <w:bCs/>
                    <w:noProof/>
                  </w:rPr>
                  <w:t>4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9B32BA" w:rsidRPr="00F546CA">
                  <w:t xml:space="preserve"> of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NUMPAGES 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9B0901">
                  <w:rPr>
                    <w:bCs/>
                    <w:noProof/>
                  </w:rPr>
                  <w:t>4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9B32BA">
          <w:t xml:space="preserve"> </w:t>
        </w:r>
      </w:sdtContent>
    </w:sdt>
  </w:p>
  <w:p w14:paraId="1DB47C40" w14:textId="77777777" w:rsidR="009B32BA" w:rsidRDefault="00F61616">
    <w:pPr>
      <w:pStyle w:val="Footer"/>
      <w:rPr>
        <w:rStyle w:val="Hyperlink"/>
        <w:szCs w:val="18"/>
      </w:rPr>
    </w:pPr>
    <w:hyperlink r:id="rId1" w:history="1">
      <w:r w:rsidR="009B32BA" w:rsidRPr="00E863C4">
        <w:rPr>
          <w:rStyle w:val="Hyperlink"/>
          <w:szCs w:val="18"/>
        </w:rPr>
        <w:t>MBS Online</w:t>
      </w:r>
    </w:hyperlink>
  </w:p>
  <w:p w14:paraId="300F6065" w14:textId="39A7AAAA" w:rsidR="00570B62" w:rsidRPr="009B32BA" w:rsidRDefault="00570B62">
    <w:pPr>
      <w:pStyle w:val="Footer"/>
      <w:rPr>
        <w:szCs w:val="18"/>
      </w:rPr>
    </w:pPr>
    <w:r w:rsidRPr="006F70B7">
      <w:t xml:space="preserve">Last updated – </w:t>
    </w:r>
    <w:r w:rsidR="00486FAA" w:rsidRPr="006F70B7">
      <w:t>1</w:t>
    </w:r>
    <w:r w:rsidR="006C3EDB" w:rsidRPr="006F70B7">
      <w:t>3</w:t>
    </w:r>
    <w:r w:rsidR="00690992" w:rsidRPr="006F70B7">
      <w:t xml:space="preserve"> September</w:t>
    </w:r>
    <w:r w:rsidR="00C40C34" w:rsidRPr="006F70B7"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2F171" w14:textId="77777777" w:rsidR="00683F8A" w:rsidRDefault="00683F8A" w:rsidP="006D1088">
      <w:pPr>
        <w:spacing w:after="0" w:line="240" w:lineRule="auto"/>
      </w:pPr>
      <w:r>
        <w:separator/>
      </w:r>
    </w:p>
  </w:footnote>
  <w:footnote w:type="continuationSeparator" w:id="0">
    <w:p w14:paraId="48D6F240" w14:textId="77777777" w:rsidR="00683F8A" w:rsidRDefault="00683F8A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6EBB5" w14:textId="77777777" w:rsidR="006D1088" w:rsidRDefault="006D1088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EFDA764" wp14:editId="040B792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5" name="Picture 5" descr="This picture shows the Australian coat of arms and ahs the words 'Australian Government Department of Health'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B3D77"/>
    <w:multiLevelType w:val="hybridMultilevel"/>
    <w:tmpl w:val="764E274A"/>
    <w:lvl w:ilvl="0" w:tplc="7542C86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auto"/>
        <w:spacing w:val="0"/>
        <w:w w:val="100"/>
        <w:sz w:val="20"/>
        <w:szCs w:val="18"/>
      </w:rPr>
    </w:lvl>
    <w:lvl w:ilvl="1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542C868">
      <w:numFmt w:val="bullet"/>
      <w:lvlText w:val="-"/>
      <w:lvlJc w:val="left"/>
      <w:pPr>
        <w:ind w:left="5760" w:hanging="360"/>
      </w:pPr>
      <w:rPr>
        <w:rFonts w:ascii="Arial" w:eastAsiaTheme="minorEastAsia" w:hAnsi="Arial" w:cs="Arial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0BA55FB"/>
    <w:multiLevelType w:val="hybridMultilevel"/>
    <w:tmpl w:val="801AE91E"/>
    <w:lvl w:ilvl="0" w:tplc="EE0C0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7577"/>
    <w:multiLevelType w:val="hybridMultilevel"/>
    <w:tmpl w:val="3D00B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35A91"/>
    <w:multiLevelType w:val="hybridMultilevel"/>
    <w:tmpl w:val="9C2CCB30"/>
    <w:lvl w:ilvl="0" w:tplc="CD84E64C">
      <w:start w:val="1"/>
      <w:numFmt w:val="bullet"/>
      <w:pStyle w:val="ListParagraph"/>
      <w:lvlText w:val=""/>
      <w:lvlJc w:val="left"/>
      <w:pPr>
        <w:ind w:left="1778" w:hanging="360"/>
      </w:pPr>
      <w:rPr>
        <w:rFonts w:ascii="Symbol" w:hAnsi="Symbol" w:hint="default"/>
        <w:color w:val="auto"/>
        <w:spacing w:val="0"/>
        <w:w w:val="100"/>
        <w:sz w:val="20"/>
        <w:szCs w:val="18"/>
      </w:rPr>
    </w:lvl>
    <w:lvl w:ilvl="1" w:tplc="0C0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7542C868">
      <w:numFmt w:val="bullet"/>
      <w:lvlText w:val="-"/>
      <w:lvlJc w:val="left"/>
      <w:pPr>
        <w:ind w:left="6458" w:hanging="360"/>
      </w:pPr>
      <w:rPr>
        <w:rFonts w:ascii="Arial" w:eastAsiaTheme="minorEastAsia" w:hAnsi="Arial" w:cs="Arial" w:hint="default"/>
      </w:rPr>
    </w:lvl>
    <w:lvl w:ilvl="6" w:tplc="0C09000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4" w15:restartNumberingAfterBreak="0">
    <w:nsid w:val="1DC827C7"/>
    <w:multiLevelType w:val="hybridMultilevel"/>
    <w:tmpl w:val="6AB86E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A760D"/>
    <w:multiLevelType w:val="hybridMultilevel"/>
    <w:tmpl w:val="5444462C"/>
    <w:lvl w:ilvl="0" w:tplc="CD84E6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pacing w:val="0"/>
        <w:w w:val="100"/>
        <w:sz w:val="20"/>
        <w:szCs w:val="18"/>
      </w:rPr>
    </w:lvl>
    <w:lvl w:ilvl="1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542C868">
      <w:numFmt w:val="bullet"/>
      <w:lvlText w:val="-"/>
      <w:lvlJc w:val="left"/>
      <w:pPr>
        <w:ind w:left="5760" w:hanging="360"/>
      </w:pPr>
      <w:rPr>
        <w:rFonts w:ascii="Arial" w:eastAsiaTheme="minorEastAsia" w:hAnsi="Arial" w:cs="Arial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0E0209"/>
    <w:multiLevelType w:val="hybridMultilevel"/>
    <w:tmpl w:val="95E4CE5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3FD6286"/>
    <w:multiLevelType w:val="hybridMultilevel"/>
    <w:tmpl w:val="E7F4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C75CB"/>
    <w:multiLevelType w:val="hybridMultilevel"/>
    <w:tmpl w:val="742AE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D0D4E"/>
    <w:multiLevelType w:val="hybridMultilevel"/>
    <w:tmpl w:val="13748EA4"/>
    <w:lvl w:ilvl="0" w:tplc="CD84E64C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  <w:spacing w:val="0"/>
        <w:w w:val="100"/>
        <w:sz w:val="20"/>
        <w:szCs w:val="18"/>
      </w:rPr>
    </w:lvl>
    <w:lvl w:ilvl="1" w:tplc="0C0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7542C868">
      <w:numFmt w:val="bullet"/>
      <w:lvlText w:val="-"/>
      <w:lvlJc w:val="left"/>
      <w:pPr>
        <w:ind w:left="6458" w:hanging="360"/>
      </w:pPr>
      <w:rPr>
        <w:rFonts w:ascii="Arial" w:eastAsiaTheme="minorEastAsia" w:hAnsi="Arial" w:cs="Arial" w:hint="default"/>
      </w:rPr>
    </w:lvl>
    <w:lvl w:ilvl="6" w:tplc="0C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3"/>
  </w:num>
  <w:num w:numId="15">
    <w:abstractNumId w:val="12"/>
  </w:num>
  <w:num w:numId="16">
    <w:abstractNumId w:val="16"/>
  </w:num>
  <w:num w:numId="17">
    <w:abstractNumId w:val="13"/>
  </w:num>
  <w:num w:numId="18">
    <w:abstractNumId w:val="13"/>
  </w:num>
  <w:num w:numId="19">
    <w:abstractNumId w:val="13"/>
  </w:num>
  <w:num w:numId="20">
    <w:abstractNumId w:val="14"/>
  </w:num>
  <w:num w:numId="21">
    <w:abstractNumId w:val="13"/>
  </w:num>
  <w:num w:numId="22">
    <w:abstractNumId w:val="11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5"/>
  </w:num>
  <w:num w:numId="31">
    <w:abstractNumId w:val="19"/>
  </w:num>
  <w:num w:numId="32">
    <w:abstractNumId w:val="13"/>
  </w:num>
  <w:num w:numId="33">
    <w:abstractNumId w:val="18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FC"/>
    <w:rsid w:val="000074DD"/>
    <w:rsid w:val="00022530"/>
    <w:rsid w:val="000367AA"/>
    <w:rsid w:val="000416FF"/>
    <w:rsid w:val="00045810"/>
    <w:rsid w:val="00081A5E"/>
    <w:rsid w:val="00081B97"/>
    <w:rsid w:val="00083094"/>
    <w:rsid w:val="000A2F0A"/>
    <w:rsid w:val="000A39B6"/>
    <w:rsid w:val="000B01AE"/>
    <w:rsid w:val="000B2A1B"/>
    <w:rsid w:val="000C2143"/>
    <w:rsid w:val="000C3B6C"/>
    <w:rsid w:val="000C3B83"/>
    <w:rsid w:val="000D14B6"/>
    <w:rsid w:val="000D1778"/>
    <w:rsid w:val="000F0020"/>
    <w:rsid w:val="000F0DD3"/>
    <w:rsid w:val="000F1B08"/>
    <w:rsid w:val="001014EB"/>
    <w:rsid w:val="00102885"/>
    <w:rsid w:val="00121100"/>
    <w:rsid w:val="001240D9"/>
    <w:rsid w:val="00124E0B"/>
    <w:rsid w:val="00130343"/>
    <w:rsid w:val="00135417"/>
    <w:rsid w:val="00141BC3"/>
    <w:rsid w:val="001432AF"/>
    <w:rsid w:val="00151636"/>
    <w:rsid w:val="00155BD4"/>
    <w:rsid w:val="00156949"/>
    <w:rsid w:val="00157281"/>
    <w:rsid w:val="00167446"/>
    <w:rsid w:val="0017279A"/>
    <w:rsid w:val="00181B52"/>
    <w:rsid w:val="0018507E"/>
    <w:rsid w:val="0019170A"/>
    <w:rsid w:val="00197E5B"/>
    <w:rsid w:val="001A3436"/>
    <w:rsid w:val="001A4AFC"/>
    <w:rsid w:val="001A6FE6"/>
    <w:rsid w:val="001A7FB7"/>
    <w:rsid w:val="001C5C56"/>
    <w:rsid w:val="001C7BC5"/>
    <w:rsid w:val="001E6F63"/>
    <w:rsid w:val="001F3977"/>
    <w:rsid w:val="001F3AEB"/>
    <w:rsid w:val="001F49E8"/>
    <w:rsid w:val="00200902"/>
    <w:rsid w:val="00203F3E"/>
    <w:rsid w:val="00221334"/>
    <w:rsid w:val="002427E0"/>
    <w:rsid w:val="00243D1C"/>
    <w:rsid w:val="00245E9D"/>
    <w:rsid w:val="0026502E"/>
    <w:rsid w:val="00276A29"/>
    <w:rsid w:val="00281820"/>
    <w:rsid w:val="00291041"/>
    <w:rsid w:val="002A3C7C"/>
    <w:rsid w:val="002A5A70"/>
    <w:rsid w:val="002B3FCB"/>
    <w:rsid w:val="002B70AC"/>
    <w:rsid w:val="002C058D"/>
    <w:rsid w:val="002D2CC5"/>
    <w:rsid w:val="002E2BBB"/>
    <w:rsid w:val="002E6682"/>
    <w:rsid w:val="002F4E26"/>
    <w:rsid w:val="002F4F01"/>
    <w:rsid w:val="003122B4"/>
    <w:rsid w:val="00317218"/>
    <w:rsid w:val="00317546"/>
    <w:rsid w:val="00337919"/>
    <w:rsid w:val="003402B3"/>
    <w:rsid w:val="00345DC5"/>
    <w:rsid w:val="00352174"/>
    <w:rsid w:val="00355E8A"/>
    <w:rsid w:val="00361BCC"/>
    <w:rsid w:val="00363819"/>
    <w:rsid w:val="00374AE3"/>
    <w:rsid w:val="003778C2"/>
    <w:rsid w:val="003909CC"/>
    <w:rsid w:val="00395B85"/>
    <w:rsid w:val="003A52BA"/>
    <w:rsid w:val="003B56AD"/>
    <w:rsid w:val="003D5CEF"/>
    <w:rsid w:val="003E0350"/>
    <w:rsid w:val="003E0945"/>
    <w:rsid w:val="003E0AD4"/>
    <w:rsid w:val="003E6457"/>
    <w:rsid w:val="003F41AE"/>
    <w:rsid w:val="003F6682"/>
    <w:rsid w:val="00405506"/>
    <w:rsid w:val="00420023"/>
    <w:rsid w:val="00425089"/>
    <w:rsid w:val="00427D7F"/>
    <w:rsid w:val="004324B6"/>
    <w:rsid w:val="00433682"/>
    <w:rsid w:val="0043744D"/>
    <w:rsid w:val="00445086"/>
    <w:rsid w:val="004511F2"/>
    <w:rsid w:val="00486FAA"/>
    <w:rsid w:val="00487884"/>
    <w:rsid w:val="004933FA"/>
    <w:rsid w:val="00494B72"/>
    <w:rsid w:val="00496081"/>
    <w:rsid w:val="004A028A"/>
    <w:rsid w:val="004A1348"/>
    <w:rsid w:val="004B243F"/>
    <w:rsid w:val="004B6DAA"/>
    <w:rsid w:val="004C2B08"/>
    <w:rsid w:val="004D2C7C"/>
    <w:rsid w:val="004D71C4"/>
    <w:rsid w:val="004E52A2"/>
    <w:rsid w:val="004F0AA6"/>
    <w:rsid w:val="004F66D7"/>
    <w:rsid w:val="004F69EA"/>
    <w:rsid w:val="00510063"/>
    <w:rsid w:val="0051356F"/>
    <w:rsid w:val="00513856"/>
    <w:rsid w:val="005261D0"/>
    <w:rsid w:val="0054242B"/>
    <w:rsid w:val="00542F07"/>
    <w:rsid w:val="00543427"/>
    <w:rsid w:val="00550525"/>
    <w:rsid w:val="005609B9"/>
    <w:rsid w:val="00570B62"/>
    <w:rsid w:val="00575C12"/>
    <w:rsid w:val="00582A60"/>
    <w:rsid w:val="00595BBD"/>
    <w:rsid w:val="0059641E"/>
    <w:rsid w:val="005B0337"/>
    <w:rsid w:val="005D1047"/>
    <w:rsid w:val="005D74FE"/>
    <w:rsid w:val="005E1472"/>
    <w:rsid w:val="005F1CB1"/>
    <w:rsid w:val="005F226C"/>
    <w:rsid w:val="005F67D5"/>
    <w:rsid w:val="006173AC"/>
    <w:rsid w:val="0062100F"/>
    <w:rsid w:val="00634880"/>
    <w:rsid w:val="006425BA"/>
    <w:rsid w:val="0064490B"/>
    <w:rsid w:val="00650B9A"/>
    <w:rsid w:val="00653345"/>
    <w:rsid w:val="00655923"/>
    <w:rsid w:val="00655D74"/>
    <w:rsid w:val="00656F11"/>
    <w:rsid w:val="00683F8A"/>
    <w:rsid w:val="00684D37"/>
    <w:rsid w:val="00690992"/>
    <w:rsid w:val="00694030"/>
    <w:rsid w:val="006961D6"/>
    <w:rsid w:val="006A175B"/>
    <w:rsid w:val="006C3EDB"/>
    <w:rsid w:val="006D04CC"/>
    <w:rsid w:val="006D1088"/>
    <w:rsid w:val="006D2A35"/>
    <w:rsid w:val="006E564D"/>
    <w:rsid w:val="006E6F91"/>
    <w:rsid w:val="006F5785"/>
    <w:rsid w:val="006F70B7"/>
    <w:rsid w:val="00726103"/>
    <w:rsid w:val="00727F4C"/>
    <w:rsid w:val="00734F6B"/>
    <w:rsid w:val="00736D31"/>
    <w:rsid w:val="00754866"/>
    <w:rsid w:val="00755D15"/>
    <w:rsid w:val="00760645"/>
    <w:rsid w:val="0077741D"/>
    <w:rsid w:val="0078147E"/>
    <w:rsid w:val="00781867"/>
    <w:rsid w:val="00787CD1"/>
    <w:rsid w:val="00797ED1"/>
    <w:rsid w:val="007A1A71"/>
    <w:rsid w:val="007A3286"/>
    <w:rsid w:val="007B2CA1"/>
    <w:rsid w:val="007B47B2"/>
    <w:rsid w:val="007D1D3A"/>
    <w:rsid w:val="007E062D"/>
    <w:rsid w:val="007E1E01"/>
    <w:rsid w:val="007E2604"/>
    <w:rsid w:val="007E33D2"/>
    <w:rsid w:val="00814F52"/>
    <w:rsid w:val="0082062D"/>
    <w:rsid w:val="008346F7"/>
    <w:rsid w:val="00834903"/>
    <w:rsid w:val="008352AC"/>
    <w:rsid w:val="00841D07"/>
    <w:rsid w:val="0084562A"/>
    <w:rsid w:val="0084604A"/>
    <w:rsid w:val="00852651"/>
    <w:rsid w:val="008553F7"/>
    <w:rsid w:val="00864E28"/>
    <w:rsid w:val="008766AD"/>
    <w:rsid w:val="00876A59"/>
    <w:rsid w:val="00881219"/>
    <w:rsid w:val="008822A0"/>
    <w:rsid w:val="00883713"/>
    <w:rsid w:val="00886AA2"/>
    <w:rsid w:val="008957B9"/>
    <w:rsid w:val="008A6F4F"/>
    <w:rsid w:val="008B25F2"/>
    <w:rsid w:val="008C2183"/>
    <w:rsid w:val="008E258C"/>
    <w:rsid w:val="008E4C9B"/>
    <w:rsid w:val="008E77D2"/>
    <w:rsid w:val="008E7B7C"/>
    <w:rsid w:val="008F1594"/>
    <w:rsid w:val="008F4B45"/>
    <w:rsid w:val="009000AA"/>
    <w:rsid w:val="00903DAB"/>
    <w:rsid w:val="009058B3"/>
    <w:rsid w:val="00907B4A"/>
    <w:rsid w:val="0091706C"/>
    <w:rsid w:val="0092554D"/>
    <w:rsid w:val="00937F9A"/>
    <w:rsid w:val="00942A31"/>
    <w:rsid w:val="00943981"/>
    <w:rsid w:val="00947B09"/>
    <w:rsid w:val="009542F2"/>
    <w:rsid w:val="00954CB5"/>
    <w:rsid w:val="009562F4"/>
    <w:rsid w:val="00957BCC"/>
    <w:rsid w:val="0097371A"/>
    <w:rsid w:val="00977405"/>
    <w:rsid w:val="00983FCC"/>
    <w:rsid w:val="009858E2"/>
    <w:rsid w:val="0098756A"/>
    <w:rsid w:val="00992E4C"/>
    <w:rsid w:val="009A6B12"/>
    <w:rsid w:val="009B0901"/>
    <w:rsid w:val="009B32BA"/>
    <w:rsid w:val="009B48FF"/>
    <w:rsid w:val="009B51E7"/>
    <w:rsid w:val="009B5206"/>
    <w:rsid w:val="009B7859"/>
    <w:rsid w:val="009C742B"/>
    <w:rsid w:val="009D0029"/>
    <w:rsid w:val="009D0B98"/>
    <w:rsid w:val="009D5170"/>
    <w:rsid w:val="009E4A9E"/>
    <w:rsid w:val="009E66EE"/>
    <w:rsid w:val="009E6DE2"/>
    <w:rsid w:val="009F52D4"/>
    <w:rsid w:val="00A030E9"/>
    <w:rsid w:val="00A202B1"/>
    <w:rsid w:val="00A26321"/>
    <w:rsid w:val="00A3287F"/>
    <w:rsid w:val="00A34384"/>
    <w:rsid w:val="00A37CE3"/>
    <w:rsid w:val="00A50165"/>
    <w:rsid w:val="00A51FC5"/>
    <w:rsid w:val="00A5641C"/>
    <w:rsid w:val="00A60FB7"/>
    <w:rsid w:val="00A62140"/>
    <w:rsid w:val="00A64177"/>
    <w:rsid w:val="00A7172E"/>
    <w:rsid w:val="00A91196"/>
    <w:rsid w:val="00AA41CD"/>
    <w:rsid w:val="00AA5232"/>
    <w:rsid w:val="00AA69A9"/>
    <w:rsid w:val="00AB1077"/>
    <w:rsid w:val="00AB1F98"/>
    <w:rsid w:val="00AB53A4"/>
    <w:rsid w:val="00AE2F7E"/>
    <w:rsid w:val="00AE53A3"/>
    <w:rsid w:val="00AE7790"/>
    <w:rsid w:val="00AF6055"/>
    <w:rsid w:val="00B06E28"/>
    <w:rsid w:val="00B15CE8"/>
    <w:rsid w:val="00B2044B"/>
    <w:rsid w:val="00B207DD"/>
    <w:rsid w:val="00B23A4C"/>
    <w:rsid w:val="00B31FBA"/>
    <w:rsid w:val="00B378D4"/>
    <w:rsid w:val="00B3793F"/>
    <w:rsid w:val="00B37FE8"/>
    <w:rsid w:val="00B542FB"/>
    <w:rsid w:val="00B714E8"/>
    <w:rsid w:val="00B73CB9"/>
    <w:rsid w:val="00B8007E"/>
    <w:rsid w:val="00B83E3D"/>
    <w:rsid w:val="00B90639"/>
    <w:rsid w:val="00B90DB5"/>
    <w:rsid w:val="00B958A1"/>
    <w:rsid w:val="00BA0109"/>
    <w:rsid w:val="00BA1434"/>
    <w:rsid w:val="00BA7CA8"/>
    <w:rsid w:val="00BB25DE"/>
    <w:rsid w:val="00BB74CD"/>
    <w:rsid w:val="00BC50C1"/>
    <w:rsid w:val="00BD1C20"/>
    <w:rsid w:val="00BD2649"/>
    <w:rsid w:val="00BE2018"/>
    <w:rsid w:val="00BE505F"/>
    <w:rsid w:val="00BF00A9"/>
    <w:rsid w:val="00BF426F"/>
    <w:rsid w:val="00C0126E"/>
    <w:rsid w:val="00C11326"/>
    <w:rsid w:val="00C131D7"/>
    <w:rsid w:val="00C13A3F"/>
    <w:rsid w:val="00C13ABA"/>
    <w:rsid w:val="00C308CB"/>
    <w:rsid w:val="00C40C34"/>
    <w:rsid w:val="00C4491F"/>
    <w:rsid w:val="00C61A31"/>
    <w:rsid w:val="00C66700"/>
    <w:rsid w:val="00CA1D41"/>
    <w:rsid w:val="00CA5F76"/>
    <w:rsid w:val="00CB26F8"/>
    <w:rsid w:val="00CC39C8"/>
    <w:rsid w:val="00CE0924"/>
    <w:rsid w:val="00CF45CC"/>
    <w:rsid w:val="00CF54FE"/>
    <w:rsid w:val="00D11EDB"/>
    <w:rsid w:val="00D16EF3"/>
    <w:rsid w:val="00D3244E"/>
    <w:rsid w:val="00D3629F"/>
    <w:rsid w:val="00D36F35"/>
    <w:rsid w:val="00D37294"/>
    <w:rsid w:val="00D3741F"/>
    <w:rsid w:val="00D422E5"/>
    <w:rsid w:val="00D51364"/>
    <w:rsid w:val="00D62923"/>
    <w:rsid w:val="00D6302E"/>
    <w:rsid w:val="00D67E9A"/>
    <w:rsid w:val="00D75954"/>
    <w:rsid w:val="00D76659"/>
    <w:rsid w:val="00D917D1"/>
    <w:rsid w:val="00D95166"/>
    <w:rsid w:val="00DA2601"/>
    <w:rsid w:val="00DA50D6"/>
    <w:rsid w:val="00DB54A4"/>
    <w:rsid w:val="00DC127A"/>
    <w:rsid w:val="00DC3509"/>
    <w:rsid w:val="00DC356C"/>
    <w:rsid w:val="00DE22E2"/>
    <w:rsid w:val="00DF582E"/>
    <w:rsid w:val="00DF7606"/>
    <w:rsid w:val="00DF7C32"/>
    <w:rsid w:val="00E20F9C"/>
    <w:rsid w:val="00E2252F"/>
    <w:rsid w:val="00E43F82"/>
    <w:rsid w:val="00E7403A"/>
    <w:rsid w:val="00E7460D"/>
    <w:rsid w:val="00E81DD0"/>
    <w:rsid w:val="00E82DB6"/>
    <w:rsid w:val="00EA2CDC"/>
    <w:rsid w:val="00EC0194"/>
    <w:rsid w:val="00EC223F"/>
    <w:rsid w:val="00EC2DBE"/>
    <w:rsid w:val="00EC5761"/>
    <w:rsid w:val="00ED1055"/>
    <w:rsid w:val="00ED2B70"/>
    <w:rsid w:val="00ED60EE"/>
    <w:rsid w:val="00EE197F"/>
    <w:rsid w:val="00EF47E2"/>
    <w:rsid w:val="00F074CE"/>
    <w:rsid w:val="00F07E89"/>
    <w:rsid w:val="00F112C8"/>
    <w:rsid w:val="00F21019"/>
    <w:rsid w:val="00F33D07"/>
    <w:rsid w:val="00F433B2"/>
    <w:rsid w:val="00F50491"/>
    <w:rsid w:val="00F50994"/>
    <w:rsid w:val="00F52B84"/>
    <w:rsid w:val="00F61616"/>
    <w:rsid w:val="00F64CDC"/>
    <w:rsid w:val="00F70A73"/>
    <w:rsid w:val="00F74AD4"/>
    <w:rsid w:val="00F74DFC"/>
    <w:rsid w:val="00F93F71"/>
    <w:rsid w:val="00FB4DEF"/>
    <w:rsid w:val="00FC690D"/>
    <w:rsid w:val="00FD1E77"/>
    <w:rsid w:val="00FD69A8"/>
    <w:rsid w:val="00FE50B6"/>
    <w:rsid w:val="00FE63BD"/>
    <w:rsid w:val="00FF3729"/>
    <w:rsid w:val="00FF3B72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0DBD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09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B53A4"/>
    <w:pPr>
      <w:spacing w:before="240" w:line="240" w:lineRule="auto"/>
      <w:outlineLvl w:val="0"/>
    </w:pPr>
    <w:rPr>
      <w:rFonts w:asciiTheme="majorHAnsi" w:hAnsiTheme="majorHAnsi"/>
      <w:color w:val="001A70" w:themeColor="text2"/>
      <w:sz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3A4"/>
    <w:pPr>
      <w:spacing w:after="120"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53A4"/>
    <w:rPr>
      <w:rFonts w:asciiTheme="majorHAnsi" w:eastAsiaTheme="minorEastAsia" w:hAnsiTheme="majorHAnsi"/>
      <w:color w:val="001A70" w:themeColor="text2"/>
      <w:sz w:val="52"/>
      <w:szCs w:val="21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35417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AB53A4"/>
    <w:rPr>
      <w:rFonts w:asciiTheme="majorHAnsi" w:eastAsiaTheme="minorEastAsia" w:hAnsiTheme="majorHAnsi"/>
      <w:color w:val="001A70" w:themeColor="text2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9F52D4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customStyle="1" w:styleId="Disclaimer">
    <w:name w:val="Disclaimer"/>
    <w:basedOn w:val="Normal"/>
    <w:uiPriority w:val="10"/>
    <w:qFormat/>
    <w:rsid w:val="00656F11"/>
    <w:pPr>
      <w:ind w:left="567" w:right="1394"/>
    </w:pPr>
    <w:rPr>
      <w:i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53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0023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8822A0"/>
    <w:rPr>
      <w:rFonts w:ascii="Arial" w:eastAsiaTheme="minorEastAsia" w:hAnsi="Arial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1356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F1B08"/>
    <w:pPr>
      <w:spacing w:after="200" w:line="240" w:lineRule="auto"/>
    </w:pPr>
    <w:rPr>
      <w:i/>
      <w:iCs/>
      <w:color w:val="001A70" w:themeColor="text2"/>
      <w:sz w:val="18"/>
      <w:szCs w:val="18"/>
    </w:rPr>
  </w:style>
  <w:style w:type="table" w:customStyle="1" w:styleId="TableGrid211">
    <w:name w:val="Table Grid211"/>
    <w:basedOn w:val="TableNormal"/>
    <w:uiPriority w:val="39"/>
    <w:rsid w:val="000F1B08"/>
    <w:pPr>
      <w:spacing w:after="0" w:line="240" w:lineRule="auto"/>
    </w:pPr>
    <w:rPr>
      <w:rFonts w:ascii="Times New Roman" w:eastAsia="Arial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1B0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BA96-F927-432E-816E-8B714FFC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2021-09-10T01:13:00Z</dcterms:created>
  <dcterms:modified xsi:type="dcterms:W3CDTF">2021-09-13T03:43:00Z</dcterms:modified>
</cp:coreProperties>
</file>