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17FD2" w14:textId="7ECBCBB8" w:rsidR="00BB4F1C" w:rsidRPr="002C7966" w:rsidRDefault="00BC2D73" w:rsidP="00BB4F1C">
      <w:pPr>
        <w:spacing w:before="120" w:line="240" w:lineRule="auto"/>
        <w:outlineLvl w:val="0"/>
        <w:rPr>
          <w:rFonts w:asciiTheme="minorHAnsi" w:hAnsiTheme="minorHAnsi" w:cstheme="minorHAnsi"/>
          <w:color w:val="001A70" w:themeColor="text2"/>
          <w:sz w:val="48"/>
          <w:szCs w:val="48"/>
        </w:rPr>
      </w:pPr>
      <w:r w:rsidRPr="002C7966">
        <w:rPr>
          <w:rFonts w:asciiTheme="minorHAnsi" w:hAnsiTheme="minorHAnsi" w:cstheme="minorHAnsi"/>
          <w:color w:val="001A70" w:themeColor="text2"/>
          <w:sz w:val="48"/>
          <w:szCs w:val="48"/>
        </w:rPr>
        <w:t>Continuing</w:t>
      </w:r>
      <w:r w:rsidR="00665A60" w:rsidRPr="002C7966">
        <w:rPr>
          <w:rFonts w:asciiTheme="minorHAnsi" w:hAnsiTheme="minorHAnsi" w:cstheme="minorHAnsi"/>
          <w:color w:val="001A70" w:themeColor="text2"/>
          <w:sz w:val="48"/>
          <w:szCs w:val="48"/>
        </w:rPr>
        <w:t xml:space="preserve"> </w:t>
      </w:r>
      <w:r w:rsidR="00897269" w:rsidRPr="002C7966">
        <w:rPr>
          <w:rFonts w:asciiTheme="minorHAnsi" w:hAnsiTheme="minorHAnsi" w:cstheme="minorHAnsi"/>
          <w:color w:val="001A70" w:themeColor="text2"/>
          <w:sz w:val="48"/>
          <w:szCs w:val="48"/>
        </w:rPr>
        <w:t>M</w:t>
      </w:r>
      <w:r w:rsidR="00BB4F1C" w:rsidRPr="002C7966">
        <w:rPr>
          <w:rFonts w:asciiTheme="minorHAnsi" w:hAnsiTheme="minorHAnsi" w:cstheme="minorHAnsi"/>
          <w:color w:val="001A70" w:themeColor="text2"/>
          <w:sz w:val="48"/>
          <w:szCs w:val="48"/>
        </w:rPr>
        <w:t>BS Telehealth Services</w:t>
      </w:r>
    </w:p>
    <w:p w14:paraId="6F517713" w14:textId="243DDB3C" w:rsidR="00BB4F1C" w:rsidRPr="002C7966" w:rsidRDefault="00745E69" w:rsidP="00F328A4">
      <w:pPr>
        <w:pStyle w:val="Heading2"/>
        <w:rPr>
          <w:rFonts w:asciiTheme="minorHAnsi" w:hAnsiTheme="minorHAnsi" w:cstheme="minorHAnsi"/>
        </w:rPr>
      </w:pPr>
      <w:bookmarkStart w:id="0" w:name="_Hlk4568006"/>
      <w:r w:rsidRPr="002C7966">
        <w:rPr>
          <w:rFonts w:asciiTheme="minorHAnsi" w:hAnsiTheme="minorHAnsi" w:cstheme="minorHAnsi"/>
        </w:rPr>
        <w:t>Obstetric</w:t>
      </w:r>
      <w:r w:rsidR="00897269" w:rsidRPr="002C7966">
        <w:rPr>
          <w:rFonts w:asciiTheme="minorHAnsi" w:hAnsiTheme="minorHAnsi" w:cstheme="minorHAnsi"/>
        </w:rPr>
        <w:t xml:space="preserve"> Attendances</w:t>
      </w:r>
    </w:p>
    <w:p w14:paraId="6499A883" w14:textId="72A2371F" w:rsidR="00FC5285" w:rsidRPr="002C7966" w:rsidRDefault="00FC5285" w:rsidP="00FC5285">
      <w:pPr>
        <w:rPr>
          <w:rFonts w:asciiTheme="minorHAnsi" w:hAnsiTheme="minorHAnsi" w:cstheme="minorHAnsi"/>
          <w:color w:val="001A70" w:themeColor="text2"/>
        </w:rPr>
      </w:pPr>
      <w:r w:rsidRPr="002C7966">
        <w:rPr>
          <w:rFonts w:asciiTheme="minorHAnsi" w:hAnsiTheme="minorHAnsi" w:cstheme="minorHAnsi"/>
          <w:color w:val="001A70" w:themeColor="text2"/>
        </w:rPr>
        <w:t xml:space="preserve">Last updated: </w:t>
      </w:r>
      <w:r w:rsidR="0010474E">
        <w:rPr>
          <w:rFonts w:asciiTheme="minorHAnsi" w:hAnsiTheme="minorHAnsi" w:cstheme="minorHAnsi"/>
          <w:color w:val="001A70" w:themeColor="text2"/>
        </w:rPr>
        <w:t>2</w:t>
      </w:r>
      <w:r w:rsidR="00AA572B">
        <w:rPr>
          <w:rFonts w:asciiTheme="minorHAnsi" w:hAnsiTheme="minorHAnsi" w:cstheme="minorHAnsi"/>
          <w:color w:val="001A70" w:themeColor="text2"/>
        </w:rPr>
        <w:t>4</w:t>
      </w:r>
      <w:r w:rsidR="0010474E">
        <w:rPr>
          <w:rFonts w:asciiTheme="minorHAnsi" w:hAnsiTheme="minorHAnsi" w:cstheme="minorHAnsi"/>
          <w:color w:val="001A70" w:themeColor="text2"/>
        </w:rPr>
        <w:t xml:space="preserve"> January 2022</w:t>
      </w:r>
    </w:p>
    <w:p w14:paraId="65878A58" w14:textId="77777777" w:rsidR="003B1102" w:rsidRPr="002C7966" w:rsidRDefault="003B1102" w:rsidP="003B1102">
      <w:pPr>
        <w:pStyle w:val="ListParagraph"/>
        <w:spacing w:line="276" w:lineRule="auto"/>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MBS telehealth introduced on a temporary basis in response to the COVID-19 pandemic will now be permanent. Telehealth services provided by GPs, medical practitioners, nurse practitioners, participating midwives, allied health providers and dental practitioners in the practice of oral and maxillofacial surgery services will continue.</w:t>
      </w:r>
    </w:p>
    <w:bookmarkEnd w:id="0"/>
    <w:p w14:paraId="440E5BD4" w14:textId="77777777" w:rsidR="00EB7772" w:rsidRPr="002C7966" w:rsidRDefault="00EB7772" w:rsidP="00EB7772">
      <w:pPr>
        <w:pStyle w:val="ListParagraph"/>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A service may only be provided by telehealth where it is safe and clinically appropriate to do so.</w:t>
      </w:r>
    </w:p>
    <w:p w14:paraId="75E59C3E" w14:textId="661A2DF1" w:rsidR="00EB7772" w:rsidRPr="002C7966" w:rsidRDefault="00EB7772" w:rsidP="00EB7772">
      <w:pPr>
        <w:pStyle w:val="ListParagraph"/>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The</w:t>
      </w:r>
      <w:r w:rsidR="004771DE" w:rsidRPr="002C7966">
        <w:rPr>
          <w:rFonts w:asciiTheme="minorHAnsi" w:hAnsiTheme="minorHAnsi" w:cstheme="minorHAnsi"/>
          <w:color w:val="001A70" w:themeColor="text2"/>
          <w:szCs w:val="20"/>
        </w:rPr>
        <w:t>se</w:t>
      </w:r>
      <w:r w:rsidR="00F95923" w:rsidRPr="002C7966">
        <w:rPr>
          <w:rFonts w:asciiTheme="minorHAnsi" w:hAnsiTheme="minorHAnsi" w:cstheme="minorHAnsi"/>
          <w:color w:val="001A70" w:themeColor="text2"/>
          <w:szCs w:val="20"/>
        </w:rPr>
        <w:t xml:space="preserve"> </w:t>
      </w:r>
      <w:r w:rsidRPr="002C7966">
        <w:rPr>
          <w:rFonts w:asciiTheme="minorHAnsi" w:hAnsiTheme="minorHAnsi" w:cstheme="minorHAnsi"/>
          <w:color w:val="001A70" w:themeColor="text2"/>
          <w:szCs w:val="20"/>
        </w:rPr>
        <w:t>telehealth items are for out-of-hospital patients.</w:t>
      </w:r>
    </w:p>
    <w:p w14:paraId="04A7FAA0" w14:textId="24EA4EEC" w:rsidR="00EB7772" w:rsidRPr="002C7966" w:rsidRDefault="00EB7772" w:rsidP="00EB7772">
      <w:pPr>
        <w:pStyle w:val="ListParagraph"/>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It is a legislative requirement that GPs and OMPs working in general practice can only perform a telehealth or telephone service where they have an e</w:t>
      </w:r>
      <w:r w:rsidR="00F66129" w:rsidRPr="002C7966">
        <w:rPr>
          <w:rFonts w:asciiTheme="minorHAnsi" w:hAnsiTheme="minorHAnsi" w:cstheme="minorHAnsi"/>
          <w:color w:val="001A70" w:themeColor="text2"/>
          <w:szCs w:val="20"/>
        </w:rPr>
        <w:t xml:space="preserve">stablished clinical </w:t>
      </w:r>
      <w:r w:rsidRPr="002C7966">
        <w:rPr>
          <w:rFonts w:asciiTheme="minorHAnsi" w:hAnsiTheme="minorHAnsi" w:cstheme="minorHAnsi"/>
          <w:color w:val="001A70" w:themeColor="text2"/>
          <w:szCs w:val="20"/>
        </w:rPr>
        <w:t>relationship with the patient. There are limited exemptions to this requirement.</w:t>
      </w:r>
    </w:p>
    <w:p w14:paraId="3B468898" w14:textId="3E9433B9" w:rsidR="00EB7772" w:rsidRPr="002C7966" w:rsidRDefault="00EB7772" w:rsidP="00EB7772">
      <w:pPr>
        <w:pStyle w:val="ListParagraph"/>
        <w:rPr>
          <w:rFonts w:asciiTheme="minorHAnsi" w:hAnsiTheme="minorHAnsi" w:cstheme="minorHAnsi"/>
          <w:color w:val="001A70" w:themeColor="text2"/>
        </w:rPr>
      </w:pPr>
      <w:r w:rsidRPr="002C7966">
        <w:rPr>
          <w:rFonts w:asciiTheme="minorHAnsi" w:hAnsiTheme="minorHAnsi" w:cstheme="minorHAnsi"/>
          <w:color w:val="001A70" w:themeColor="text2"/>
        </w:rPr>
        <w:t xml:space="preserve">GP and OMP telehealth services are eligible for MBS incentive payments when provided as bulk billed services to Commonwealth concession card holders and children under 16 years of age. </w:t>
      </w:r>
    </w:p>
    <w:p w14:paraId="159A6C20" w14:textId="6AC94B27" w:rsidR="00BB4F1C" w:rsidRPr="00AA572B" w:rsidRDefault="00AA572B" w:rsidP="00AA572B">
      <w:pPr>
        <w:pStyle w:val="ListParagraph"/>
        <w:rPr>
          <w:rFonts w:asciiTheme="minorHAnsi" w:hAnsiTheme="minorHAnsi" w:cstheme="minorHAnsi"/>
          <w:color w:val="001A70" w:themeColor="text2"/>
          <w:szCs w:val="20"/>
        </w:rPr>
        <w:sectPr w:rsidR="00BB4F1C" w:rsidRPr="00AA572B" w:rsidSect="00F50994">
          <w:headerReference w:type="default" r:id="rId7"/>
          <w:footerReference w:type="default" r:id="rId8"/>
          <w:type w:val="continuous"/>
          <w:pgSz w:w="11906" w:h="16838"/>
          <w:pgMar w:top="3261" w:right="720" w:bottom="720" w:left="720" w:header="708" w:footer="708" w:gutter="0"/>
          <w:cols w:space="708"/>
          <w:docGrid w:linePitch="360"/>
        </w:sectPr>
      </w:pPr>
      <w:r w:rsidRPr="00AA572B">
        <w:rPr>
          <w:rFonts w:asciiTheme="minorHAnsi" w:hAnsiTheme="minorHAnsi" w:cstheme="minorHAnsi"/>
          <w:color w:val="001A70" w:themeColor="text2"/>
          <w:szCs w:val="20"/>
        </w:rPr>
        <w:t>Providers are expected to obtain informed financial consent from patients prior to providing the service; providing details regarding their fees, including any out-of-pocket costs.</w:t>
      </w:r>
      <w:r w:rsidR="000A43AF">
        <w:rPr>
          <w:rFonts w:asciiTheme="minorHAnsi" w:hAnsiTheme="minorHAnsi" w:cstheme="minorHAnsi"/>
          <w:color w:val="001A70" w:themeColor="text2"/>
          <w:szCs w:val="20"/>
        </w:rPr>
        <w:pict w14:anchorId="43E5963D">
          <v:rect id="_x0000_i1026" style="width:500.25pt;height:1.35pt" o:hrpct="990" o:hralign="center" o:hrstd="t" o:hr="t" fillcolor="#a0a0a0" stroked="f"/>
        </w:pict>
      </w:r>
    </w:p>
    <w:p w14:paraId="6032CC7C" w14:textId="77777777" w:rsidR="00BB4F1C" w:rsidRPr="002C7966" w:rsidRDefault="00BB4F1C" w:rsidP="00F328A4">
      <w:pPr>
        <w:pStyle w:val="Heading2"/>
        <w:rPr>
          <w:rFonts w:asciiTheme="minorHAnsi" w:hAnsiTheme="minorHAnsi" w:cstheme="minorHAnsi"/>
        </w:rPr>
      </w:pPr>
      <w:r w:rsidRPr="002C7966">
        <w:rPr>
          <w:rFonts w:asciiTheme="minorHAnsi" w:hAnsiTheme="minorHAnsi" w:cstheme="minorHAnsi"/>
        </w:rPr>
        <w:t>What are the changes?</w:t>
      </w:r>
    </w:p>
    <w:p w14:paraId="24F865A9" w14:textId="3A83B464" w:rsidR="00FC5285" w:rsidRPr="002C7966" w:rsidRDefault="003B1102" w:rsidP="00FC5285">
      <w:pPr>
        <w:spacing w:after="120" w:line="276" w:lineRule="auto"/>
        <w:rPr>
          <w:rFonts w:asciiTheme="minorHAnsi" w:hAnsiTheme="minorHAnsi" w:cstheme="minorHAnsi"/>
          <w:color w:val="001A70" w:themeColor="text2"/>
        </w:rPr>
      </w:pPr>
      <w:r w:rsidRPr="002C7966">
        <w:rPr>
          <w:rFonts w:asciiTheme="minorHAnsi" w:hAnsiTheme="minorHAnsi" w:cstheme="minorHAnsi"/>
          <w:color w:val="001A70" w:themeColor="text2"/>
          <w:szCs w:val="20"/>
        </w:rPr>
        <w:t>From 1 January 2022 the COVID-19 obstetric att</w:t>
      </w:r>
      <w:r w:rsidR="00305203" w:rsidRPr="002C7966">
        <w:rPr>
          <w:rFonts w:asciiTheme="minorHAnsi" w:hAnsiTheme="minorHAnsi" w:cstheme="minorHAnsi"/>
          <w:color w:val="001A70" w:themeColor="text2"/>
          <w:szCs w:val="20"/>
        </w:rPr>
        <w:t>en</w:t>
      </w:r>
      <w:r w:rsidRPr="002C7966">
        <w:rPr>
          <w:rFonts w:asciiTheme="minorHAnsi" w:hAnsiTheme="minorHAnsi" w:cstheme="minorHAnsi"/>
          <w:color w:val="001A70" w:themeColor="text2"/>
          <w:szCs w:val="20"/>
        </w:rPr>
        <w:t>dance telehealth arrangements introduced in</w:t>
      </w:r>
      <w:r w:rsidR="005653E6" w:rsidRPr="002C7966">
        <w:rPr>
          <w:rFonts w:asciiTheme="minorHAnsi" w:hAnsiTheme="minorHAnsi" w:cstheme="minorHAnsi"/>
          <w:color w:val="001A70" w:themeColor="text2"/>
          <w:szCs w:val="20"/>
        </w:rPr>
        <w:t xml:space="preserve"> response to the pandemic</w:t>
      </w:r>
      <w:r w:rsidRPr="002C7966">
        <w:rPr>
          <w:rFonts w:asciiTheme="minorHAnsi" w:hAnsiTheme="minorHAnsi" w:cstheme="minorHAnsi"/>
          <w:color w:val="001A70" w:themeColor="text2"/>
          <w:szCs w:val="20"/>
        </w:rPr>
        <w:t xml:space="preserve"> will continue to be available</w:t>
      </w:r>
      <w:r w:rsidR="005653E6" w:rsidRPr="002C7966">
        <w:rPr>
          <w:rFonts w:asciiTheme="minorHAnsi" w:hAnsiTheme="minorHAnsi" w:cstheme="minorHAnsi"/>
          <w:color w:val="001A70" w:themeColor="text2"/>
          <w:szCs w:val="20"/>
        </w:rPr>
        <w:t xml:space="preserve">, this </w:t>
      </w:r>
      <w:r w:rsidR="00305203" w:rsidRPr="002C7966">
        <w:rPr>
          <w:rFonts w:asciiTheme="minorHAnsi" w:hAnsiTheme="minorHAnsi" w:cstheme="minorHAnsi"/>
          <w:color w:val="001A70" w:themeColor="text2"/>
          <w:szCs w:val="20"/>
        </w:rPr>
        <w:t>will include:</w:t>
      </w:r>
      <w:r w:rsidRPr="002C7966">
        <w:rPr>
          <w:rFonts w:asciiTheme="minorHAnsi" w:hAnsiTheme="minorHAnsi" w:cstheme="minorHAnsi"/>
          <w:color w:val="001A70" w:themeColor="text2"/>
          <w:szCs w:val="20"/>
        </w:rPr>
        <w:t xml:space="preserve"> </w:t>
      </w:r>
    </w:p>
    <w:p w14:paraId="22CA8800" w14:textId="5EC5EE87" w:rsidR="00F95923" w:rsidRPr="002C7966" w:rsidRDefault="00745E69" w:rsidP="00BB4F1C">
      <w:pPr>
        <w:numPr>
          <w:ilvl w:val="0"/>
          <w:numId w:val="20"/>
        </w:numPr>
        <w:spacing w:after="120" w:line="276" w:lineRule="auto"/>
        <w:rPr>
          <w:rFonts w:asciiTheme="minorHAnsi" w:hAnsiTheme="minorHAnsi" w:cstheme="minorHAnsi"/>
          <w:color w:val="001A70" w:themeColor="text2"/>
        </w:rPr>
      </w:pPr>
      <w:r w:rsidRPr="002C7966">
        <w:rPr>
          <w:rFonts w:asciiTheme="minorHAnsi" w:hAnsiTheme="minorHAnsi" w:cstheme="minorHAnsi"/>
          <w:color w:val="001A70" w:themeColor="text2"/>
        </w:rPr>
        <w:t>4</w:t>
      </w:r>
      <w:r w:rsidR="00BB4F1C" w:rsidRPr="002C7966">
        <w:rPr>
          <w:rFonts w:asciiTheme="minorHAnsi" w:hAnsiTheme="minorHAnsi" w:cstheme="minorHAnsi"/>
          <w:color w:val="001A70" w:themeColor="text2"/>
        </w:rPr>
        <w:t xml:space="preserve"> videoconference items for </w:t>
      </w:r>
      <w:r w:rsidRPr="002C7966">
        <w:rPr>
          <w:rFonts w:asciiTheme="minorHAnsi" w:hAnsiTheme="minorHAnsi" w:cstheme="minorHAnsi"/>
          <w:color w:val="001A70" w:themeColor="text2"/>
        </w:rPr>
        <w:t>obstetric telehealth services</w:t>
      </w:r>
      <w:r w:rsidR="00BB4F1C" w:rsidRPr="002C7966">
        <w:rPr>
          <w:rFonts w:asciiTheme="minorHAnsi" w:hAnsiTheme="minorHAnsi" w:cstheme="minorHAnsi"/>
          <w:color w:val="001A70" w:themeColor="text2"/>
        </w:rPr>
        <w:t xml:space="preserve"> – MBS items 918</w:t>
      </w:r>
      <w:r w:rsidRPr="002C7966">
        <w:rPr>
          <w:rFonts w:asciiTheme="minorHAnsi" w:hAnsiTheme="minorHAnsi" w:cstheme="minorHAnsi"/>
          <w:color w:val="001A70" w:themeColor="text2"/>
        </w:rPr>
        <w:t>50</w:t>
      </w:r>
      <w:r w:rsidR="00BB4F1C" w:rsidRPr="002C7966">
        <w:rPr>
          <w:rFonts w:asciiTheme="minorHAnsi" w:hAnsiTheme="minorHAnsi" w:cstheme="minorHAnsi"/>
          <w:color w:val="001A70" w:themeColor="text2"/>
        </w:rPr>
        <w:t>, 918</w:t>
      </w:r>
      <w:r w:rsidRPr="002C7966">
        <w:rPr>
          <w:rFonts w:asciiTheme="minorHAnsi" w:hAnsiTheme="minorHAnsi" w:cstheme="minorHAnsi"/>
          <w:color w:val="001A70" w:themeColor="text2"/>
        </w:rPr>
        <w:t>51</w:t>
      </w:r>
      <w:r w:rsidR="00BB4F1C" w:rsidRPr="002C7966">
        <w:rPr>
          <w:rFonts w:asciiTheme="minorHAnsi" w:hAnsiTheme="minorHAnsi" w:cstheme="minorHAnsi"/>
          <w:color w:val="001A70" w:themeColor="text2"/>
        </w:rPr>
        <w:t>, 918</w:t>
      </w:r>
      <w:r w:rsidRPr="002C7966">
        <w:rPr>
          <w:rFonts w:asciiTheme="minorHAnsi" w:hAnsiTheme="minorHAnsi" w:cstheme="minorHAnsi"/>
          <w:color w:val="001A70" w:themeColor="text2"/>
        </w:rPr>
        <w:t>52 and 91853</w:t>
      </w:r>
      <w:r w:rsidR="00BB4F1C" w:rsidRPr="002C7966">
        <w:rPr>
          <w:rFonts w:asciiTheme="minorHAnsi" w:hAnsiTheme="minorHAnsi" w:cstheme="minorHAnsi"/>
          <w:color w:val="001A70" w:themeColor="text2"/>
        </w:rPr>
        <w:t xml:space="preserve">. </w:t>
      </w:r>
    </w:p>
    <w:p w14:paraId="458B93F9" w14:textId="773E0D11" w:rsidR="005114EC" w:rsidRPr="002C7966" w:rsidRDefault="00745E69" w:rsidP="002C7966">
      <w:pPr>
        <w:numPr>
          <w:ilvl w:val="0"/>
          <w:numId w:val="20"/>
        </w:numPr>
        <w:spacing w:after="120" w:line="276" w:lineRule="auto"/>
        <w:rPr>
          <w:rFonts w:asciiTheme="minorHAnsi" w:hAnsiTheme="minorHAnsi" w:cstheme="minorHAnsi"/>
          <w:color w:val="001A70" w:themeColor="text2"/>
        </w:rPr>
      </w:pPr>
      <w:r w:rsidRPr="002C7966">
        <w:rPr>
          <w:rFonts w:asciiTheme="minorHAnsi" w:hAnsiTheme="minorHAnsi" w:cstheme="minorHAnsi"/>
          <w:color w:val="001A70" w:themeColor="text2"/>
        </w:rPr>
        <w:t>4</w:t>
      </w:r>
      <w:r w:rsidR="00BB4F1C" w:rsidRPr="002C7966">
        <w:rPr>
          <w:rFonts w:asciiTheme="minorHAnsi" w:hAnsiTheme="minorHAnsi" w:cstheme="minorHAnsi"/>
          <w:color w:val="001A70" w:themeColor="text2"/>
        </w:rPr>
        <w:t xml:space="preserve"> telephone items for </w:t>
      </w:r>
      <w:r w:rsidRPr="002C7966">
        <w:rPr>
          <w:rFonts w:asciiTheme="minorHAnsi" w:hAnsiTheme="minorHAnsi" w:cstheme="minorHAnsi"/>
          <w:color w:val="001A70" w:themeColor="text2"/>
        </w:rPr>
        <w:t>obstetric telehealth services – MBS items 91855</w:t>
      </w:r>
      <w:r w:rsidR="00BB4F1C" w:rsidRPr="002C7966">
        <w:rPr>
          <w:rFonts w:asciiTheme="minorHAnsi" w:hAnsiTheme="minorHAnsi" w:cstheme="minorHAnsi"/>
          <w:color w:val="001A70" w:themeColor="text2"/>
        </w:rPr>
        <w:t>, 918</w:t>
      </w:r>
      <w:r w:rsidRPr="002C7966">
        <w:rPr>
          <w:rFonts w:asciiTheme="minorHAnsi" w:hAnsiTheme="minorHAnsi" w:cstheme="minorHAnsi"/>
          <w:color w:val="001A70" w:themeColor="text2"/>
        </w:rPr>
        <w:t>56</w:t>
      </w:r>
      <w:r w:rsidR="00BB4F1C" w:rsidRPr="002C7966">
        <w:rPr>
          <w:rFonts w:asciiTheme="minorHAnsi" w:hAnsiTheme="minorHAnsi" w:cstheme="minorHAnsi"/>
          <w:color w:val="001A70" w:themeColor="text2"/>
        </w:rPr>
        <w:t>, 918</w:t>
      </w:r>
      <w:r w:rsidRPr="002C7966">
        <w:rPr>
          <w:rFonts w:asciiTheme="minorHAnsi" w:hAnsiTheme="minorHAnsi" w:cstheme="minorHAnsi"/>
          <w:color w:val="001A70" w:themeColor="text2"/>
        </w:rPr>
        <w:t>57 and 91858</w:t>
      </w:r>
      <w:r w:rsidR="00BB4F1C" w:rsidRPr="002C7966">
        <w:rPr>
          <w:rFonts w:asciiTheme="minorHAnsi" w:hAnsiTheme="minorHAnsi" w:cstheme="minorHAnsi"/>
          <w:color w:val="001A70" w:themeColor="text2"/>
        </w:rPr>
        <w:t xml:space="preserve">. </w:t>
      </w:r>
    </w:p>
    <w:p w14:paraId="49228CEB" w14:textId="762D5E67" w:rsidR="001774C5" w:rsidRPr="002C7966" w:rsidRDefault="001774C5" w:rsidP="001774C5">
      <w:pPr>
        <w:pStyle w:val="Heading2"/>
        <w:rPr>
          <w:rFonts w:asciiTheme="minorHAnsi" w:hAnsiTheme="minorHAnsi" w:cstheme="minorHAnsi"/>
        </w:rPr>
      </w:pPr>
      <w:r w:rsidRPr="002C7966">
        <w:rPr>
          <w:rFonts w:asciiTheme="minorHAnsi" w:hAnsiTheme="minorHAnsi" w:cstheme="minorHAnsi"/>
        </w:rPr>
        <w:t>Why are the changes being made?</w:t>
      </w:r>
    </w:p>
    <w:p w14:paraId="31CD35C7" w14:textId="6EBC7E49" w:rsidR="005114EC" w:rsidRPr="002C7966" w:rsidRDefault="00F95923" w:rsidP="002C7966">
      <w:pPr>
        <w:spacing w:line="276" w:lineRule="auto"/>
        <w:rPr>
          <w:rFonts w:asciiTheme="minorHAnsi" w:hAnsiTheme="minorHAnsi" w:cstheme="minorHAnsi"/>
          <w:color w:val="001A70" w:themeColor="text2"/>
          <w:szCs w:val="24"/>
        </w:rPr>
      </w:pPr>
      <w:r w:rsidRPr="002C7966">
        <w:rPr>
          <w:rFonts w:asciiTheme="minorHAnsi" w:eastAsiaTheme="minorHAnsi" w:hAnsiTheme="minorHAnsi" w:cstheme="minorHAnsi"/>
          <w:color w:val="001A70" w:themeColor="text2"/>
          <w:szCs w:val="20"/>
        </w:rPr>
        <w:t>The Australian Government committed on 13 December 2021 to make telehealth services that were introduced in response to COVID-19 a permanent part of Medicare. The introduction of these telehealth services has been a critical part of the COVID-19 National Health Plan and transformational to Australia’s universal health care program. Telehealth will continue to offer greater flexibility to patients and health care providers.</w:t>
      </w:r>
    </w:p>
    <w:p w14:paraId="23110271" w14:textId="368D0793" w:rsidR="00BB4F1C" w:rsidRPr="002C7966" w:rsidRDefault="00BB4F1C" w:rsidP="00F328A4">
      <w:pPr>
        <w:pStyle w:val="Heading2"/>
        <w:rPr>
          <w:rFonts w:asciiTheme="minorHAnsi" w:hAnsiTheme="minorHAnsi" w:cstheme="minorHAnsi"/>
        </w:rPr>
      </w:pPr>
      <w:r w:rsidRPr="002C7966">
        <w:rPr>
          <w:rFonts w:asciiTheme="minorHAnsi" w:hAnsiTheme="minorHAnsi" w:cstheme="minorHAnsi"/>
        </w:rPr>
        <w:t>Who is eligible?</w:t>
      </w:r>
    </w:p>
    <w:p w14:paraId="696963AA" w14:textId="000B0F36" w:rsidR="00EB7772" w:rsidRPr="002C7966" w:rsidRDefault="002C7966" w:rsidP="00EB7772">
      <w:pPr>
        <w:spacing w:after="120" w:line="276" w:lineRule="auto"/>
        <w:rPr>
          <w:rFonts w:asciiTheme="minorHAnsi" w:hAnsiTheme="minorHAnsi" w:cstheme="minorHAnsi"/>
          <w:color w:val="001A70" w:themeColor="text2"/>
          <w:szCs w:val="20"/>
          <w:lang w:eastAsia="en-AU"/>
        </w:rPr>
      </w:pPr>
      <w:r w:rsidRPr="002C7966">
        <w:rPr>
          <w:rFonts w:asciiTheme="minorHAnsi" w:hAnsiTheme="minorHAnsi" w:cstheme="minorHAnsi"/>
          <w:color w:val="001A70" w:themeColor="text2"/>
          <w:szCs w:val="20"/>
          <w:lang w:eastAsia="en-AU"/>
        </w:rPr>
        <w:t>The</w:t>
      </w:r>
      <w:r w:rsidR="003101C2" w:rsidRPr="002C7966">
        <w:rPr>
          <w:rFonts w:asciiTheme="minorHAnsi" w:hAnsiTheme="minorHAnsi" w:cstheme="minorHAnsi"/>
          <w:color w:val="001A70" w:themeColor="text2"/>
        </w:rPr>
        <w:t xml:space="preserve"> </w:t>
      </w:r>
      <w:r w:rsidR="00EB7772" w:rsidRPr="002C7966">
        <w:rPr>
          <w:rFonts w:asciiTheme="minorHAnsi" w:hAnsiTheme="minorHAnsi" w:cstheme="minorHAnsi"/>
          <w:color w:val="001A70" w:themeColor="text2"/>
        </w:rPr>
        <w:t xml:space="preserve">MBS telehealth items </w:t>
      </w:r>
      <w:r w:rsidR="00EB7772" w:rsidRPr="002C7966">
        <w:rPr>
          <w:rFonts w:asciiTheme="minorHAnsi" w:hAnsiTheme="minorHAnsi" w:cstheme="minorHAnsi"/>
          <w:color w:val="001A70" w:themeColor="text2"/>
          <w:szCs w:val="20"/>
          <w:lang w:eastAsia="en-AU"/>
        </w:rPr>
        <w:t xml:space="preserve">are available for a wide range of consultations. All Medicare eligible Australians can receive these services. </w:t>
      </w:r>
      <w:r w:rsidR="00EB7772" w:rsidRPr="002C7966">
        <w:rPr>
          <w:rFonts w:asciiTheme="minorHAnsi" w:hAnsiTheme="minorHAnsi" w:cstheme="minorHAnsi"/>
          <w:color w:val="001A70" w:themeColor="text2"/>
        </w:rPr>
        <w:t>GPs and OMPs working in general practice may only provide a teleheal</w:t>
      </w:r>
      <w:r w:rsidR="00FA6B96" w:rsidRPr="002C7966">
        <w:rPr>
          <w:rFonts w:asciiTheme="minorHAnsi" w:hAnsiTheme="minorHAnsi" w:cstheme="minorHAnsi"/>
          <w:color w:val="001A70" w:themeColor="text2"/>
        </w:rPr>
        <w:t xml:space="preserve">th service where they have an established clinical </w:t>
      </w:r>
      <w:r w:rsidR="00EB7772" w:rsidRPr="002C7966">
        <w:rPr>
          <w:rFonts w:asciiTheme="minorHAnsi" w:hAnsiTheme="minorHAnsi" w:cstheme="minorHAnsi"/>
          <w:color w:val="001A70" w:themeColor="text2"/>
        </w:rPr>
        <w:t>relationship with the patient</w:t>
      </w:r>
      <w:r w:rsidR="005114EC" w:rsidRPr="002C7966">
        <w:rPr>
          <w:rFonts w:asciiTheme="minorHAnsi" w:hAnsiTheme="minorHAnsi" w:cstheme="minorHAnsi"/>
          <w:color w:val="001A70" w:themeColor="text2"/>
        </w:rPr>
        <w:t>, with limited exemptions</w:t>
      </w:r>
      <w:r w:rsidRPr="002C7966">
        <w:rPr>
          <w:rFonts w:asciiTheme="minorHAnsi" w:hAnsiTheme="minorHAnsi" w:cstheme="minorHAnsi"/>
          <w:color w:val="001A70" w:themeColor="text2"/>
        </w:rPr>
        <w:t>,</w:t>
      </w:r>
      <w:r w:rsidRPr="002C7966">
        <w:rPr>
          <w:rFonts w:asciiTheme="minorHAnsi" w:hAnsiTheme="minorHAnsi" w:cstheme="minorHAnsi"/>
          <w:color w:val="001A70" w:themeColor="text2"/>
        </w:rPr>
        <w:t xml:space="preserve"> as per telehealth arrangements introduced </w:t>
      </w:r>
      <w:r w:rsidR="002D6F16">
        <w:rPr>
          <w:rFonts w:asciiTheme="minorHAnsi" w:hAnsiTheme="minorHAnsi" w:cstheme="minorHAnsi"/>
          <w:color w:val="001A70" w:themeColor="text2"/>
        </w:rPr>
        <w:t xml:space="preserve">in </w:t>
      </w:r>
      <w:r w:rsidRPr="002C7966">
        <w:rPr>
          <w:rFonts w:asciiTheme="minorHAnsi" w:hAnsiTheme="minorHAnsi" w:cstheme="minorHAnsi"/>
          <w:color w:val="001A70" w:themeColor="text2"/>
        </w:rPr>
        <w:t>July 2020</w:t>
      </w:r>
      <w:r w:rsidR="00EB7772" w:rsidRPr="002C7966">
        <w:rPr>
          <w:rFonts w:asciiTheme="minorHAnsi" w:hAnsiTheme="minorHAnsi" w:cstheme="minorHAnsi"/>
          <w:color w:val="001A70" w:themeColor="text2"/>
        </w:rPr>
        <w:t xml:space="preserve"> </w:t>
      </w:r>
    </w:p>
    <w:p w14:paraId="37C0F2E2" w14:textId="68838A3C" w:rsidR="00236167" w:rsidRPr="002C7966" w:rsidRDefault="00EB7772" w:rsidP="00236167">
      <w:pPr>
        <w:spacing w:after="120" w:line="276" w:lineRule="auto"/>
        <w:rPr>
          <w:rFonts w:asciiTheme="minorHAnsi" w:hAnsiTheme="minorHAnsi" w:cstheme="minorHAnsi"/>
          <w:color w:val="001A70" w:themeColor="text2"/>
          <w:szCs w:val="20"/>
          <w:lang w:eastAsia="en-AU"/>
        </w:rPr>
      </w:pPr>
      <w:r w:rsidRPr="002C7966">
        <w:rPr>
          <w:rFonts w:asciiTheme="minorHAnsi" w:hAnsiTheme="minorHAnsi" w:cstheme="minorHAnsi"/>
          <w:color w:val="001A70" w:themeColor="text2"/>
          <w:szCs w:val="20"/>
          <w:lang w:eastAsia="en-AU"/>
        </w:rPr>
        <w:t xml:space="preserve">Bulk billed GP and OMP services provided using the </w:t>
      </w:r>
      <w:r w:rsidRPr="002C7966">
        <w:rPr>
          <w:rFonts w:asciiTheme="minorHAnsi" w:hAnsiTheme="minorHAnsi" w:cstheme="minorHAnsi"/>
          <w:color w:val="001A70" w:themeColor="text2"/>
        </w:rPr>
        <w:t xml:space="preserve">MBS telehealth items are eligible for MBS incentive payments when provided to </w:t>
      </w:r>
      <w:r w:rsidRPr="002C7966">
        <w:rPr>
          <w:rFonts w:asciiTheme="minorHAnsi" w:hAnsiTheme="minorHAnsi" w:cstheme="minorHAnsi"/>
          <w:color w:val="001A70" w:themeColor="text2"/>
          <w:szCs w:val="20"/>
          <w:lang w:eastAsia="en-AU"/>
        </w:rPr>
        <w:t>Commonwealth concession card holders and children under 16 years of age.</w:t>
      </w:r>
      <w:r w:rsidR="00236167" w:rsidRPr="002C7966">
        <w:rPr>
          <w:rFonts w:asciiTheme="minorHAnsi" w:hAnsiTheme="minorHAnsi" w:cstheme="minorHAnsi"/>
          <w:color w:val="001A70" w:themeColor="text2"/>
          <w:szCs w:val="20"/>
          <w:lang w:eastAsia="en-AU"/>
        </w:rPr>
        <w:t xml:space="preserve"> </w:t>
      </w:r>
    </w:p>
    <w:p w14:paraId="408F9BD5" w14:textId="5A276E19" w:rsidR="00BB4F1C" w:rsidRPr="002C7966" w:rsidRDefault="00BB4F1C">
      <w:pPr>
        <w:pStyle w:val="Heading2"/>
        <w:rPr>
          <w:rFonts w:asciiTheme="minorHAnsi" w:hAnsiTheme="minorHAnsi" w:cstheme="minorHAnsi"/>
        </w:rPr>
      </w:pPr>
      <w:r w:rsidRPr="002C7966">
        <w:rPr>
          <w:rFonts w:asciiTheme="minorHAnsi" w:hAnsiTheme="minorHAnsi" w:cstheme="minorHAnsi"/>
        </w:rPr>
        <w:lastRenderedPageBreak/>
        <w:t>What telehealth options are available?</w:t>
      </w:r>
    </w:p>
    <w:p w14:paraId="0DA85A5E" w14:textId="4F62C2D1" w:rsidR="00FC5285" w:rsidRPr="002C7966" w:rsidRDefault="00FC5285" w:rsidP="00FC5285">
      <w:pPr>
        <w:spacing w:before="200" w:after="120" w:line="276" w:lineRule="auto"/>
        <w:rPr>
          <w:rFonts w:asciiTheme="minorHAnsi" w:hAnsiTheme="minorHAnsi" w:cstheme="minorHAnsi"/>
          <w:color w:val="001A70" w:themeColor="text2"/>
        </w:rPr>
      </w:pPr>
      <w:r w:rsidRPr="002C7966">
        <w:rPr>
          <w:rFonts w:asciiTheme="minorHAnsi" w:hAnsiTheme="minorHAnsi" w:cstheme="minorHAnsi"/>
          <w:color w:val="001A70" w:themeColor="text2"/>
        </w:rPr>
        <w:t>Videoconference services are the preferred approach for substituting a face-to-face consultation. However</w:t>
      </w:r>
      <w:r w:rsidR="003101C2" w:rsidRPr="002C7966">
        <w:rPr>
          <w:rFonts w:asciiTheme="minorHAnsi" w:hAnsiTheme="minorHAnsi" w:cstheme="minorHAnsi"/>
          <w:color w:val="001A70" w:themeColor="text2"/>
        </w:rPr>
        <w:t>,</w:t>
      </w:r>
      <w:r w:rsidRPr="002C7966">
        <w:rPr>
          <w:rFonts w:asciiTheme="minorHAnsi" w:hAnsiTheme="minorHAnsi" w:cstheme="minorHAnsi"/>
          <w:color w:val="001A70" w:themeColor="text2"/>
        </w:rPr>
        <w:t xml:space="preserve"> providers will also be able to offer audio-only services via telephone if video is not available. There are separate items available for the audio-only services.</w:t>
      </w:r>
    </w:p>
    <w:p w14:paraId="36E500D7" w14:textId="77777777" w:rsidR="00AA572B" w:rsidRPr="00AA572B" w:rsidRDefault="00AA572B" w:rsidP="005114EC">
      <w:pPr>
        <w:spacing w:before="200" w:after="120" w:line="276" w:lineRule="auto"/>
        <w:rPr>
          <w:rFonts w:asciiTheme="minorHAnsi" w:hAnsiTheme="minorHAnsi" w:cstheme="minorHAnsi"/>
          <w:color w:val="001A70" w:themeColor="text2"/>
        </w:rPr>
      </w:pPr>
      <w:r w:rsidRPr="00AA572B">
        <w:rPr>
          <w:rFonts w:asciiTheme="minorHAnsi" w:hAnsiTheme="minorHAnsi" w:cstheme="minorHAnsi"/>
          <w:color w:val="001A70" w:themeColor="text2"/>
        </w:rPr>
        <w:t xml:space="preserve">It is recommended that the obstetric ongoing telephone services provided under items 91855, 91856, 91857 or 91858 are performed in cases where the practitioner and patient do not have the capacity to undertake an attendance by video conference. </w:t>
      </w:r>
    </w:p>
    <w:p w14:paraId="6E54163A" w14:textId="393EBCFD" w:rsidR="005114EC" w:rsidRPr="002C7966" w:rsidRDefault="00FC5285" w:rsidP="005114EC">
      <w:pPr>
        <w:spacing w:before="200" w:after="120" w:line="276" w:lineRule="auto"/>
        <w:rPr>
          <w:rFonts w:asciiTheme="minorHAnsi" w:hAnsiTheme="minorHAnsi" w:cstheme="minorHAnsi"/>
          <w:color w:val="001A70" w:themeColor="text2"/>
        </w:rPr>
      </w:pPr>
      <w:r w:rsidRPr="002C7966">
        <w:rPr>
          <w:rFonts w:asciiTheme="minorHAnsi" w:hAnsiTheme="minorHAnsi" w:cstheme="minorHAnsi"/>
          <w:color w:val="001A70" w:themeColor="text2"/>
        </w:rPr>
        <w:t>No specific equipment is required to provide Medicare-compliant telehealth services. Practitioners must ensure that their chosen telecommunications solution meets their clinical requirements and satisfies privacy laws.</w:t>
      </w:r>
      <w:r w:rsidR="00542230" w:rsidRPr="002C7966">
        <w:rPr>
          <w:rFonts w:asciiTheme="minorHAnsi" w:hAnsiTheme="minorHAnsi" w:cstheme="minorHAnsi"/>
          <w:color w:val="001A70" w:themeColor="text2"/>
        </w:rPr>
        <w:t xml:space="preserve"> </w:t>
      </w:r>
      <w:r w:rsidR="00666777" w:rsidRPr="002C7966">
        <w:rPr>
          <w:rFonts w:asciiTheme="minorHAnsi" w:hAnsiTheme="minorHAnsi" w:cstheme="minorHAnsi"/>
          <w:color w:val="001A70" w:themeColor="text2"/>
        </w:rPr>
        <w:t xml:space="preserve">To assist providers with their privacy obligations, a privacy checklist for telehealth services has been made available on </w:t>
      </w:r>
      <w:r w:rsidR="00B82EDF" w:rsidRPr="002C7966">
        <w:rPr>
          <w:rFonts w:asciiTheme="minorHAnsi" w:hAnsiTheme="minorHAnsi" w:cstheme="minorHAnsi"/>
          <w:color w:val="001A70" w:themeColor="text2"/>
        </w:rPr>
        <w:t xml:space="preserve">the </w:t>
      </w:r>
      <w:hyperlink r:id="rId9" w:history="1">
        <w:proofErr w:type="spellStart"/>
        <w:r w:rsidR="00666777" w:rsidRPr="002C7966">
          <w:rPr>
            <w:rStyle w:val="Hyperlink"/>
            <w:rFonts w:asciiTheme="minorHAnsi" w:hAnsiTheme="minorHAnsi" w:cstheme="minorHAnsi"/>
            <w:color w:val="001A70" w:themeColor="text2"/>
          </w:rPr>
          <w:t>MBSOnline</w:t>
        </w:r>
        <w:proofErr w:type="spellEnd"/>
        <w:r w:rsidR="00B82EDF" w:rsidRPr="002C7966">
          <w:rPr>
            <w:rStyle w:val="Hyperlink"/>
            <w:rFonts w:asciiTheme="minorHAnsi" w:hAnsiTheme="minorHAnsi" w:cstheme="minorHAnsi"/>
            <w:color w:val="001A70" w:themeColor="text2"/>
          </w:rPr>
          <w:t xml:space="preserve"> website</w:t>
        </w:r>
      </w:hyperlink>
      <w:r w:rsidR="00B82EDF" w:rsidRPr="002C7966">
        <w:rPr>
          <w:rFonts w:asciiTheme="minorHAnsi" w:hAnsiTheme="minorHAnsi" w:cstheme="minorHAnsi"/>
          <w:color w:val="001A70" w:themeColor="text2"/>
        </w:rPr>
        <w:t xml:space="preserve">. </w:t>
      </w:r>
      <w:r w:rsidR="00666777" w:rsidRPr="002C7966">
        <w:rPr>
          <w:rFonts w:asciiTheme="minorHAnsi" w:hAnsiTheme="minorHAnsi" w:cstheme="minorHAnsi"/>
          <w:color w:val="001A70" w:themeColor="text2"/>
        </w:rPr>
        <w:t>Further i</w:t>
      </w:r>
      <w:r w:rsidR="00542230" w:rsidRPr="002C7966">
        <w:rPr>
          <w:rFonts w:asciiTheme="minorHAnsi" w:hAnsiTheme="minorHAnsi" w:cstheme="minorHAnsi"/>
          <w:color w:val="001A70" w:themeColor="text2"/>
        </w:rPr>
        <w:t>nformation</w:t>
      </w:r>
      <w:r w:rsidR="00666777" w:rsidRPr="002C7966">
        <w:rPr>
          <w:rFonts w:asciiTheme="minorHAnsi" w:hAnsiTheme="minorHAnsi" w:cstheme="minorHAnsi"/>
          <w:color w:val="001A70" w:themeColor="text2"/>
        </w:rPr>
        <w:t xml:space="preserve"> can be found</w:t>
      </w:r>
      <w:r w:rsidR="00542230" w:rsidRPr="002C7966">
        <w:rPr>
          <w:rFonts w:asciiTheme="minorHAnsi" w:hAnsiTheme="minorHAnsi" w:cstheme="minorHAnsi"/>
          <w:color w:val="001A70" w:themeColor="text2"/>
        </w:rPr>
        <w:t xml:space="preserve"> on the </w:t>
      </w:r>
      <w:hyperlink r:id="rId10" w:history="1">
        <w:r w:rsidR="00542230" w:rsidRPr="002C7966">
          <w:rPr>
            <w:rStyle w:val="Hyperlink"/>
            <w:rFonts w:asciiTheme="minorHAnsi" w:hAnsiTheme="minorHAnsi" w:cstheme="minorHAnsi"/>
            <w:color w:val="001A70" w:themeColor="text2"/>
          </w:rPr>
          <w:t>Australian Cyber Security Centre website</w:t>
        </w:r>
      </w:hyperlink>
      <w:r w:rsidR="00542230" w:rsidRPr="002C7966">
        <w:rPr>
          <w:rFonts w:asciiTheme="minorHAnsi" w:hAnsiTheme="minorHAnsi" w:cstheme="minorHAnsi"/>
          <w:color w:val="001A70" w:themeColor="text2"/>
        </w:rPr>
        <w:t>.</w:t>
      </w:r>
    </w:p>
    <w:p w14:paraId="59F237D3" w14:textId="64BAD396" w:rsidR="00BB4F1C" w:rsidRPr="002C7966" w:rsidRDefault="00BB4F1C">
      <w:pPr>
        <w:pStyle w:val="Heading2"/>
        <w:rPr>
          <w:rFonts w:asciiTheme="minorHAnsi" w:hAnsiTheme="minorHAnsi" w:cstheme="minorHAnsi"/>
        </w:rPr>
      </w:pPr>
      <w:r w:rsidRPr="002C7966">
        <w:rPr>
          <w:rFonts w:asciiTheme="minorHAnsi" w:hAnsiTheme="minorHAnsi" w:cstheme="minorHAnsi"/>
        </w:rPr>
        <w:t>What does this mean for providers?</w:t>
      </w:r>
    </w:p>
    <w:p w14:paraId="03621098" w14:textId="435331F4" w:rsidR="00EB7772" w:rsidRPr="002C7966" w:rsidRDefault="00EB7772" w:rsidP="00EB7772">
      <w:pPr>
        <w:spacing w:line="276" w:lineRule="auto"/>
        <w:rPr>
          <w:rFonts w:asciiTheme="minorHAnsi" w:hAnsiTheme="minorHAnsi" w:cstheme="minorHAnsi"/>
          <w:color w:val="001A70" w:themeColor="text2"/>
        </w:rPr>
      </w:pPr>
      <w:r w:rsidRPr="002C7966">
        <w:rPr>
          <w:rFonts w:asciiTheme="minorHAnsi" w:hAnsiTheme="minorHAnsi" w:cstheme="minorHAnsi"/>
          <w:color w:val="001A70" w:themeColor="text2"/>
        </w:rPr>
        <w:t xml:space="preserve">The MBS telehealth items allow providers to continue to deliver essential health care services to patients within their care. </w:t>
      </w:r>
    </w:p>
    <w:p w14:paraId="642354BC" w14:textId="53BC61B3" w:rsidR="00EB7772" w:rsidRPr="002C7966" w:rsidRDefault="00EB7772" w:rsidP="00EB7772">
      <w:pPr>
        <w:spacing w:before="200" w:after="120" w:line="276" w:lineRule="auto"/>
        <w:rPr>
          <w:rFonts w:asciiTheme="minorHAnsi" w:hAnsiTheme="minorHAnsi" w:cstheme="minorHAnsi"/>
          <w:color w:val="001A70" w:themeColor="text2"/>
        </w:rPr>
      </w:pPr>
      <w:r w:rsidRPr="002C7966">
        <w:rPr>
          <w:rFonts w:asciiTheme="minorHAnsi" w:hAnsiTheme="minorHAnsi" w:cstheme="minorHAnsi"/>
          <w:color w:val="001A70" w:themeColor="text2"/>
        </w:rPr>
        <w:t xml:space="preserve">Providers do not need to be in their regular practice to provide telehealth services. GPs and OMPs working in general practice must ensure that they have an </w:t>
      </w:r>
      <w:r w:rsidR="00FA6B96" w:rsidRPr="002C7966">
        <w:rPr>
          <w:rFonts w:asciiTheme="minorHAnsi" w:hAnsiTheme="minorHAnsi" w:cstheme="minorHAnsi"/>
          <w:color w:val="001A70" w:themeColor="text2"/>
        </w:rPr>
        <w:t xml:space="preserve">established </w:t>
      </w:r>
      <w:r w:rsidRPr="002C7966">
        <w:rPr>
          <w:rFonts w:asciiTheme="minorHAnsi" w:hAnsiTheme="minorHAnsi" w:cstheme="minorHAnsi"/>
          <w:color w:val="001A70" w:themeColor="text2"/>
        </w:rPr>
        <w:t xml:space="preserve">clinical relationship with their telehealth </w:t>
      </w:r>
      <w:proofErr w:type="gramStart"/>
      <w:r w:rsidRPr="002C7966">
        <w:rPr>
          <w:rFonts w:asciiTheme="minorHAnsi" w:hAnsiTheme="minorHAnsi" w:cstheme="minorHAnsi"/>
          <w:color w:val="001A70" w:themeColor="text2"/>
        </w:rPr>
        <w:t>patients, or</w:t>
      </w:r>
      <w:proofErr w:type="gramEnd"/>
      <w:r w:rsidRPr="002C7966">
        <w:rPr>
          <w:rFonts w:asciiTheme="minorHAnsi" w:hAnsiTheme="minorHAnsi" w:cstheme="minorHAnsi"/>
          <w:color w:val="001A70" w:themeColor="text2"/>
        </w:rPr>
        <w:t xml:space="preserve"> be able to explain how their patients qualify for exemptions to this requirement. Additional detail is in the ‘GPs and Other Medical Practitioners’ factsheet.</w:t>
      </w:r>
    </w:p>
    <w:p w14:paraId="3A768F02" w14:textId="3B9694D6" w:rsidR="00EB7772" w:rsidRPr="002C7966" w:rsidRDefault="00EB7772" w:rsidP="00EB7772">
      <w:pPr>
        <w:spacing w:before="200" w:after="120" w:line="276" w:lineRule="auto"/>
        <w:rPr>
          <w:rFonts w:asciiTheme="minorHAnsi" w:hAnsiTheme="minorHAnsi" w:cstheme="minorHAnsi"/>
          <w:color w:val="001A70" w:themeColor="text2"/>
        </w:rPr>
      </w:pPr>
      <w:r w:rsidRPr="002C7966">
        <w:rPr>
          <w:rFonts w:asciiTheme="minorHAnsi" w:hAnsiTheme="minorHAnsi" w:cstheme="minorHAnsi"/>
          <w:color w:val="001A70" w:themeColor="text2"/>
        </w:rPr>
        <w:t xml:space="preserve">The telehealth MBS items can substitute for current face-to-face consultations </w:t>
      </w:r>
      <w:r w:rsidR="003101C2" w:rsidRPr="002C7966">
        <w:rPr>
          <w:rFonts w:asciiTheme="minorHAnsi" w:hAnsiTheme="minorHAnsi" w:cstheme="minorHAnsi"/>
          <w:color w:val="001A70" w:themeColor="text2"/>
        </w:rPr>
        <w:t xml:space="preserve">where it’s clinically appropriate and safe to do so. </w:t>
      </w:r>
      <w:r w:rsidRPr="002C7966">
        <w:rPr>
          <w:rFonts w:asciiTheme="minorHAnsi" w:hAnsiTheme="minorHAnsi" w:cstheme="minorHAnsi"/>
          <w:color w:val="001A70" w:themeColor="text2"/>
        </w:rPr>
        <w:t xml:space="preserve">Providers should use their provider number for their primary </w:t>
      </w:r>
      <w:proofErr w:type="gramStart"/>
      <w:r w:rsidRPr="002C7966">
        <w:rPr>
          <w:rFonts w:asciiTheme="minorHAnsi" w:hAnsiTheme="minorHAnsi" w:cstheme="minorHAnsi"/>
          <w:color w:val="001A70" w:themeColor="text2"/>
        </w:rPr>
        <w:t>location, and</w:t>
      </w:r>
      <w:proofErr w:type="gramEnd"/>
      <w:r w:rsidRPr="002C7966">
        <w:rPr>
          <w:rFonts w:asciiTheme="minorHAnsi" w:hAnsiTheme="minorHAnsi" w:cstheme="minorHAnsi"/>
          <w:color w:val="001A70" w:themeColor="text2"/>
        </w:rPr>
        <w:t xml:space="preserve"> must provide safe services in accordance with normal professional standards.</w:t>
      </w:r>
    </w:p>
    <w:p w14:paraId="7F528EB7" w14:textId="072229CE" w:rsidR="00C55B45" w:rsidRPr="002C7966" w:rsidRDefault="00A13B52" w:rsidP="00A13B52">
      <w:pPr>
        <w:spacing w:line="276" w:lineRule="auto"/>
        <w:rPr>
          <w:rFonts w:asciiTheme="minorHAnsi" w:hAnsiTheme="minorHAnsi" w:cstheme="minorHAnsi"/>
          <w:color w:val="001A70" w:themeColor="text2"/>
          <w:sz w:val="24"/>
        </w:rPr>
      </w:pPr>
      <w:r w:rsidRPr="002C7966">
        <w:rPr>
          <w:rFonts w:asciiTheme="minorHAnsi" w:hAnsiTheme="minorHAnsi" w:cstheme="minorHAnsi"/>
          <w:color w:val="001A70" w:themeColor="text2"/>
          <w:szCs w:val="20"/>
        </w:rPr>
        <w:t>The MBS telehealth items have the same clinical requirements as the corresponding face-to-face consultation items. As Medicare regulations are progressively updated, telehealth items for GP and OMPS will list a rebate that is 100% of the equivalent face-to-face fee</w:t>
      </w:r>
      <w:r w:rsidRPr="002C7966">
        <w:rPr>
          <w:rFonts w:asciiTheme="minorHAnsi" w:hAnsiTheme="minorHAnsi" w:cstheme="minorHAnsi"/>
          <w:color w:val="001A70" w:themeColor="text2"/>
          <w:sz w:val="24"/>
        </w:rPr>
        <w:t>.</w:t>
      </w:r>
    </w:p>
    <w:p w14:paraId="16065769" w14:textId="77777777" w:rsidR="00BB4F1C" w:rsidRPr="002C7966" w:rsidRDefault="00BB4F1C" w:rsidP="00A01ECA">
      <w:pPr>
        <w:pStyle w:val="Heading2"/>
        <w:rPr>
          <w:rFonts w:asciiTheme="minorHAnsi" w:hAnsiTheme="minorHAnsi" w:cstheme="minorHAnsi"/>
        </w:rPr>
      </w:pPr>
      <w:r w:rsidRPr="002C7966">
        <w:rPr>
          <w:rFonts w:asciiTheme="minorHAnsi" w:hAnsiTheme="minorHAnsi" w:cstheme="minorHAnsi"/>
        </w:rPr>
        <w:t>How will these changes affect patients?</w:t>
      </w:r>
    </w:p>
    <w:p w14:paraId="52F38106" w14:textId="153BB87A" w:rsidR="00690292" w:rsidRPr="002C7966" w:rsidRDefault="00690292" w:rsidP="00FC5285">
      <w:pPr>
        <w:rPr>
          <w:rFonts w:asciiTheme="minorHAnsi" w:hAnsiTheme="minorHAnsi" w:cstheme="minorHAnsi"/>
          <w:color w:val="001A70" w:themeColor="text2"/>
        </w:rPr>
      </w:pPr>
      <w:r w:rsidRPr="002C7966">
        <w:rPr>
          <w:rFonts w:asciiTheme="minorHAnsi" w:hAnsiTheme="minorHAnsi" w:cstheme="minorHAnsi"/>
          <w:color w:val="001A70" w:themeColor="text2"/>
        </w:rPr>
        <w:t>P</w:t>
      </w:r>
      <w:r w:rsidR="00B330DC" w:rsidRPr="002C7966">
        <w:rPr>
          <w:rFonts w:asciiTheme="minorHAnsi" w:hAnsiTheme="minorHAnsi" w:cstheme="minorHAnsi"/>
          <w:color w:val="001A70" w:themeColor="text2"/>
        </w:rPr>
        <w:t>atients should ask their service providers about their telehealth options, where clinically appropriate.</w:t>
      </w:r>
    </w:p>
    <w:p w14:paraId="1D728495" w14:textId="69060C7D" w:rsidR="001B44D0" w:rsidRPr="002C7966" w:rsidRDefault="002C7966" w:rsidP="005114EC">
      <w:pPr>
        <w:rPr>
          <w:rFonts w:asciiTheme="minorHAnsi" w:eastAsiaTheme="minorHAnsi" w:hAnsiTheme="minorHAnsi" w:cstheme="minorHAnsi"/>
          <w:color w:val="001A70" w:themeColor="text2"/>
          <w:szCs w:val="20"/>
        </w:rPr>
      </w:pPr>
      <w:r w:rsidRPr="002C7966">
        <w:rPr>
          <w:rFonts w:asciiTheme="minorHAnsi" w:eastAsiaTheme="minorHAnsi" w:hAnsiTheme="minorHAnsi" w:cstheme="minorHAnsi"/>
          <w:color w:val="001A70" w:themeColor="text2"/>
          <w:szCs w:val="20"/>
        </w:rPr>
        <w:t>Patient’s</w:t>
      </w:r>
      <w:r w:rsidR="00E71A20" w:rsidRPr="002C7966">
        <w:rPr>
          <w:rFonts w:asciiTheme="minorHAnsi" w:eastAsiaTheme="minorHAnsi" w:hAnsiTheme="minorHAnsi" w:cstheme="minorHAnsi"/>
          <w:color w:val="001A70" w:themeColor="text2"/>
          <w:szCs w:val="20"/>
        </w:rPr>
        <w:t xml:space="preserve"> </w:t>
      </w:r>
      <w:r w:rsidRPr="002C7966">
        <w:rPr>
          <w:rFonts w:asciiTheme="minorHAnsi" w:eastAsiaTheme="minorHAnsi" w:hAnsiTheme="minorHAnsi" w:cstheme="minorHAnsi"/>
          <w:color w:val="001A70" w:themeColor="text2"/>
          <w:szCs w:val="20"/>
        </w:rPr>
        <w:t>eligibility requirements for these services continue as per the 1 July 2020 telehealth arrangements, this means eligibility for telehealth will not change on 1 January 2022.</w:t>
      </w:r>
    </w:p>
    <w:p w14:paraId="708A70CC" w14:textId="74B9F82B" w:rsidR="00BB4F1C" w:rsidRPr="002C7966" w:rsidRDefault="00BB4F1C" w:rsidP="00A01ECA">
      <w:pPr>
        <w:pStyle w:val="Heading2"/>
        <w:rPr>
          <w:rFonts w:asciiTheme="minorHAnsi" w:hAnsiTheme="minorHAnsi" w:cstheme="minorHAnsi"/>
        </w:rPr>
      </w:pPr>
      <w:r w:rsidRPr="002C7966">
        <w:rPr>
          <w:rFonts w:asciiTheme="minorHAnsi" w:hAnsiTheme="minorHAnsi" w:cstheme="minorHAnsi"/>
        </w:rPr>
        <w:t>Who was consulted on the changes?</w:t>
      </w:r>
    </w:p>
    <w:p w14:paraId="277C1624" w14:textId="77777777" w:rsidR="00305203" w:rsidRPr="002C7966" w:rsidRDefault="00305203" w:rsidP="00305203">
      <w:pPr>
        <w:shd w:val="clear" w:color="auto" w:fill="FFFFFF"/>
        <w:spacing w:line="276" w:lineRule="auto"/>
        <w:rPr>
          <w:rFonts w:asciiTheme="minorHAnsi" w:eastAsiaTheme="minorHAnsi" w:hAnsiTheme="minorHAnsi" w:cstheme="minorHAnsi"/>
          <w:color w:val="001A70" w:themeColor="text2"/>
          <w:szCs w:val="20"/>
        </w:rPr>
      </w:pPr>
      <w:r w:rsidRPr="002C7966">
        <w:rPr>
          <w:rFonts w:asciiTheme="minorHAnsi" w:hAnsiTheme="minorHAnsi" w:cstheme="minorHAnsi"/>
          <w:color w:val="001A70" w:themeColor="text2"/>
          <w:szCs w:val="20"/>
        </w:rPr>
        <w:t xml:space="preserve">Consultation with stakeholders has informed the introduction and refinement of MBS telehealth items. </w:t>
      </w:r>
      <w:r w:rsidRPr="002C7966">
        <w:rPr>
          <w:rFonts w:asciiTheme="minorHAnsi" w:eastAsiaTheme="minorHAnsi" w:hAnsiTheme="minorHAnsi" w:cstheme="minorHAnsi"/>
          <w:color w:val="001A70" w:themeColor="text2"/>
          <w:szCs w:val="20"/>
        </w:rPr>
        <w:t xml:space="preserve">The transition to permanent arrangements has also been informed by medical experts and key stakeholders within the health sector.  </w:t>
      </w:r>
    </w:p>
    <w:p w14:paraId="0F1CB448" w14:textId="206EA2AC" w:rsidR="002F680A" w:rsidRPr="002C7966" w:rsidRDefault="002F680A">
      <w:pPr>
        <w:pStyle w:val="Heading2"/>
        <w:rPr>
          <w:rFonts w:asciiTheme="minorHAnsi" w:hAnsiTheme="minorHAnsi" w:cstheme="minorHAnsi"/>
        </w:rPr>
      </w:pPr>
      <w:r w:rsidRPr="002C7966">
        <w:rPr>
          <w:rFonts w:asciiTheme="minorHAnsi" w:hAnsiTheme="minorHAnsi" w:cstheme="minorHAnsi"/>
        </w:rPr>
        <w:t>How will the changes be monitored and reviewed?</w:t>
      </w:r>
    </w:p>
    <w:p w14:paraId="34EFFA14" w14:textId="5A187C21" w:rsidR="00AD0F71" w:rsidRPr="002C7966" w:rsidRDefault="00E71A20" w:rsidP="00C11709">
      <w:pPr>
        <w:spacing w:line="276" w:lineRule="auto"/>
        <w:rPr>
          <w:rFonts w:asciiTheme="minorHAnsi" w:hAnsiTheme="minorHAnsi" w:cstheme="minorHAnsi"/>
          <w:color w:val="001A70" w:themeColor="text2"/>
          <w:sz w:val="28"/>
        </w:rPr>
      </w:pPr>
      <w:r w:rsidRPr="002C7966">
        <w:rPr>
          <w:rFonts w:asciiTheme="minorHAnsi" w:hAnsiTheme="minorHAnsi" w:cstheme="minorHAnsi"/>
          <w:color w:val="001A70" w:themeColor="text2"/>
        </w:rPr>
        <w:lastRenderedPageBreak/>
        <w:t>The Department of Health continues to monitor the use of the MBS telehealth items. Use of the items that does not seem to be in accordance with the relevant Medicare guidelines and legislation will be actioned appropriately</w:t>
      </w:r>
      <w:r w:rsidR="002F680A" w:rsidRPr="002C7966">
        <w:rPr>
          <w:rFonts w:asciiTheme="minorHAnsi" w:hAnsiTheme="minorHAnsi" w:cstheme="minorHAnsi"/>
          <w:color w:val="001A70" w:themeColor="text2"/>
        </w:rPr>
        <w:t>.</w:t>
      </w:r>
    </w:p>
    <w:p w14:paraId="4852C4EA" w14:textId="33D2B17E" w:rsidR="002F680A" w:rsidRPr="002C7966" w:rsidRDefault="002F680A" w:rsidP="00A01ECA">
      <w:pPr>
        <w:pStyle w:val="Heading2"/>
        <w:rPr>
          <w:rFonts w:asciiTheme="minorHAnsi" w:hAnsiTheme="minorHAnsi" w:cstheme="minorHAnsi"/>
        </w:rPr>
      </w:pPr>
      <w:r w:rsidRPr="002C7966">
        <w:rPr>
          <w:rFonts w:asciiTheme="minorHAnsi" w:hAnsiTheme="minorHAnsi" w:cstheme="minorHAnsi"/>
        </w:rPr>
        <w:t>Where can I find more information?</w:t>
      </w:r>
    </w:p>
    <w:p w14:paraId="629F029F" w14:textId="77777777" w:rsidR="00A13B52" w:rsidRPr="002C7966" w:rsidRDefault="00A13B52" w:rsidP="00A13B52">
      <w:pPr>
        <w:spacing w:line="276" w:lineRule="auto"/>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 xml:space="preserve">The full item descriptors and information on other changes to the MBS can be found on the MBS Online website at </w:t>
      </w:r>
      <w:hyperlink r:id="rId11" w:tooltip="Link to MBS item descriptors on MBS Online website" w:history="1">
        <w:r w:rsidRPr="002C7966">
          <w:rPr>
            <w:rStyle w:val="Hyperlink"/>
            <w:rFonts w:asciiTheme="minorHAnsi" w:hAnsiTheme="minorHAnsi" w:cstheme="minorHAnsi"/>
            <w:color w:val="001A70" w:themeColor="text2"/>
            <w:szCs w:val="20"/>
          </w:rPr>
          <w:t>www.mbsonline.gov.au</w:t>
        </w:r>
      </w:hyperlink>
      <w:r w:rsidRPr="002C7966">
        <w:rPr>
          <w:rStyle w:val="Hyperlink"/>
          <w:rFonts w:asciiTheme="minorHAnsi" w:hAnsiTheme="minorHAnsi" w:cstheme="minorHAnsi"/>
          <w:color w:val="001A70" w:themeColor="text2"/>
          <w:szCs w:val="20"/>
        </w:rPr>
        <w:t>.</w:t>
      </w:r>
      <w:r w:rsidRPr="002C7966">
        <w:rPr>
          <w:rFonts w:asciiTheme="minorHAnsi" w:hAnsiTheme="minorHAnsi" w:cstheme="minorHAnsi"/>
          <w:color w:val="001A70" w:themeColor="text2"/>
          <w:szCs w:val="20"/>
        </w:rPr>
        <w:t xml:space="preserve"> You can also subscribe to future MBS updates by visiting </w:t>
      </w:r>
      <w:hyperlink r:id="rId12" w:history="1">
        <w:r w:rsidRPr="002C7966">
          <w:rPr>
            <w:rStyle w:val="Hyperlink"/>
            <w:rFonts w:asciiTheme="minorHAnsi" w:hAnsiTheme="minorHAnsi" w:cstheme="minorHAnsi"/>
            <w:color w:val="001A70" w:themeColor="text2"/>
            <w:szCs w:val="20"/>
          </w:rPr>
          <w:t>MBS Online</w:t>
        </w:r>
      </w:hyperlink>
      <w:r w:rsidRPr="002C7966">
        <w:rPr>
          <w:rFonts w:asciiTheme="minorHAnsi" w:hAnsiTheme="minorHAnsi" w:cstheme="minorHAnsi"/>
          <w:color w:val="001A70" w:themeColor="text2"/>
          <w:szCs w:val="20"/>
        </w:rPr>
        <w:t xml:space="preserve"> and clicking ‘Subscribe’. </w:t>
      </w:r>
    </w:p>
    <w:p w14:paraId="09347B03" w14:textId="77777777" w:rsidR="00A13B52" w:rsidRPr="002C7966" w:rsidRDefault="00A13B52" w:rsidP="00A13B52">
      <w:pPr>
        <w:spacing w:line="276" w:lineRule="auto"/>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3" w:history="1">
        <w:r w:rsidRPr="002C7966">
          <w:rPr>
            <w:rStyle w:val="Hyperlink"/>
            <w:rFonts w:asciiTheme="minorHAnsi" w:hAnsiTheme="minorHAnsi" w:cstheme="minorHAnsi"/>
            <w:color w:val="001A70" w:themeColor="text2"/>
            <w:szCs w:val="20"/>
          </w:rPr>
          <w:t>askMBS@health.gov.au</w:t>
        </w:r>
      </w:hyperlink>
      <w:r w:rsidRPr="002C7966">
        <w:rPr>
          <w:rFonts w:asciiTheme="minorHAnsi" w:hAnsiTheme="minorHAnsi" w:cstheme="minorHAnsi"/>
          <w:color w:val="001A70" w:themeColor="text2"/>
          <w:szCs w:val="20"/>
        </w:rPr>
        <w:t>.</w:t>
      </w:r>
    </w:p>
    <w:p w14:paraId="3D5FCF1F" w14:textId="4AAD8246" w:rsidR="00A13B52" w:rsidRPr="002C7966" w:rsidRDefault="00A13B52" w:rsidP="00A13B52">
      <w:pPr>
        <w:spacing w:line="276" w:lineRule="auto"/>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 xml:space="preserve">If you are seeking advice in relation to Medicare billing, claiming, payments, or obtaining a provider number, please </w:t>
      </w:r>
      <w:bookmarkStart w:id="1" w:name="_Hlk7773414"/>
      <w:r w:rsidRPr="002C7966">
        <w:rPr>
          <w:rFonts w:asciiTheme="minorHAnsi" w:hAnsiTheme="minorHAnsi" w:cstheme="minorHAnsi"/>
          <w:color w:val="001A70" w:themeColor="text2"/>
          <w:szCs w:val="20"/>
        </w:rPr>
        <w:t xml:space="preserve">go to the Health Professionals page on the Services Australia website or </w:t>
      </w:r>
      <w:bookmarkEnd w:id="1"/>
      <w:r w:rsidRPr="002C7966">
        <w:rPr>
          <w:rFonts w:asciiTheme="minorHAnsi" w:hAnsiTheme="minorHAnsi" w:cstheme="minorHAnsi"/>
          <w:color w:val="001A70" w:themeColor="text2"/>
          <w:szCs w:val="20"/>
        </w:rPr>
        <w:t xml:space="preserve">contact Services Australia on the Provider Enquiry Line – 13 21 50. </w:t>
      </w:r>
    </w:p>
    <w:p w14:paraId="00F9F0A9" w14:textId="637F0F56" w:rsidR="00BB4F1C" w:rsidRPr="002C7966" w:rsidRDefault="00BB4F1C" w:rsidP="00BB4F1C">
      <w:pPr>
        <w:ind w:left="567" w:right="1394"/>
        <w:rPr>
          <w:rFonts w:asciiTheme="minorHAnsi" w:hAnsiTheme="minorHAnsi" w:cstheme="minorHAnsi"/>
          <w:i/>
          <w:color w:val="001A70" w:themeColor="text2"/>
          <w:sz w:val="16"/>
          <w:szCs w:val="16"/>
        </w:rPr>
      </w:pPr>
      <w:r w:rsidRPr="002C7966">
        <w:rPr>
          <w:rFonts w:asciiTheme="minorHAnsi" w:hAnsiTheme="minorHAnsi" w:cstheme="minorHAnsi"/>
          <w:i/>
          <w:color w:val="001A70" w:themeColor="text2"/>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1E02525" w14:textId="7DFA8D46" w:rsidR="00AA1581" w:rsidRPr="002C7966" w:rsidRDefault="00BB4F1C" w:rsidP="00AA1581">
      <w:pPr>
        <w:ind w:left="567" w:right="1394"/>
        <w:rPr>
          <w:rFonts w:asciiTheme="minorHAnsi" w:hAnsiTheme="minorHAnsi" w:cstheme="minorHAnsi"/>
          <w:i/>
          <w:color w:val="001A70" w:themeColor="text2"/>
          <w:sz w:val="16"/>
          <w:szCs w:val="16"/>
        </w:rPr>
      </w:pPr>
      <w:r w:rsidRPr="002C7966">
        <w:rPr>
          <w:rFonts w:asciiTheme="minorHAnsi" w:hAnsiTheme="minorHAnsi" w:cstheme="minorHAnsi"/>
          <w:i/>
          <w:color w:val="001A70" w:themeColor="text2"/>
          <w:sz w:val="16"/>
          <w:szCs w:val="16"/>
        </w:rPr>
        <w:t xml:space="preserve">This sheet is current as of the last updated date shown </w:t>
      </w:r>
      <w:proofErr w:type="gramStart"/>
      <w:r w:rsidRPr="002C7966">
        <w:rPr>
          <w:rFonts w:asciiTheme="minorHAnsi" w:hAnsiTheme="minorHAnsi" w:cstheme="minorHAnsi"/>
          <w:i/>
          <w:color w:val="001A70" w:themeColor="text2"/>
          <w:sz w:val="16"/>
          <w:szCs w:val="16"/>
        </w:rPr>
        <w:t>above, and</w:t>
      </w:r>
      <w:proofErr w:type="gramEnd"/>
      <w:r w:rsidRPr="002C7966">
        <w:rPr>
          <w:rFonts w:asciiTheme="minorHAnsi" w:hAnsiTheme="minorHAnsi" w:cstheme="minorHAnsi"/>
          <w:i/>
          <w:color w:val="001A70" w:themeColor="text2"/>
          <w:sz w:val="16"/>
          <w:szCs w:val="16"/>
        </w:rPr>
        <w:t xml:space="preserve"> does not account for MBS changes since that date.</w:t>
      </w:r>
    </w:p>
    <w:p w14:paraId="1D5058E1" w14:textId="0543C1C5" w:rsidR="00AA1581" w:rsidRPr="002C7966" w:rsidRDefault="00AA1581" w:rsidP="00AA1581">
      <w:pPr>
        <w:spacing w:line="259" w:lineRule="auto"/>
        <w:rPr>
          <w:rFonts w:asciiTheme="minorHAnsi" w:hAnsiTheme="minorHAnsi" w:cstheme="minorHAnsi"/>
          <w:i/>
          <w:color w:val="001A70" w:themeColor="text2"/>
          <w:sz w:val="16"/>
          <w:szCs w:val="16"/>
        </w:rPr>
      </w:pPr>
      <w:r w:rsidRPr="002C7966">
        <w:rPr>
          <w:rFonts w:asciiTheme="minorHAnsi" w:hAnsiTheme="minorHAnsi" w:cstheme="minorHAnsi"/>
          <w:i/>
          <w:color w:val="001A70" w:themeColor="text2"/>
          <w:sz w:val="16"/>
          <w:szCs w:val="16"/>
        </w:rPr>
        <w:br w:type="page"/>
      </w:r>
    </w:p>
    <w:p w14:paraId="20AECD09" w14:textId="67116E56" w:rsidR="00BB4F1C" w:rsidRPr="002C7966" w:rsidRDefault="00BB4F1C" w:rsidP="00AA1581">
      <w:pPr>
        <w:spacing w:line="259" w:lineRule="auto"/>
        <w:jc w:val="center"/>
        <w:rPr>
          <w:rFonts w:asciiTheme="minorHAnsi" w:hAnsiTheme="minorHAnsi" w:cstheme="minorHAnsi"/>
          <w:b/>
          <w:color w:val="001A70" w:themeColor="text2"/>
          <w:sz w:val="28"/>
        </w:rPr>
      </w:pPr>
      <w:r w:rsidRPr="002C7966">
        <w:rPr>
          <w:rFonts w:asciiTheme="minorHAnsi" w:hAnsiTheme="minorHAnsi" w:cstheme="minorHAnsi"/>
          <w:b/>
          <w:color w:val="001A70" w:themeColor="text2"/>
          <w:sz w:val="28"/>
        </w:rPr>
        <w:lastRenderedPageBreak/>
        <w:t>MBS TELEHEALTH ITEMS</w:t>
      </w:r>
    </w:p>
    <w:p w14:paraId="62BA352F" w14:textId="249BE470" w:rsidR="00AA1581" w:rsidRPr="002C7966" w:rsidRDefault="00AA1581" w:rsidP="00AA1581">
      <w:pPr>
        <w:pStyle w:val="Caption"/>
        <w:keepNext/>
        <w:rPr>
          <w:rFonts w:asciiTheme="minorHAnsi" w:hAnsiTheme="minorHAnsi" w:cstheme="minorHAnsi"/>
          <w:i w:val="0"/>
          <w:sz w:val="20"/>
          <w:szCs w:val="20"/>
        </w:rPr>
      </w:pPr>
      <w:r w:rsidRPr="002C7966">
        <w:rPr>
          <w:rFonts w:asciiTheme="minorHAnsi" w:hAnsiTheme="minorHAnsi" w:cstheme="minorHAnsi"/>
          <w:i w:val="0"/>
          <w:sz w:val="20"/>
          <w:szCs w:val="20"/>
        </w:rPr>
        <w:t xml:space="preserve">Table </w:t>
      </w:r>
      <w:r w:rsidR="007C0598" w:rsidRPr="002C7966">
        <w:rPr>
          <w:rFonts w:asciiTheme="minorHAnsi" w:hAnsiTheme="minorHAnsi" w:cstheme="minorHAnsi"/>
          <w:i w:val="0"/>
          <w:sz w:val="20"/>
          <w:szCs w:val="20"/>
        </w:rPr>
        <w:fldChar w:fldCharType="begin"/>
      </w:r>
      <w:r w:rsidR="007C0598" w:rsidRPr="002C7966">
        <w:rPr>
          <w:rFonts w:asciiTheme="minorHAnsi" w:hAnsiTheme="minorHAnsi" w:cstheme="minorHAnsi"/>
          <w:i w:val="0"/>
          <w:sz w:val="20"/>
          <w:szCs w:val="20"/>
        </w:rPr>
        <w:instrText xml:space="preserve"> SEQ Table \* ARABIC </w:instrText>
      </w:r>
      <w:r w:rsidR="007C0598" w:rsidRPr="002C7966">
        <w:rPr>
          <w:rFonts w:asciiTheme="minorHAnsi" w:hAnsiTheme="minorHAnsi" w:cstheme="minorHAnsi"/>
          <w:i w:val="0"/>
          <w:sz w:val="20"/>
          <w:szCs w:val="20"/>
        </w:rPr>
        <w:fldChar w:fldCharType="separate"/>
      </w:r>
      <w:r w:rsidR="00BA624E" w:rsidRPr="002C7966">
        <w:rPr>
          <w:rFonts w:asciiTheme="minorHAnsi" w:hAnsiTheme="minorHAnsi" w:cstheme="minorHAnsi"/>
          <w:i w:val="0"/>
          <w:noProof/>
          <w:sz w:val="20"/>
          <w:szCs w:val="20"/>
        </w:rPr>
        <w:t>1</w:t>
      </w:r>
      <w:r w:rsidR="007C0598" w:rsidRPr="002C7966">
        <w:rPr>
          <w:rFonts w:asciiTheme="minorHAnsi" w:hAnsiTheme="minorHAnsi" w:cstheme="minorHAnsi"/>
          <w:i w:val="0"/>
          <w:noProof/>
          <w:sz w:val="20"/>
          <w:szCs w:val="20"/>
        </w:rPr>
        <w:fldChar w:fldCharType="end"/>
      </w:r>
      <w:r w:rsidRPr="002C7966">
        <w:rPr>
          <w:rFonts w:asciiTheme="minorHAnsi" w:hAnsiTheme="minorHAnsi" w:cstheme="minorHAnsi"/>
          <w:i w:val="0"/>
          <w:sz w:val="20"/>
          <w:szCs w:val="20"/>
        </w:rPr>
        <w:t xml:space="preserve">. Obstetricians, GPs, Midwives, Nurses or Aboriginal and Torres Strait Islander health practitioner </w:t>
      </w:r>
      <w:r w:rsidR="00905AF7" w:rsidRPr="002C7966">
        <w:rPr>
          <w:rFonts w:asciiTheme="minorHAnsi" w:hAnsiTheme="minorHAnsi" w:cstheme="minorHAnsi"/>
          <w:i w:val="0"/>
          <w:sz w:val="20"/>
          <w:szCs w:val="20"/>
        </w:rPr>
        <w:t>continuing telehealth services</w:t>
      </w:r>
    </w:p>
    <w:tbl>
      <w:tblPr>
        <w:tblStyle w:val="TableGrid"/>
        <w:tblW w:w="5000" w:type="pct"/>
        <w:tblLook w:val="04A0" w:firstRow="1" w:lastRow="0" w:firstColumn="1" w:lastColumn="0" w:noHBand="0" w:noVBand="1"/>
        <w:tblCaption w:val="Table 1. Obstetricians, GPs, Midwives, Nurses or Aboriginal and Torres Strait Islander health practitioner services introduced 13 March 2020"/>
        <w:tblDescription w:val="A table showing obstetricians, GPs, midwives, nurses or aboriginal and torres strait islander health practitioner services introduced 13 March 2020, with separate columns for existing (face-to-face) items, telehealth (videoconferance) items and telephone items."/>
      </w:tblPr>
      <w:tblGrid>
        <w:gridCol w:w="4532"/>
        <w:gridCol w:w="1842"/>
        <w:gridCol w:w="1985"/>
        <w:gridCol w:w="2097"/>
      </w:tblGrid>
      <w:tr w:rsidR="005653E6" w:rsidRPr="002C7966" w14:paraId="29C314DC" w14:textId="77777777" w:rsidTr="00DA5F5C">
        <w:trPr>
          <w:tblHeader/>
        </w:trPr>
        <w:tc>
          <w:tcPr>
            <w:tcW w:w="2167" w:type="pct"/>
            <w:shd w:val="clear" w:color="auto" w:fill="D9D9D9" w:themeFill="background1" w:themeFillShade="D9"/>
            <w:vAlign w:val="center"/>
          </w:tcPr>
          <w:p w14:paraId="6626817A" w14:textId="77777777" w:rsidR="004E61E7" w:rsidRPr="002C7966" w:rsidRDefault="004E61E7" w:rsidP="00DA5F5C">
            <w:pPr>
              <w:pStyle w:val="Heading2"/>
              <w:spacing w:before="0" w:after="0" w:line="276" w:lineRule="auto"/>
              <w:outlineLvl w:val="1"/>
              <w:rPr>
                <w:rFonts w:asciiTheme="minorHAnsi" w:hAnsiTheme="minorHAnsi" w:cstheme="minorHAnsi"/>
                <w:b/>
                <w:sz w:val="20"/>
                <w:szCs w:val="20"/>
              </w:rPr>
            </w:pPr>
            <w:r w:rsidRPr="002C7966">
              <w:rPr>
                <w:rFonts w:asciiTheme="minorHAnsi" w:hAnsiTheme="minorHAnsi" w:cstheme="minorHAnsi"/>
                <w:b/>
                <w:sz w:val="20"/>
                <w:szCs w:val="20"/>
              </w:rPr>
              <w:t>Service</w:t>
            </w:r>
          </w:p>
        </w:tc>
        <w:tc>
          <w:tcPr>
            <w:tcW w:w="881" w:type="pct"/>
            <w:shd w:val="clear" w:color="auto" w:fill="D9D9D9" w:themeFill="background1" w:themeFillShade="D9"/>
            <w:vAlign w:val="center"/>
          </w:tcPr>
          <w:p w14:paraId="6E420D05" w14:textId="77777777" w:rsidR="004E61E7" w:rsidRPr="002C7966" w:rsidRDefault="004E61E7" w:rsidP="00DA5F5C">
            <w:pPr>
              <w:pStyle w:val="Heading2"/>
              <w:spacing w:before="0" w:after="0" w:line="276" w:lineRule="auto"/>
              <w:outlineLvl w:val="1"/>
              <w:rPr>
                <w:rFonts w:asciiTheme="minorHAnsi" w:hAnsiTheme="minorHAnsi" w:cstheme="minorHAnsi"/>
                <w:i/>
              </w:rPr>
            </w:pPr>
            <w:r w:rsidRPr="002C7966">
              <w:rPr>
                <w:rFonts w:asciiTheme="minorHAnsi" w:hAnsiTheme="minorHAnsi" w:cstheme="minorHAnsi"/>
                <w:b/>
                <w:sz w:val="20"/>
              </w:rPr>
              <w:t>Existing Items</w:t>
            </w:r>
            <w:r w:rsidRPr="002C7966">
              <w:rPr>
                <w:rFonts w:asciiTheme="minorHAnsi" w:hAnsiTheme="minorHAnsi" w:cstheme="minorHAnsi"/>
                <w:b/>
                <w:sz w:val="20"/>
                <w:szCs w:val="20"/>
              </w:rPr>
              <w:t xml:space="preserve"> </w:t>
            </w:r>
            <w:r w:rsidRPr="002C7966">
              <w:rPr>
                <w:rFonts w:asciiTheme="minorHAnsi" w:hAnsiTheme="minorHAnsi" w:cstheme="minorHAnsi"/>
                <w:i/>
                <w:sz w:val="20"/>
                <w:szCs w:val="20"/>
              </w:rPr>
              <w:t>face to face</w:t>
            </w:r>
          </w:p>
        </w:tc>
        <w:tc>
          <w:tcPr>
            <w:tcW w:w="949" w:type="pct"/>
            <w:shd w:val="clear" w:color="auto" w:fill="D9D9D9" w:themeFill="background1" w:themeFillShade="D9"/>
            <w:vAlign w:val="center"/>
          </w:tcPr>
          <w:p w14:paraId="76FA61A3" w14:textId="0B976380" w:rsidR="004E61E7" w:rsidRPr="002C7966" w:rsidRDefault="004E61E7" w:rsidP="00DA5F5C">
            <w:pPr>
              <w:pStyle w:val="Heading2"/>
              <w:spacing w:before="0" w:after="0" w:line="276" w:lineRule="auto"/>
              <w:outlineLvl w:val="1"/>
              <w:rPr>
                <w:rFonts w:asciiTheme="minorHAnsi" w:hAnsiTheme="minorHAnsi" w:cstheme="minorHAnsi"/>
                <w:b/>
              </w:rPr>
            </w:pPr>
            <w:r w:rsidRPr="002C7966">
              <w:rPr>
                <w:rFonts w:asciiTheme="minorHAnsi" w:hAnsiTheme="minorHAnsi" w:cstheme="minorHAnsi"/>
                <w:b/>
                <w:sz w:val="20"/>
              </w:rPr>
              <w:t>Telehealth items</w:t>
            </w:r>
            <w:r w:rsidR="00054025" w:rsidRPr="002C7966">
              <w:rPr>
                <w:rFonts w:asciiTheme="minorHAnsi" w:hAnsiTheme="minorHAnsi" w:cstheme="minorHAnsi"/>
                <w:b/>
                <w:sz w:val="20"/>
                <w:szCs w:val="20"/>
              </w:rPr>
              <w:t xml:space="preserve"> </w:t>
            </w:r>
            <w:r w:rsidR="00054025" w:rsidRPr="002C7966">
              <w:rPr>
                <w:rFonts w:asciiTheme="minorHAnsi" w:hAnsiTheme="minorHAnsi" w:cstheme="minorHAnsi"/>
                <w:i/>
                <w:sz w:val="20"/>
                <w:szCs w:val="20"/>
              </w:rPr>
              <w:t xml:space="preserve">via </w:t>
            </w:r>
            <w:proofErr w:type="gramStart"/>
            <w:r w:rsidR="00054025" w:rsidRPr="002C7966">
              <w:rPr>
                <w:rFonts w:asciiTheme="minorHAnsi" w:hAnsiTheme="minorHAnsi" w:cstheme="minorHAnsi"/>
                <w:i/>
                <w:sz w:val="20"/>
                <w:szCs w:val="20"/>
              </w:rPr>
              <w:t>video-conference</w:t>
            </w:r>
            <w:proofErr w:type="gramEnd"/>
          </w:p>
        </w:tc>
        <w:tc>
          <w:tcPr>
            <w:tcW w:w="1003" w:type="pct"/>
            <w:shd w:val="clear" w:color="auto" w:fill="D9D9D9" w:themeFill="background1" w:themeFillShade="D9"/>
            <w:vAlign w:val="center"/>
          </w:tcPr>
          <w:p w14:paraId="7E80AEE9" w14:textId="49D0CB90" w:rsidR="004E61E7" w:rsidRPr="002C7966" w:rsidRDefault="004E61E7" w:rsidP="00DA5F5C">
            <w:pPr>
              <w:pStyle w:val="Heading2"/>
              <w:spacing w:before="0" w:after="0" w:line="276" w:lineRule="auto"/>
              <w:outlineLvl w:val="1"/>
              <w:rPr>
                <w:rFonts w:asciiTheme="minorHAnsi" w:hAnsiTheme="minorHAnsi" w:cstheme="minorHAnsi"/>
                <w:i/>
                <w:sz w:val="20"/>
                <w:szCs w:val="20"/>
              </w:rPr>
            </w:pPr>
            <w:r w:rsidRPr="002C7966">
              <w:rPr>
                <w:rFonts w:asciiTheme="minorHAnsi" w:hAnsiTheme="minorHAnsi" w:cstheme="minorHAnsi"/>
                <w:b/>
                <w:sz w:val="20"/>
                <w:szCs w:val="20"/>
              </w:rPr>
              <w:t>Telephone items</w:t>
            </w:r>
            <w:r w:rsidRPr="002C7966">
              <w:rPr>
                <w:rFonts w:asciiTheme="minorHAnsi" w:hAnsiTheme="minorHAnsi" w:cstheme="minorHAnsi"/>
                <w:i/>
                <w:sz w:val="20"/>
                <w:szCs w:val="20"/>
              </w:rPr>
              <w:t xml:space="preserve"> – for when </w:t>
            </w:r>
            <w:proofErr w:type="gramStart"/>
            <w:r w:rsidRPr="002C7966">
              <w:rPr>
                <w:rFonts w:asciiTheme="minorHAnsi" w:hAnsiTheme="minorHAnsi" w:cstheme="minorHAnsi"/>
                <w:i/>
                <w:sz w:val="20"/>
                <w:szCs w:val="20"/>
              </w:rPr>
              <w:t>video-conferencing</w:t>
            </w:r>
            <w:proofErr w:type="gramEnd"/>
            <w:r w:rsidRPr="002C7966">
              <w:rPr>
                <w:rFonts w:asciiTheme="minorHAnsi" w:hAnsiTheme="minorHAnsi" w:cstheme="minorHAnsi"/>
                <w:i/>
                <w:sz w:val="20"/>
                <w:szCs w:val="20"/>
              </w:rPr>
              <w:t xml:space="preserve"> is not available</w:t>
            </w:r>
          </w:p>
        </w:tc>
      </w:tr>
      <w:tr w:rsidR="005653E6" w:rsidRPr="002C7966" w14:paraId="0655D73F" w14:textId="77777777" w:rsidTr="00DA5F5C">
        <w:tc>
          <w:tcPr>
            <w:tcW w:w="2167" w:type="pct"/>
            <w:shd w:val="clear" w:color="auto" w:fill="F2F2F2" w:themeFill="background1" w:themeFillShade="F2"/>
            <w:vAlign w:val="center"/>
          </w:tcPr>
          <w:p w14:paraId="3C040B46" w14:textId="7891499F" w:rsidR="004E61E7" w:rsidRPr="002C7966" w:rsidRDefault="004E61E7" w:rsidP="00DA5F5C">
            <w:pPr>
              <w:pStyle w:val="Heading2"/>
              <w:spacing w:before="0" w:after="0" w:line="276" w:lineRule="auto"/>
              <w:outlineLvl w:val="1"/>
              <w:rPr>
                <w:rFonts w:asciiTheme="minorHAnsi" w:hAnsiTheme="minorHAnsi" w:cstheme="minorHAnsi"/>
              </w:rPr>
            </w:pPr>
            <w:r w:rsidRPr="002C7966">
              <w:rPr>
                <w:rFonts w:asciiTheme="minorHAnsi" w:hAnsiTheme="minorHAnsi" w:cstheme="minorHAnsi"/>
                <w:sz w:val="20"/>
              </w:rPr>
              <w:t xml:space="preserve">Antenatal Service </w:t>
            </w:r>
            <w:r w:rsidR="005A0403" w:rsidRPr="002C7966">
              <w:rPr>
                <w:rFonts w:asciiTheme="minorHAnsi" w:hAnsiTheme="minorHAnsi" w:cstheme="minorHAnsi"/>
                <w:sz w:val="20"/>
              </w:rPr>
              <w:t>p</w:t>
            </w:r>
            <w:r w:rsidRPr="002C7966">
              <w:rPr>
                <w:rFonts w:asciiTheme="minorHAnsi" w:hAnsiTheme="minorHAnsi" w:cstheme="minorHAnsi"/>
                <w:sz w:val="20"/>
              </w:rPr>
              <w:t xml:space="preserve">rovided by a Nurse, </w:t>
            </w:r>
            <w:proofErr w:type="gramStart"/>
            <w:r w:rsidRPr="002C7966">
              <w:rPr>
                <w:rFonts w:asciiTheme="minorHAnsi" w:hAnsiTheme="minorHAnsi" w:cstheme="minorHAnsi"/>
                <w:sz w:val="20"/>
              </w:rPr>
              <w:t>Midwife</w:t>
            </w:r>
            <w:proofErr w:type="gramEnd"/>
            <w:r w:rsidRPr="002C7966">
              <w:rPr>
                <w:rFonts w:asciiTheme="minorHAnsi" w:hAnsiTheme="minorHAnsi" w:cstheme="minorHAnsi"/>
                <w:sz w:val="20"/>
              </w:rPr>
              <w:t xml:space="preserve"> or an Aboriginal and Torres Strait Islander health practitioner on behalf of, and under the supervision of, a medical practitioner</w:t>
            </w:r>
          </w:p>
        </w:tc>
        <w:tc>
          <w:tcPr>
            <w:tcW w:w="881" w:type="pct"/>
            <w:shd w:val="clear" w:color="auto" w:fill="auto"/>
            <w:vAlign w:val="center"/>
          </w:tcPr>
          <w:p w14:paraId="02313D9F" w14:textId="6D12533A" w:rsidR="004E61E7" w:rsidRPr="002C7966" w:rsidRDefault="004E61E7" w:rsidP="00DA5F5C">
            <w:pPr>
              <w:pStyle w:val="Heading2"/>
              <w:spacing w:before="0" w:after="0" w:line="276" w:lineRule="auto"/>
              <w:jc w:val="center"/>
              <w:outlineLvl w:val="1"/>
              <w:rPr>
                <w:rFonts w:asciiTheme="minorHAnsi" w:hAnsiTheme="minorHAnsi" w:cstheme="minorHAnsi"/>
              </w:rPr>
            </w:pPr>
            <w:r w:rsidRPr="002C7966">
              <w:rPr>
                <w:rFonts w:asciiTheme="minorHAnsi" w:hAnsiTheme="minorHAnsi" w:cstheme="minorHAnsi"/>
                <w:sz w:val="20"/>
              </w:rPr>
              <w:t>16400</w:t>
            </w:r>
          </w:p>
        </w:tc>
        <w:tc>
          <w:tcPr>
            <w:tcW w:w="949" w:type="pct"/>
            <w:vAlign w:val="center"/>
          </w:tcPr>
          <w:p w14:paraId="3615B14A" w14:textId="77777777" w:rsidR="004E61E7" w:rsidRPr="002C7966" w:rsidRDefault="004E61E7" w:rsidP="00DA5F5C">
            <w:pPr>
              <w:spacing w:line="240" w:lineRule="auto"/>
              <w:jc w:val="center"/>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91850</w:t>
            </w:r>
          </w:p>
        </w:tc>
        <w:tc>
          <w:tcPr>
            <w:tcW w:w="1003" w:type="pct"/>
            <w:vAlign w:val="center"/>
          </w:tcPr>
          <w:p w14:paraId="793F2405" w14:textId="5C879168" w:rsidR="004E61E7" w:rsidRPr="002C7966" w:rsidRDefault="004E61E7" w:rsidP="00DA5F5C">
            <w:pPr>
              <w:spacing w:line="240" w:lineRule="auto"/>
              <w:jc w:val="center"/>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91855</w:t>
            </w:r>
          </w:p>
        </w:tc>
      </w:tr>
      <w:tr w:rsidR="005653E6" w:rsidRPr="002C7966" w14:paraId="595CB538" w14:textId="77777777" w:rsidTr="00DA5F5C">
        <w:tc>
          <w:tcPr>
            <w:tcW w:w="2167" w:type="pct"/>
            <w:shd w:val="clear" w:color="auto" w:fill="F2F2F2" w:themeFill="background1" w:themeFillShade="F2"/>
            <w:vAlign w:val="center"/>
          </w:tcPr>
          <w:p w14:paraId="262F3014" w14:textId="0050AFD0" w:rsidR="004E61E7" w:rsidRPr="002C7966" w:rsidRDefault="004E61E7" w:rsidP="00DA5F5C">
            <w:pPr>
              <w:pStyle w:val="Heading2"/>
              <w:spacing w:before="0" w:after="0" w:line="276" w:lineRule="auto"/>
              <w:outlineLvl w:val="1"/>
              <w:rPr>
                <w:rFonts w:asciiTheme="minorHAnsi" w:hAnsiTheme="minorHAnsi" w:cstheme="minorHAnsi"/>
              </w:rPr>
            </w:pPr>
            <w:r w:rsidRPr="002C7966">
              <w:rPr>
                <w:rFonts w:asciiTheme="minorHAnsi" w:hAnsiTheme="minorHAnsi" w:cstheme="minorHAnsi"/>
                <w:sz w:val="20"/>
                <w:szCs w:val="20"/>
              </w:rPr>
              <w:t xml:space="preserve">Postnatal </w:t>
            </w:r>
            <w:r w:rsidR="00843D1D" w:rsidRPr="002C7966">
              <w:rPr>
                <w:rFonts w:asciiTheme="minorHAnsi" w:hAnsiTheme="minorHAnsi" w:cstheme="minorHAnsi"/>
                <w:sz w:val="20"/>
                <w:szCs w:val="20"/>
              </w:rPr>
              <w:t>attendance</w:t>
            </w:r>
            <w:r w:rsidRPr="002C7966">
              <w:rPr>
                <w:rFonts w:asciiTheme="minorHAnsi" w:hAnsiTheme="minorHAnsi" w:cstheme="minorHAnsi"/>
                <w:sz w:val="20"/>
                <w:szCs w:val="20"/>
              </w:rPr>
              <w:t xml:space="preserve"> </w:t>
            </w:r>
            <w:r w:rsidR="005A0403" w:rsidRPr="002C7966">
              <w:rPr>
                <w:rFonts w:asciiTheme="minorHAnsi" w:hAnsiTheme="minorHAnsi" w:cstheme="minorHAnsi"/>
                <w:sz w:val="20"/>
                <w:szCs w:val="20"/>
              </w:rPr>
              <w:t xml:space="preserve">by </w:t>
            </w:r>
            <w:r w:rsidRPr="002C7966">
              <w:rPr>
                <w:rFonts w:asciiTheme="minorHAnsi" w:hAnsiTheme="minorHAnsi" w:cstheme="minorHAnsi"/>
                <w:sz w:val="20"/>
                <w:szCs w:val="20"/>
              </w:rPr>
              <w:t>an obstetrician or GP</w:t>
            </w:r>
          </w:p>
        </w:tc>
        <w:tc>
          <w:tcPr>
            <w:tcW w:w="881" w:type="pct"/>
            <w:shd w:val="clear" w:color="auto" w:fill="auto"/>
            <w:vAlign w:val="center"/>
          </w:tcPr>
          <w:p w14:paraId="7B543ED6" w14:textId="7B35274A" w:rsidR="004E61E7" w:rsidRPr="002C7966" w:rsidRDefault="004E61E7" w:rsidP="00DA5F5C">
            <w:pPr>
              <w:pStyle w:val="Heading2"/>
              <w:spacing w:before="0" w:after="0" w:line="276" w:lineRule="auto"/>
              <w:jc w:val="center"/>
              <w:outlineLvl w:val="1"/>
              <w:rPr>
                <w:rFonts w:asciiTheme="minorHAnsi" w:hAnsiTheme="minorHAnsi" w:cstheme="minorHAnsi"/>
              </w:rPr>
            </w:pPr>
            <w:r w:rsidRPr="002C7966">
              <w:rPr>
                <w:rFonts w:asciiTheme="minorHAnsi" w:hAnsiTheme="minorHAnsi" w:cstheme="minorHAnsi"/>
                <w:sz w:val="20"/>
              </w:rPr>
              <w:t>16407</w:t>
            </w:r>
          </w:p>
        </w:tc>
        <w:tc>
          <w:tcPr>
            <w:tcW w:w="949" w:type="pct"/>
            <w:vAlign w:val="center"/>
          </w:tcPr>
          <w:p w14:paraId="69FB9432" w14:textId="77777777" w:rsidR="004E61E7" w:rsidRPr="002C7966" w:rsidRDefault="004E61E7" w:rsidP="00DA5F5C">
            <w:pPr>
              <w:spacing w:line="240" w:lineRule="auto"/>
              <w:jc w:val="center"/>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91851</w:t>
            </w:r>
          </w:p>
        </w:tc>
        <w:tc>
          <w:tcPr>
            <w:tcW w:w="1003" w:type="pct"/>
            <w:vAlign w:val="center"/>
          </w:tcPr>
          <w:p w14:paraId="73713720" w14:textId="15239366" w:rsidR="004E61E7" w:rsidRPr="002C7966" w:rsidRDefault="004E61E7" w:rsidP="00DA5F5C">
            <w:pPr>
              <w:spacing w:line="240" w:lineRule="auto"/>
              <w:jc w:val="center"/>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91856</w:t>
            </w:r>
          </w:p>
        </w:tc>
      </w:tr>
      <w:tr w:rsidR="005653E6" w:rsidRPr="002C7966" w14:paraId="45DA2727" w14:textId="77777777" w:rsidTr="00DA5F5C">
        <w:trPr>
          <w:trHeight w:val="184"/>
        </w:trPr>
        <w:tc>
          <w:tcPr>
            <w:tcW w:w="2167" w:type="pct"/>
            <w:shd w:val="clear" w:color="auto" w:fill="F2F2F2" w:themeFill="background1" w:themeFillShade="F2"/>
            <w:vAlign w:val="center"/>
          </w:tcPr>
          <w:p w14:paraId="54A10314" w14:textId="77777777" w:rsidR="004E61E7" w:rsidRPr="002C7966" w:rsidRDefault="004E61E7" w:rsidP="00DA5F5C">
            <w:pPr>
              <w:spacing w:line="276" w:lineRule="auto"/>
              <w:outlineLvl w:val="1"/>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Postnatal attendance by:</w:t>
            </w:r>
          </w:p>
          <w:p w14:paraId="3FFFF905" w14:textId="77777777" w:rsidR="004E61E7" w:rsidRPr="002C7966" w:rsidRDefault="004E61E7" w:rsidP="00DA5F5C">
            <w:pPr>
              <w:spacing w:line="276" w:lineRule="auto"/>
              <w:outlineLvl w:val="1"/>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w:t>
            </w:r>
            <w:proofErr w:type="spellStart"/>
            <w:r w:rsidRPr="002C7966">
              <w:rPr>
                <w:rFonts w:asciiTheme="minorHAnsi" w:hAnsiTheme="minorHAnsi" w:cstheme="minorHAnsi"/>
                <w:color w:val="001A70" w:themeColor="text2"/>
                <w:szCs w:val="20"/>
              </w:rPr>
              <w:t>i</w:t>
            </w:r>
            <w:proofErr w:type="spellEnd"/>
            <w:r w:rsidRPr="002C7966">
              <w:rPr>
                <w:rFonts w:asciiTheme="minorHAnsi" w:hAnsiTheme="minorHAnsi" w:cstheme="minorHAnsi"/>
                <w:color w:val="001A70" w:themeColor="text2"/>
                <w:szCs w:val="20"/>
              </w:rPr>
              <w:t>) a midwife (on behalf of and under the supervision of the medical practitioner who attended the birth); or</w:t>
            </w:r>
          </w:p>
          <w:p w14:paraId="5A011E17" w14:textId="77777777" w:rsidR="004E61E7" w:rsidRPr="002C7966" w:rsidRDefault="004E61E7" w:rsidP="00DA5F5C">
            <w:pPr>
              <w:spacing w:line="276" w:lineRule="auto"/>
              <w:outlineLvl w:val="1"/>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(ii) an obstetrician; or</w:t>
            </w:r>
          </w:p>
          <w:p w14:paraId="77EC3A0F" w14:textId="4D1C518A" w:rsidR="004E61E7" w:rsidRPr="002C7966" w:rsidRDefault="004E61E7" w:rsidP="00DA5F5C">
            <w:pPr>
              <w:pStyle w:val="Heading2"/>
              <w:spacing w:before="0" w:after="0" w:line="276" w:lineRule="auto"/>
              <w:outlineLvl w:val="1"/>
              <w:rPr>
                <w:rFonts w:asciiTheme="minorHAnsi" w:hAnsiTheme="minorHAnsi" w:cstheme="minorHAnsi"/>
              </w:rPr>
            </w:pPr>
            <w:r w:rsidRPr="002C7966">
              <w:rPr>
                <w:rFonts w:asciiTheme="minorHAnsi" w:hAnsiTheme="minorHAnsi" w:cstheme="minorHAnsi"/>
                <w:sz w:val="20"/>
              </w:rPr>
              <w:t xml:space="preserve">(iii) a general practitioner </w:t>
            </w:r>
          </w:p>
        </w:tc>
        <w:tc>
          <w:tcPr>
            <w:tcW w:w="881" w:type="pct"/>
            <w:shd w:val="clear" w:color="auto" w:fill="auto"/>
            <w:vAlign w:val="center"/>
          </w:tcPr>
          <w:p w14:paraId="3C7C4C42" w14:textId="79D7E181" w:rsidR="004E61E7" w:rsidRPr="002C7966" w:rsidRDefault="004E61E7" w:rsidP="00DA5F5C">
            <w:pPr>
              <w:pStyle w:val="Heading2"/>
              <w:spacing w:before="0" w:after="0" w:line="276" w:lineRule="auto"/>
              <w:jc w:val="center"/>
              <w:outlineLvl w:val="1"/>
              <w:rPr>
                <w:rFonts w:asciiTheme="minorHAnsi" w:hAnsiTheme="minorHAnsi" w:cstheme="minorHAnsi"/>
              </w:rPr>
            </w:pPr>
            <w:r w:rsidRPr="002C7966">
              <w:rPr>
                <w:rFonts w:asciiTheme="minorHAnsi" w:hAnsiTheme="minorHAnsi" w:cstheme="minorHAnsi"/>
                <w:sz w:val="20"/>
              </w:rPr>
              <w:t>16408</w:t>
            </w:r>
          </w:p>
        </w:tc>
        <w:tc>
          <w:tcPr>
            <w:tcW w:w="949" w:type="pct"/>
            <w:vAlign w:val="center"/>
          </w:tcPr>
          <w:p w14:paraId="07864EBB" w14:textId="77777777" w:rsidR="004E61E7" w:rsidRPr="002C7966" w:rsidRDefault="004E61E7" w:rsidP="00DA5F5C">
            <w:pPr>
              <w:jc w:val="center"/>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91852</w:t>
            </w:r>
          </w:p>
        </w:tc>
        <w:tc>
          <w:tcPr>
            <w:tcW w:w="1003" w:type="pct"/>
            <w:vAlign w:val="center"/>
          </w:tcPr>
          <w:p w14:paraId="46870BBD" w14:textId="335401C2" w:rsidR="004E61E7" w:rsidRPr="002C7966" w:rsidRDefault="004E61E7" w:rsidP="00DA5F5C">
            <w:pPr>
              <w:jc w:val="center"/>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91857</w:t>
            </w:r>
          </w:p>
        </w:tc>
      </w:tr>
      <w:tr w:rsidR="005653E6" w:rsidRPr="002C7966" w14:paraId="6A1D11EE" w14:textId="77777777" w:rsidTr="00DA5F5C">
        <w:tc>
          <w:tcPr>
            <w:tcW w:w="2167" w:type="pct"/>
            <w:shd w:val="clear" w:color="auto" w:fill="F2F2F2" w:themeFill="background1" w:themeFillShade="F2"/>
            <w:vAlign w:val="center"/>
          </w:tcPr>
          <w:p w14:paraId="5D1CE6AC" w14:textId="47BF21ED" w:rsidR="004E61E7" w:rsidRPr="002C7966" w:rsidRDefault="004E61E7" w:rsidP="00DA5F5C">
            <w:pPr>
              <w:pStyle w:val="Heading2"/>
              <w:spacing w:before="0" w:after="0" w:line="276" w:lineRule="auto"/>
              <w:outlineLvl w:val="1"/>
              <w:rPr>
                <w:rFonts w:asciiTheme="minorHAnsi" w:hAnsiTheme="minorHAnsi" w:cstheme="minorHAnsi"/>
              </w:rPr>
            </w:pPr>
            <w:r w:rsidRPr="002C7966">
              <w:rPr>
                <w:rFonts w:asciiTheme="minorHAnsi" w:hAnsiTheme="minorHAnsi" w:cstheme="minorHAnsi"/>
                <w:sz w:val="20"/>
                <w:szCs w:val="20"/>
              </w:rPr>
              <w:t>Antenatal attendance</w:t>
            </w:r>
          </w:p>
        </w:tc>
        <w:tc>
          <w:tcPr>
            <w:tcW w:w="881" w:type="pct"/>
            <w:shd w:val="clear" w:color="auto" w:fill="auto"/>
            <w:vAlign w:val="center"/>
          </w:tcPr>
          <w:p w14:paraId="38CA36B7" w14:textId="5FE91260" w:rsidR="004E61E7" w:rsidRPr="002C7966" w:rsidRDefault="004E61E7" w:rsidP="00DA5F5C">
            <w:pPr>
              <w:pStyle w:val="Heading2"/>
              <w:spacing w:before="0" w:after="0" w:line="276" w:lineRule="auto"/>
              <w:jc w:val="center"/>
              <w:outlineLvl w:val="1"/>
              <w:rPr>
                <w:rFonts w:asciiTheme="minorHAnsi" w:hAnsiTheme="minorHAnsi" w:cstheme="minorHAnsi"/>
              </w:rPr>
            </w:pPr>
            <w:r w:rsidRPr="002C7966">
              <w:rPr>
                <w:rFonts w:asciiTheme="minorHAnsi" w:hAnsiTheme="minorHAnsi" w:cstheme="minorHAnsi"/>
                <w:sz w:val="20"/>
              </w:rPr>
              <w:t>16500</w:t>
            </w:r>
          </w:p>
        </w:tc>
        <w:tc>
          <w:tcPr>
            <w:tcW w:w="949" w:type="pct"/>
            <w:vAlign w:val="center"/>
          </w:tcPr>
          <w:p w14:paraId="40A1E957" w14:textId="77777777" w:rsidR="004E61E7" w:rsidRPr="002C7966" w:rsidRDefault="004E61E7" w:rsidP="00DA5F5C">
            <w:pPr>
              <w:jc w:val="center"/>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91853</w:t>
            </w:r>
          </w:p>
        </w:tc>
        <w:tc>
          <w:tcPr>
            <w:tcW w:w="1003" w:type="pct"/>
            <w:vAlign w:val="center"/>
          </w:tcPr>
          <w:p w14:paraId="1E8186CC" w14:textId="7D6872AA" w:rsidR="004E61E7" w:rsidRPr="002C7966" w:rsidRDefault="004E61E7" w:rsidP="00DA5F5C">
            <w:pPr>
              <w:jc w:val="center"/>
              <w:rPr>
                <w:rFonts w:asciiTheme="minorHAnsi" w:hAnsiTheme="minorHAnsi" w:cstheme="minorHAnsi"/>
                <w:color w:val="001A70" w:themeColor="text2"/>
                <w:szCs w:val="20"/>
              </w:rPr>
            </w:pPr>
            <w:r w:rsidRPr="002C7966">
              <w:rPr>
                <w:rFonts w:asciiTheme="minorHAnsi" w:hAnsiTheme="minorHAnsi" w:cstheme="minorHAnsi"/>
                <w:color w:val="001A70" w:themeColor="text2"/>
                <w:szCs w:val="20"/>
              </w:rPr>
              <w:t>91858</w:t>
            </w:r>
          </w:p>
        </w:tc>
      </w:tr>
    </w:tbl>
    <w:p w14:paraId="30999264" w14:textId="61FC09A5" w:rsidR="00C25903" w:rsidRPr="002C7966" w:rsidRDefault="00C25903" w:rsidP="00AA1581">
      <w:pPr>
        <w:rPr>
          <w:rFonts w:asciiTheme="minorHAnsi" w:hAnsiTheme="minorHAnsi" w:cstheme="minorHAnsi"/>
          <w:color w:val="001A70" w:themeColor="text2"/>
        </w:rPr>
      </w:pPr>
    </w:p>
    <w:sectPr w:rsidR="00C25903" w:rsidRPr="002C7966" w:rsidSect="003E6457">
      <w:headerReference w:type="even" r:id="rId14"/>
      <w:headerReference w:type="default" r:id="rId15"/>
      <w:footerReference w:type="even" r:id="rId16"/>
      <w:headerReference w:type="first" r:id="rId17"/>
      <w:footerReference w:type="first" r:id="rId18"/>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8D26B" w14:textId="77777777" w:rsidR="009C7333" w:rsidRDefault="009C7333" w:rsidP="006D1088">
      <w:pPr>
        <w:spacing w:after="0" w:line="240" w:lineRule="auto"/>
      </w:pPr>
      <w:r>
        <w:separator/>
      </w:r>
    </w:p>
  </w:endnote>
  <w:endnote w:type="continuationSeparator" w:id="0">
    <w:p w14:paraId="4A460268" w14:textId="77777777" w:rsidR="009C7333" w:rsidRDefault="009C7333" w:rsidP="006D1088">
      <w:pPr>
        <w:spacing w:after="0" w:line="240" w:lineRule="auto"/>
      </w:pPr>
      <w:r>
        <w:continuationSeparator/>
      </w:r>
    </w:p>
  </w:endnote>
  <w:endnote w:type="continuationNotice" w:id="1">
    <w:p w14:paraId="2C981C99" w14:textId="77777777" w:rsidR="009C7333" w:rsidRDefault="009C73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D1548" w14:textId="77777777" w:rsidR="00AA1581" w:rsidRDefault="000A43AF" w:rsidP="00AA1581">
    <w:pPr>
      <w:pStyle w:val="Footer"/>
      <w:rPr>
        <w:rStyle w:val="BookTitle"/>
        <w:noProof/>
      </w:rPr>
    </w:pPr>
    <w:r>
      <w:rPr>
        <w:rStyle w:val="BookTitle"/>
        <w:noProof/>
      </w:rPr>
      <w:pict w14:anchorId="3FCF23DD">
        <v:rect id="_x0000_i1025" style="width:523.3pt;height:1.9pt" o:hralign="center" o:hrstd="t" o:hr="t" fillcolor="#a0a0a0" stroked="f"/>
      </w:pict>
    </w:r>
  </w:p>
  <w:p w14:paraId="522A94FC" w14:textId="42CBC23E" w:rsidR="00AA1581" w:rsidRDefault="00AA1581" w:rsidP="00AA1581">
    <w:pPr>
      <w:pStyle w:val="Footer"/>
      <w:rPr>
        <w:rStyle w:val="BookTitle"/>
        <w:noProof/>
      </w:rPr>
    </w:pPr>
    <w:r w:rsidRPr="00A75DC5">
      <w:t xml:space="preserve">Page </w:t>
    </w:r>
    <w:r w:rsidRPr="00A75DC5">
      <w:fldChar w:fldCharType="begin"/>
    </w:r>
    <w:r w:rsidRPr="00A75DC5">
      <w:instrText xml:space="preserve"> PAGE </w:instrText>
    </w:r>
    <w:r w:rsidRPr="00A75DC5">
      <w:fldChar w:fldCharType="separate"/>
    </w:r>
    <w:r w:rsidR="002C7966">
      <w:rPr>
        <w:noProof/>
      </w:rPr>
      <w:t>4</w:t>
    </w:r>
    <w:r w:rsidRPr="00A75DC5">
      <w:fldChar w:fldCharType="end"/>
    </w:r>
    <w:r w:rsidRPr="00A75DC5">
      <w:t xml:space="preserve"> of </w:t>
    </w:r>
    <w:r w:rsidR="000A43AF">
      <w:fldChar w:fldCharType="begin"/>
    </w:r>
    <w:r w:rsidR="000A43AF">
      <w:instrText xml:space="preserve"> NUMPAGES  </w:instrText>
    </w:r>
    <w:r w:rsidR="000A43AF">
      <w:fldChar w:fldCharType="separate"/>
    </w:r>
    <w:r w:rsidR="002C7966">
      <w:rPr>
        <w:noProof/>
      </w:rPr>
      <w:t>4</w:t>
    </w:r>
    <w:r w:rsidR="000A43AF">
      <w:rPr>
        <w:noProof/>
      </w:rPr>
      <w:fldChar w:fldCharType="end"/>
    </w:r>
  </w:p>
  <w:p w14:paraId="55BBFB59" w14:textId="242BD8CC" w:rsidR="00BB4F1C" w:rsidRDefault="00AA1581" w:rsidP="00AA1581">
    <w:pPr>
      <w:pStyle w:val="Footer"/>
      <w:jc w:val="left"/>
    </w:pPr>
    <w:r>
      <w:t>Medicare Benefits Schedule</w:t>
    </w:r>
  </w:p>
  <w:p w14:paraId="27A666F7" w14:textId="07E8C9D0" w:rsidR="00BB4F1C" w:rsidRPr="00A75DC5" w:rsidRDefault="00BB4F1C" w:rsidP="00670DFE">
    <w:pPr>
      <w:pStyle w:val="Heading1"/>
      <w:spacing w:before="0" w:after="0"/>
      <w:rPr>
        <w:sz w:val="16"/>
        <w:szCs w:val="16"/>
      </w:rPr>
    </w:pPr>
    <w:r w:rsidRPr="00670DFE">
      <w:rPr>
        <w:rFonts w:ascii="Arial" w:hAnsi="Arial"/>
        <w:sz w:val="16"/>
      </w:rPr>
      <w:t>MBS Telehealth Services</w:t>
    </w:r>
    <w:r>
      <w:rPr>
        <w:rFonts w:ascii="Arial" w:hAnsi="Arial" w:cs="Arial"/>
        <w:sz w:val="16"/>
        <w:szCs w:val="16"/>
      </w:rPr>
      <w:t xml:space="preserve"> </w:t>
    </w:r>
    <w:r w:rsidRPr="00A75DC5">
      <w:rPr>
        <w:b/>
        <w:sz w:val="16"/>
        <w:szCs w:val="16"/>
      </w:rPr>
      <w:t>– Factsheet</w:t>
    </w:r>
    <w:r w:rsidRPr="00A75DC5">
      <w:rPr>
        <w:sz w:val="16"/>
        <w:szCs w:val="16"/>
      </w:rPr>
      <w:t xml:space="preserve"> </w:t>
    </w:r>
  </w:p>
  <w:p w14:paraId="35C8DF35" w14:textId="77777777" w:rsidR="00BB4F1C" w:rsidRPr="00DF2045" w:rsidRDefault="000A43AF" w:rsidP="00DF2045">
    <w:pPr>
      <w:pStyle w:val="Heading1"/>
      <w:spacing w:before="0" w:after="0"/>
      <w:rPr>
        <w:rFonts w:ascii="Arial" w:hAnsi="Arial"/>
        <w:sz w:val="16"/>
      </w:rPr>
    </w:pPr>
    <w:hyperlink r:id="rId1" w:history="1">
      <w:r w:rsidR="00BB4F1C" w:rsidRPr="00DF2045">
        <w:rPr>
          <w:rFonts w:ascii="Arial" w:hAnsi="Arial"/>
          <w:sz w:val="16"/>
        </w:rPr>
        <w:t>MBS Online</w:t>
      </w:r>
    </w:hyperlink>
  </w:p>
  <w:p w14:paraId="7627C70C" w14:textId="674D7A58" w:rsidR="00BB4F1C" w:rsidRPr="00A75DC5" w:rsidRDefault="00BB4F1C" w:rsidP="00AA1581">
    <w:pPr>
      <w:pStyle w:val="Footer"/>
      <w:jc w:val="left"/>
    </w:pPr>
    <w:r w:rsidRPr="00A75DC5">
      <w:t xml:space="preserve">Last updated </w:t>
    </w:r>
    <w:r w:rsidR="002D6F16">
      <w:t>20 January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1D3DC" w14:textId="77777777" w:rsidR="00DF2045" w:rsidRDefault="00DF2045" w:rsidP="00AA15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D6E0B" w14:textId="77777777" w:rsidR="00DF2045" w:rsidRDefault="00DF2045" w:rsidP="00AA1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86B83" w14:textId="77777777" w:rsidR="009C7333" w:rsidRDefault="009C7333" w:rsidP="006D1088">
      <w:pPr>
        <w:spacing w:after="0" w:line="240" w:lineRule="auto"/>
      </w:pPr>
      <w:r>
        <w:separator/>
      </w:r>
    </w:p>
  </w:footnote>
  <w:footnote w:type="continuationSeparator" w:id="0">
    <w:p w14:paraId="491CE07B" w14:textId="77777777" w:rsidR="009C7333" w:rsidRDefault="009C7333" w:rsidP="006D1088">
      <w:pPr>
        <w:spacing w:after="0" w:line="240" w:lineRule="auto"/>
      </w:pPr>
      <w:r>
        <w:continuationSeparator/>
      </w:r>
    </w:p>
  </w:footnote>
  <w:footnote w:type="continuationNotice" w:id="1">
    <w:p w14:paraId="74CC5C3E" w14:textId="77777777" w:rsidR="009C7333" w:rsidRDefault="009C73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CF11A" w14:textId="77777777" w:rsidR="00BB4F1C" w:rsidRDefault="00BB4F1C">
    <w:pPr>
      <w:pStyle w:val="Header"/>
    </w:pPr>
    <w:r w:rsidRPr="00113A85">
      <w:rPr>
        <w:noProof/>
        <w:lang w:eastAsia="en-AU"/>
      </w:rPr>
      <mc:AlternateContent>
        <mc:Choice Requires="wps">
          <w:drawing>
            <wp:anchor distT="0" distB="0" distL="114300" distR="114300" simplePos="0" relativeHeight="251663360" behindDoc="0" locked="0" layoutInCell="1" allowOverlap="1" wp14:anchorId="114F6A47" wp14:editId="2EACD5F9">
              <wp:simplePos x="0" y="0"/>
              <wp:positionH relativeFrom="column">
                <wp:align>right</wp:align>
              </wp:positionH>
              <wp:positionV relativeFrom="paragraph">
                <wp:posOffset>-288646</wp:posOffset>
              </wp:positionV>
              <wp:extent cx="2516400" cy="1285200"/>
              <wp:effectExtent l="0" t="0" r="0" b="0"/>
              <wp:wrapNone/>
              <wp:docPr id="1"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2EADAF74" w14:textId="77777777" w:rsidR="00BB4F1C" w:rsidRDefault="00BB4F1C"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14F6A47" id="Title 3" o:spid="_x0000_s1026" style="position:absolute;margin-left:146.95pt;margin-top:-22.75pt;width:198.15pt;height:101.2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wIIVR8ABAABpAwAADgAAAAAAAAAAAAAAAAAuAgAA&#10;ZHJzL2Uyb0RvYy54bWxQSwECLQAUAAYACAAAACEAI5PxU9sAAAAIAQAADwAAAAAAAAAAAAAAAAAa&#10;BAAAZHJzL2Rvd25yZXYueG1sUEsFBgAAAAAEAAQA8wAAACIFAAAAAA==&#10;" filled="f" stroked="f">
              <o:lock v:ext="edit" grouping="t"/>
              <v:textbox>
                <w:txbxContent>
                  <w:p w14:paraId="2EADAF74" w14:textId="77777777" w:rsidR="00BB4F1C" w:rsidRDefault="00BB4F1C"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2336" behindDoc="1" locked="0" layoutInCell="1" allowOverlap="1" wp14:anchorId="37998EEE" wp14:editId="190D1E03">
          <wp:simplePos x="0" y="0"/>
          <wp:positionH relativeFrom="page">
            <wp:align>left</wp:align>
          </wp:positionH>
          <wp:positionV relativeFrom="paragraph">
            <wp:posOffset>-449580</wp:posOffset>
          </wp:positionV>
          <wp:extent cx="7643250" cy="1611213"/>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A3A6D" w14:textId="77777777" w:rsidR="00DF2045" w:rsidRDefault="00DF2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2D80F"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55238193" wp14:editId="4E2ECE47">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43F7A28"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55238193"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" filled="f" stroked="f">
              <o:lock v:ext="edit" grouping="t"/>
              <v:textbox>
                <w:txbxContent>
                  <w:p w14:paraId="043F7A28"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74AC4684" wp14:editId="101A3629">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2690B" w14:textId="77777777" w:rsidR="00DF2045" w:rsidRDefault="00DF2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59325F0C"/>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692F2B"/>
    <w:multiLevelType w:val="hybridMultilevel"/>
    <w:tmpl w:val="96C8E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4"/>
  </w:num>
  <w:num w:numId="15">
    <w:abstractNumId w:val="13"/>
  </w:num>
  <w:num w:numId="16">
    <w:abstractNumId w:val="18"/>
  </w:num>
  <w:num w:numId="17">
    <w:abstractNumId w:val="12"/>
  </w:num>
  <w:num w:numId="18">
    <w:abstractNumId w:val="10"/>
  </w:num>
  <w:num w:numId="19">
    <w:abstractNumId w:val="11"/>
  </w:num>
  <w:num w:numId="20">
    <w:abstractNumId w:val="15"/>
  </w:num>
  <w:num w:numId="21">
    <w:abstractNumId w:val="16"/>
  </w:num>
  <w:num w:numId="22">
    <w:abstractNumId w:val="14"/>
  </w:num>
  <w:num w:numId="23">
    <w:abstractNumId w:val="14"/>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1673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3488"/>
    <w:rsid w:val="000046A8"/>
    <w:rsid w:val="000074DD"/>
    <w:rsid w:val="000367AA"/>
    <w:rsid w:val="000411E0"/>
    <w:rsid w:val="00043874"/>
    <w:rsid w:val="00045810"/>
    <w:rsid w:val="000469B9"/>
    <w:rsid w:val="00054025"/>
    <w:rsid w:val="00057273"/>
    <w:rsid w:val="000620B8"/>
    <w:rsid w:val="00081B97"/>
    <w:rsid w:val="00084A9C"/>
    <w:rsid w:val="00085277"/>
    <w:rsid w:val="000A2F0A"/>
    <w:rsid w:val="000A43AF"/>
    <w:rsid w:val="000A5085"/>
    <w:rsid w:val="000B01AE"/>
    <w:rsid w:val="000B2A1B"/>
    <w:rsid w:val="000C2143"/>
    <w:rsid w:val="000C3B83"/>
    <w:rsid w:val="000D0F43"/>
    <w:rsid w:val="000D1778"/>
    <w:rsid w:val="000E4069"/>
    <w:rsid w:val="000F3152"/>
    <w:rsid w:val="001014EB"/>
    <w:rsid w:val="00102885"/>
    <w:rsid w:val="0010474E"/>
    <w:rsid w:val="00121100"/>
    <w:rsid w:val="00124E0B"/>
    <w:rsid w:val="001259EE"/>
    <w:rsid w:val="00130343"/>
    <w:rsid w:val="00135417"/>
    <w:rsid w:val="00141BC3"/>
    <w:rsid w:val="001432AF"/>
    <w:rsid w:val="00151636"/>
    <w:rsid w:val="00155BD4"/>
    <w:rsid w:val="0015621C"/>
    <w:rsid w:val="00167446"/>
    <w:rsid w:val="0017279A"/>
    <w:rsid w:val="00172B1A"/>
    <w:rsid w:val="001774C5"/>
    <w:rsid w:val="0018054B"/>
    <w:rsid w:val="00181B52"/>
    <w:rsid w:val="0018507E"/>
    <w:rsid w:val="0019170A"/>
    <w:rsid w:val="00194062"/>
    <w:rsid w:val="001A6FE6"/>
    <w:rsid w:val="001A7FB7"/>
    <w:rsid w:val="001B44D0"/>
    <w:rsid w:val="001C5C56"/>
    <w:rsid w:val="001C6236"/>
    <w:rsid w:val="001E6F63"/>
    <w:rsid w:val="001F49E8"/>
    <w:rsid w:val="001F633B"/>
    <w:rsid w:val="00200902"/>
    <w:rsid w:val="0020364B"/>
    <w:rsid w:val="00203F3E"/>
    <w:rsid w:val="0021035A"/>
    <w:rsid w:val="00221334"/>
    <w:rsid w:val="00232755"/>
    <w:rsid w:val="00236167"/>
    <w:rsid w:val="002427E0"/>
    <w:rsid w:val="00243D1C"/>
    <w:rsid w:val="00262717"/>
    <w:rsid w:val="0026502E"/>
    <w:rsid w:val="00276A29"/>
    <w:rsid w:val="00281820"/>
    <w:rsid w:val="002820F5"/>
    <w:rsid w:val="002A18F2"/>
    <w:rsid w:val="002A3C7C"/>
    <w:rsid w:val="002A47B1"/>
    <w:rsid w:val="002A47CC"/>
    <w:rsid w:val="002A5A70"/>
    <w:rsid w:val="002B0372"/>
    <w:rsid w:val="002B70AC"/>
    <w:rsid w:val="002C1774"/>
    <w:rsid w:val="002C7966"/>
    <w:rsid w:val="002D2CC5"/>
    <w:rsid w:val="002D5F94"/>
    <w:rsid w:val="002D6F16"/>
    <w:rsid w:val="002F680A"/>
    <w:rsid w:val="00301A8C"/>
    <w:rsid w:val="00305203"/>
    <w:rsid w:val="00305E00"/>
    <w:rsid w:val="003101C2"/>
    <w:rsid w:val="003122B4"/>
    <w:rsid w:val="00312B16"/>
    <w:rsid w:val="003311A9"/>
    <w:rsid w:val="00337919"/>
    <w:rsid w:val="00345DC5"/>
    <w:rsid w:val="00352174"/>
    <w:rsid w:val="00355E8A"/>
    <w:rsid w:val="00363819"/>
    <w:rsid w:val="00374AE3"/>
    <w:rsid w:val="003A06B7"/>
    <w:rsid w:val="003A097E"/>
    <w:rsid w:val="003A52BA"/>
    <w:rsid w:val="003B1102"/>
    <w:rsid w:val="003B1613"/>
    <w:rsid w:val="003B56AD"/>
    <w:rsid w:val="003D5CEF"/>
    <w:rsid w:val="003D7F7A"/>
    <w:rsid w:val="003E0945"/>
    <w:rsid w:val="003E6457"/>
    <w:rsid w:val="003F1E42"/>
    <w:rsid w:val="003F6682"/>
    <w:rsid w:val="00405506"/>
    <w:rsid w:val="004172A1"/>
    <w:rsid w:val="00420023"/>
    <w:rsid w:val="00425089"/>
    <w:rsid w:val="0042628B"/>
    <w:rsid w:val="00427D7F"/>
    <w:rsid w:val="004306E0"/>
    <w:rsid w:val="004324B6"/>
    <w:rsid w:val="00433682"/>
    <w:rsid w:val="0043744D"/>
    <w:rsid w:val="00437DA5"/>
    <w:rsid w:val="00445086"/>
    <w:rsid w:val="004511F2"/>
    <w:rsid w:val="00461CCA"/>
    <w:rsid w:val="00467CD7"/>
    <w:rsid w:val="00475BE3"/>
    <w:rsid w:val="00475E53"/>
    <w:rsid w:val="004771DE"/>
    <w:rsid w:val="00481135"/>
    <w:rsid w:val="004835F0"/>
    <w:rsid w:val="004850B8"/>
    <w:rsid w:val="004860CA"/>
    <w:rsid w:val="00494B72"/>
    <w:rsid w:val="00496081"/>
    <w:rsid w:val="004A1348"/>
    <w:rsid w:val="004B243F"/>
    <w:rsid w:val="004C2B08"/>
    <w:rsid w:val="004D2C7C"/>
    <w:rsid w:val="004D71C4"/>
    <w:rsid w:val="004E1559"/>
    <w:rsid w:val="004E52A2"/>
    <w:rsid w:val="004E61E7"/>
    <w:rsid w:val="004F0AA6"/>
    <w:rsid w:val="004F2B84"/>
    <w:rsid w:val="004F2E8D"/>
    <w:rsid w:val="00502C58"/>
    <w:rsid w:val="00510063"/>
    <w:rsid w:val="005114EC"/>
    <w:rsid w:val="0052108D"/>
    <w:rsid w:val="00525881"/>
    <w:rsid w:val="005261D0"/>
    <w:rsid w:val="00542230"/>
    <w:rsid w:val="0054242B"/>
    <w:rsid w:val="00542F07"/>
    <w:rsid w:val="00543427"/>
    <w:rsid w:val="005466F2"/>
    <w:rsid w:val="00550525"/>
    <w:rsid w:val="005653E6"/>
    <w:rsid w:val="00570B62"/>
    <w:rsid w:val="00595BBD"/>
    <w:rsid w:val="0059641E"/>
    <w:rsid w:val="005A0403"/>
    <w:rsid w:val="005A4A32"/>
    <w:rsid w:val="005E1472"/>
    <w:rsid w:val="005F0FEE"/>
    <w:rsid w:val="005F1D7B"/>
    <w:rsid w:val="006173AC"/>
    <w:rsid w:val="0062100F"/>
    <w:rsid w:val="00624D48"/>
    <w:rsid w:val="00634880"/>
    <w:rsid w:val="006425BA"/>
    <w:rsid w:val="006503D3"/>
    <w:rsid w:val="00650B9A"/>
    <w:rsid w:val="00653345"/>
    <w:rsid w:val="0065517F"/>
    <w:rsid w:val="00655D74"/>
    <w:rsid w:val="00656F11"/>
    <w:rsid w:val="00664E1C"/>
    <w:rsid w:val="00665A60"/>
    <w:rsid w:val="00666777"/>
    <w:rsid w:val="00670DFE"/>
    <w:rsid w:val="00684D37"/>
    <w:rsid w:val="00690292"/>
    <w:rsid w:val="00690625"/>
    <w:rsid w:val="00694030"/>
    <w:rsid w:val="006961D6"/>
    <w:rsid w:val="006A175B"/>
    <w:rsid w:val="006A788C"/>
    <w:rsid w:val="006A7B29"/>
    <w:rsid w:val="006D04CC"/>
    <w:rsid w:val="006D1088"/>
    <w:rsid w:val="006D2A35"/>
    <w:rsid w:val="006E3573"/>
    <w:rsid w:val="006F31A1"/>
    <w:rsid w:val="006F45E8"/>
    <w:rsid w:val="006F5785"/>
    <w:rsid w:val="007213F0"/>
    <w:rsid w:val="00726103"/>
    <w:rsid w:val="00727F4C"/>
    <w:rsid w:val="00734F6B"/>
    <w:rsid w:val="00736D31"/>
    <w:rsid w:val="007430C1"/>
    <w:rsid w:val="00744448"/>
    <w:rsid w:val="00745E69"/>
    <w:rsid w:val="007666C9"/>
    <w:rsid w:val="00781867"/>
    <w:rsid w:val="00785ABB"/>
    <w:rsid w:val="007A5C92"/>
    <w:rsid w:val="007B0D6D"/>
    <w:rsid w:val="007B1DB5"/>
    <w:rsid w:val="007C0598"/>
    <w:rsid w:val="007C6358"/>
    <w:rsid w:val="007D1D3A"/>
    <w:rsid w:val="007D7E77"/>
    <w:rsid w:val="007E0D61"/>
    <w:rsid w:val="007E2604"/>
    <w:rsid w:val="007E33D2"/>
    <w:rsid w:val="007F7247"/>
    <w:rsid w:val="00821009"/>
    <w:rsid w:val="00833E5D"/>
    <w:rsid w:val="00834903"/>
    <w:rsid w:val="00834B56"/>
    <w:rsid w:val="008352AC"/>
    <w:rsid w:val="0084006C"/>
    <w:rsid w:val="0084015E"/>
    <w:rsid w:val="00843D1D"/>
    <w:rsid w:val="008510BB"/>
    <w:rsid w:val="00852651"/>
    <w:rsid w:val="008553F7"/>
    <w:rsid w:val="00864E28"/>
    <w:rsid w:val="008766AD"/>
    <w:rsid w:val="00881219"/>
    <w:rsid w:val="00886227"/>
    <w:rsid w:val="00892472"/>
    <w:rsid w:val="008957B9"/>
    <w:rsid w:val="00897269"/>
    <w:rsid w:val="008A6F4F"/>
    <w:rsid w:val="008B60FB"/>
    <w:rsid w:val="008C7F5F"/>
    <w:rsid w:val="008E258C"/>
    <w:rsid w:val="008E4C9B"/>
    <w:rsid w:val="008E62D0"/>
    <w:rsid w:val="008E7B7C"/>
    <w:rsid w:val="008F1594"/>
    <w:rsid w:val="008F4B45"/>
    <w:rsid w:val="009000AA"/>
    <w:rsid w:val="00905AF7"/>
    <w:rsid w:val="00907B4A"/>
    <w:rsid w:val="00910558"/>
    <w:rsid w:val="00913E8D"/>
    <w:rsid w:val="0091706C"/>
    <w:rsid w:val="0092658F"/>
    <w:rsid w:val="00942A31"/>
    <w:rsid w:val="009542F2"/>
    <w:rsid w:val="009562F4"/>
    <w:rsid w:val="009622DD"/>
    <w:rsid w:val="00977405"/>
    <w:rsid w:val="009858E2"/>
    <w:rsid w:val="009919BB"/>
    <w:rsid w:val="009A50DD"/>
    <w:rsid w:val="009B32BA"/>
    <w:rsid w:val="009B51E7"/>
    <w:rsid w:val="009B5206"/>
    <w:rsid w:val="009B619D"/>
    <w:rsid w:val="009B7859"/>
    <w:rsid w:val="009B7F8F"/>
    <w:rsid w:val="009C1DC8"/>
    <w:rsid w:val="009C7333"/>
    <w:rsid w:val="009C742B"/>
    <w:rsid w:val="009D02CA"/>
    <w:rsid w:val="009D0B98"/>
    <w:rsid w:val="009D620A"/>
    <w:rsid w:val="009D73CB"/>
    <w:rsid w:val="009D79F1"/>
    <w:rsid w:val="009E4A9E"/>
    <w:rsid w:val="009E66EE"/>
    <w:rsid w:val="009E6DE2"/>
    <w:rsid w:val="009E73EB"/>
    <w:rsid w:val="009F52D4"/>
    <w:rsid w:val="00A01ECA"/>
    <w:rsid w:val="00A02A09"/>
    <w:rsid w:val="00A13B52"/>
    <w:rsid w:val="00A26321"/>
    <w:rsid w:val="00A277CD"/>
    <w:rsid w:val="00A3287F"/>
    <w:rsid w:val="00A37CE3"/>
    <w:rsid w:val="00A45B06"/>
    <w:rsid w:val="00A51FC5"/>
    <w:rsid w:val="00A52E5D"/>
    <w:rsid w:val="00A53F1A"/>
    <w:rsid w:val="00A5641C"/>
    <w:rsid w:val="00A60FB7"/>
    <w:rsid w:val="00A61915"/>
    <w:rsid w:val="00A64177"/>
    <w:rsid w:val="00A7172E"/>
    <w:rsid w:val="00A72905"/>
    <w:rsid w:val="00A75DC5"/>
    <w:rsid w:val="00A91196"/>
    <w:rsid w:val="00AA1581"/>
    <w:rsid w:val="00AA41CD"/>
    <w:rsid w:val="00AA5232"/>
    <w:rsid w:val="00AA572B"/>
    <w:rsid w:val="00AA69A9"/>
    <w:rsid w:val="00AB53A4"/>
    <w:rsid w:val="00AD0F71"/>
    <w:rsid w:val="00AE2F7E"/>
    <w:rsid w:val="00AF51AC"/>
    <w:rsid w:val="00B058F6"/>
    <w:rsid w:val="00B06E28"/>
    <w:rsid w:val="00B15085"/>
    <w:rsid w:val="00B15CE8"/>
    <w:rsid w:val="00B17431"/>
    <w:rsid w:val="00B2044B"/>
    <w:rsid w:val="00B23A4C"/>
    <w:rsid w:val="00B31FBA"/>
    <w:rsid w:val="00B330DC"/>
    <w:rsid w:val="00B378D4"/>
    <w:rsid w:val="00B3793F"/>
    <w:rsid w:val="00B50250"/>
    <w:rsid w:val="00B542FB"/>
    <w:rsid w:val="00B63023"/>
    <w:rsid w:val="00B714E8"/>
    <w:rsid w:val="00B76E20"/>
    <w:rsid w:val="00B82114"/>
    <w:rsid w:val="00B82EDF"/>
    <w:rsid w:val="00B83E3D"/>
    <w:rsid w:val="00B90DB5"/>
    <w:rsid w:val="00BA0109"/>
    <w:rsid w:val="00BA624E"/>
    <w:rsid w:val="00BA7CA8"/>
    <w:rsid w:val="00BB25DE"/>
    <w:rsid w:val="00BB4F1C"/>
    <w:rsid w:val="00BC2D73"/>
    <w:rsid w:val="00BC3BD4"/>
    <w:rsid w:val="00BC50C1"/>
    <w:rsid w:val="00BC7DD1"/>
    <w:rsid w:val="00BD1C20"/>
    <w:rsid w:val="00BD2649"/>
    <w:rsid w:val="00BD55AD"/>
    <w:rsid w:val="00BE2018"/>
    <w:rsid w:val="00BE3DA9"/>
    <w:rsid w:val="00BE505F"/>
    <w:rsid w:val="00BF00A9"/>
    <w:rsid w:val="00BF3A1D"/>
    <w:rsid w:val="00BF426F"/>
    <w:rsid w:val="00BF6E97"/>
    <w:rsid w:val="00C00B47"/>
    <w:rsid w:val="00C00DB8"/>
    <w:rsid w:val="00C0126E"/>
    <w:rsid w:val="00C05327"/>
    <w:rsid w:val="00C05423"/>
    <w:rsid w:val="00C11326"/>
    <w:rsid w:val="00C11709"/>
    <w:rsid w:val="00C131D7"/>
    <w:rsid w:val="00C13ABA"/>
    <w:rsid w:val="00C25903"/>
    <w:rsid w:val="00C340D1"/>
    <w:rsid w:val="00C4491F"/>
    <w:rsid w:val="00C47704"/>
    <w:rsid w:val="00C53D31"/>
    <w:rsid w:val="00C54385"/>
    <w:rsid w:val="00C55B45"/>
    <w:rsid w:val="00C56F6D"/>
    <w:rsid w:val="00C61A31"/>
    <w:rsid w:val="00C66700"/>
    <w:rsid w:val="00C83D3A"/>
    <w:rsid w:val="00CA5F76"/>
    <w:rsid w:val="00CB4523"/>
    <w:rsid w:val="00CC39C8"/>
    <w:rsid w:val="00CF0225"/>
    <w:rsid w:val="00CF45CC"/>
    <w:rsid w:val="00D063FD"/>
    <w:rsid w:val="00D07EC2"/>
    <w:rsid w:val="00D10AF1"/>
    <w:rsid w:val="00D11EDB"/>
    <w:rsid w:val="00D160BC"/>
    <w:rsid w:val="00D16EF3"/>
    <w:rsid w:val="00D3244E"/>
    <w:rsid w:val="00D32EE7"/>
    <w:rsid w:val="00D35C30"/>
    <w:rsid w:val="00D37294"/>
    <w:rsid w:val="00D3741F"/>
    <w:rsid w:val="00D40067"/>
    <w:rsid w:val="00D40276"/>
    <w:rsid w:val="00D422E5"/>
    <w:rsid w:val="00D471A6"/>
    <w:rsid w:val="00D50BD7"/>
    <w:rsid w:val="00D5110B"/>
    <w:rsid w:val="00D62923"/>
    <w:rsid w:val="00D6302E"/>
    <w:rsid w:val="00D67E9A"/>
    <w:rsid w:val="00D76659"/>
    <w:rsid w:val="00DA50D6"/>
    <w:rsid w:val="00DA5F5C"/>
    <w:rsid w:val="00DB54A4"/>
    <w:rsid w:val="00DC127A"/>
    <w:rsid w:val="00DC22FC"/>
    <w:rsid w:val="00DC356C"/>
    <w:rsid w:val="00DD3B45"/>
    <w:rsid w:val="00DE22E2"/>
    <w:rsid w:val="00DF2045"/>
    <w:rsid w:val="00DF7606"/>
    <w:rsid w:val="00DF7C32"/>
    <w:rsid w:val="00E12678"/>
    <w:rsid w:val="00E15B73"/>
    <w:rsid w:val="00E16795"/>
    <w:rsid w:val="00E17189"/>
    <w:rsid w:val="00E313ED"/>
    <w:rsid w:val="00E43F82"/>
    <w:rsid w:val="00E52AFC"/>
    <w:rsid w:val="00E63F87"/>
    <w:rsid w:val="00E71A20"/>
    <w:rsid w:val="00E734FE"/>
    <w:rsid w:val="00E7460D"/>
    <w:rsid w:val="00E80A36"/>
    <w:rsid w:val="00E82C89"/>
    <w:rsid w:val="00E91760"/>
    <w:rsid w:val="00EA2CDC"/>
    <w:rsid w:val="00EA6327"/>
    <w:rsid w:val="00EB7772"/>
    <w:rsid w:val="00EC229E"/>
    <w:rsid w:val="00EC2DBE"/>
    <w:rsid w:val="00ED1055"/>
    <w:rsid w:val="00ED2B70"/>
    <w:rsid w:val="00ED41EF"/>
    <w:rsid w:val="00ED53B7"/>
    <w:rsid w:val="00ED60EE"/>
    <w:rsid w:val="00EE09F7"/>
    <w:rsid w:val="00EE4267"/>
    <w:rsid w:val="00EE44BA"/>
    <w:rsid w:val="00EE588E"/>
    <w:rsid w:val="00F074CE"/>
    <w:rsid w:val="00F07E89"/>
    <w:rsid w:val="00F2545E"/>
    <w:rsid w:val="00F31369"/>
    <w:rsid w:val="00F328A4"/>
    <w:rsid w:val="00F33D07"/>
    <w:rsid w:val="00F50491"/>
    <w:rsid w:val="00F50994"/>
    <w:rsid w:val="00F605E6"/>
    <w:rsid w:val="00F66129"/>
    <w:rsid w:val="00F71D64"/>
    <w:rsid w:val="00F74AD4"/>
    <w:rsid w:val="00F74DFC"/>
    <w:rsid w:val="00F92D8C"/>
    <w:rsid w:val="00F93F71"/>
    <w:rsid w:val="00F95923"/>
    <w:rsid w:val="00F96FDB"/>
    <w:rsid w:val="00FA4A89"/>
    <w:rsid w:val="00FA6B96"/>
    <w:rsid w:val="00FB4DEF"/>
    <w:rsid w:val="00FC5285"/>
    <w:rsid w:val="00FC690D"/>
    <w:rsid w:val="00FD1E77"/>
    <w:rsid w:val="00FD6766"/>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14:docId w14:val="559115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1"/>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AA1581"/>
    <w:pPr>
      <w:tabs>
        <w:tab w:val="center" w:pos="4513"/>
        <w:tab w:val="right" w:pos="9026"/>
      </w:tabs>
      <w:spacing w:after="0" w:line="240" w:lineRule="auto"/>
      <w:jc w:val="right"/>
    </w:pPr>
    <w:rPr>
      <w:color w:val="001A70" w:themeColor="text2"/>
      <w:sz w:val="16"/>
    </w:rPr>
  </w:style>
  <w:style w:type="character" w:customStyle="1" w:styleId="FooterChar">
    <w:name w:val="Footer Char"/>
    <w:basedOn w:val="DefaultParagraphFont"/>
    <w:link w:val="Footer"/>
    <w:uiPriority w:val="99"/>
    <w:rsid w:val="00AA1581"/>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2590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EB7772"/>
    <w:rPr>
      <w:rFonts w:ascii="Arial" w:eastAsiaTheme="minorEastAsia" w:hAnsi="Arial"/>
      <w:sz w:val="20"/>
      <w:szCs w:val="21"/>
    </w:rPr>
  </w:style>
  <w:style w:type="character" w:customStyle="1" w:styleId="hgkelc">
    <w:name w:val="hgkelc"/>
    <w:basedOn w:val="DefaultParagraphFont"/>
    <w:rsid w:val="00E71A20"/>
  </w:style>
  <w:style w:type="paragraph" w:styleId="Caption">
    <w:name w:val="caption"/>
    <w:basedOn w:val="Normal"/>
    <w:next w:val="Normal"/>
    <w:uiPriority w:val="35"/>
    <w:unhideWhenUsed/>
    <w:qFormat/>
    <w:rsid w:val="00AA1581"/>
    <w:pPr>
      <w:spacing w:after="200" w:line="240" w:lineRule="auto"/>
    </w:pPr>
    <w:rPr>
      <w:i/>
      <w:iCs/>
      <w:color w:val="001A7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04407832">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195264193">
      <w:bodyDiv w:val="1"/>
      <w:marLeft w:val="0"/>
      <w:marRight w:val="0"/>
      <w:marTop w:val="0"/>
      <w:marBottom w:val="0"/>
      <w:divBdr>
        <w:top w:val="none" w:sz="0" w:space="0" w:color="auto"/>
        <w:left w:val="none" w:sz="0" w:space="0" w:color="auto"/>
        <w:bottom w:val="none" w:sz="0" w:space="0" w:color="auto"/>
        <w:right w:val="none" w:sz="0" w:space="0" w:color="auto"/>
      </w:divBdr>
    </w:div>
    <w:div w:id="1796561861">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kMBS@health.gov.au"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bsonline.gov.au/"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yber.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bsonline.gov.au/internet/mbsonline/publishing.nsf/Content/Factsheet-TelehealthPrivChecklis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2022-01-20T03:07:00Z</dcterms:created>
  <dcterms:modified xsi:type="dcterms:W3CDTF">2022-01-24T23:47:00Z</dcterms:modified>
</cp:coreProperties>
</file>