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073CBA" w:rsidP="00A11B39">
      <w:pPr>
        <w:pStyle w:val="Heading1"/>
        <w:spacing w:before="120"/>
      </w:pPr>
      <w:r>
        <w:t xml:space="preserve">Listing for </w:t>
      </w:r>
      <w:proofErr w:type="spellStart"/>
      <w:r>
        <w:t>T</w:t>
      </w:r>
      <w:r w:rsidR="00972991" w:rsidRPr="00CD412A">
        <w:t>ransc</w:t>
      </w:r>
      <w:r>
        <w:t>atheter</w:t>
      </w:r>
      <w:proofErr w:type="spellEnd"/>
      <w:r>
        <w:t xml:space="preserve"> Mitral V</w:t>
      </w:r>
      <w:r w:rsidR="00E0121F">
        <w:t xml:space="preserve">alve repair using the </w:t>
      </w:r>
      <w:proofErr w:type="spellStart"/>
      <w:r w:rsidR="00E0121F" w:rsidRPr="00E0121F">
        <w:rPr>
          <w:szCs w:val="52"/>
        </w:rPr>
        <w:t>MitraC</w:t>
      </w:r>
      <w:r w:rsidR="00972991" w:rsidRPr="00E0121F">
        <w:rPr>
          <w:szCs w:val="52"/>
        </w:rPr>
        <w:t>lip</w:t>
      </w:r>
      <w:proofErr w:type="spellEnd"/>
      <w:r w:rsidR="00972991" w:rsidRPr="00E0121F">
        <w:rPr>
          <w:color w:val="222731"/>
          <w:spacing w:val="5"/>
          <w:szCs w:val="52"/>
          <w:shd w:val="clear" w:color="auto" w:fill="FFFFFF"/>
          <w:vertAlign w:val="superscript"/>
        </w:rPr>
        <w:t>™</w:t>
      </w:r>
      <w:r w:rsidR="00972991" w:rsidRPr="00CD412A">
        <w:t xml:space="preserve"> implant</w:t>
      </w:r>
      <w:r>
        <w:t xml:space="preserve"> on the Medicare Benefits Schedule</w:t>
      </w:r>
    </w:p>
    <w:p w:rsidR="00907B4A" w:rsidRPr="00AB53A4" w:rsidRDefault="00907B4A" w:rsidP="00AB53A4">
      <w:bookmarkStart w:id="0" w:name="_Hlk4568006"/>
      <w:r>
        <w:t xml:space="preserve">Last updated: </w:t>
      </w:r>
      <w:r w:rsidR="00972991" w:rsidRPr="0059663A">
        <w:rPr>
          <w:b/>
          <w:bCs/>
          <w:i/>
          <w:iCs/>
          <w:spacing w:val="10"/>
        </w:rPr>
        <w:t>24 May 2021</w:t>
      </w:r>
    </w:p>
    <w:p w:rsidR="00510063" w:rsidRDefault="00972991" w:rsidP="009E66EE">
      <w:pPr>
        <w:pStyle w:val="ListParagraph"/>
      </w:pPr>
      <w:bookmarkStart w:id="1" w:name="_Hlk535506978"/>
      <w:bookmarkEnd w:id="0"/>
      <w:r w:rsidRPr="00972991">
        <w:t xml:space="preserve">On </w:t>
      </w:r>
      <w:r w:rsidRPr="002D2865">
        <w:rPr>
          <w:b/>
        </w:rPr>
        <w:t>1 July 2021,</w:t>
      </w:r>
      <w:r w:rsidRPr="00972991">
        <w:t xml:space="preserve"> the Australian Government will introduce four new items for the provision of </w:t>
      </w:r>
      <w:proofErr w:type="spellStart"/>
      <w:r w:rsidR="00E0121F" w:rsidRPr="00CD412A">
        <w:t>transcatheter</w:t>
      </w:r>
      <w:proofErr w:type="spellEnd"/>
      <w:r w:rsidR="00E0121F" w:rsidRPr="00CD412A">
        <w:t xml:space="preserve"> mitral valve repair </w:t>
      </w:r>
      <w:r w:rsidR="00E0121F">
        <w:t>(</w:t>
      </w:r>
      <w:proofErr w:type="spellStart"/>
      <w:r w:rsidRPr="00972991">
        <w:t>TM</w:t>
      </w:r>
      <w:r w:rsidR="00E0121F">
        <w:t>Vr</w:t>
      </w:r>
      <w:proofErr w:type="spellEnd"/>
      <w:r w:rsidR="00E0121F">
        <w:t xml:space="preserve">) using the </w:t>
      </w:r>
      <w:proofErr w:type="spellStart"/>
      <w:r w:rsidR="00E0121F">
        <w:t>MitraClip</w:t>
      </w:r>
      <w:proofErr w:type="spellEnd"/>
      <w:r w:rsidR="00E0121F">
        <w:t xml:space="preserve">™ implant for managing severe mitral valve regurgitation. </w:t>
      </w:r>
      <w:r w:rsidR="00073CBA">
        <w:t>Mitral valve regurgitation</w:t>
      </w:r>
      <w:r w:rsidR="00E0121F">
        <w:t xml:space="preserve"> occurs when the heart’s mitral valve doesn’t close tightly and blood flows backward in the heart.</w:t>
      </w:r>
    </w:p>
    <w:bookmarkEnd w:id="1"/>
    <w:p w:rsidR="00045810" w:rsidRPr="00C56D69" w:rsidRDefault="00E0121F" w:rsidP="00045810">
      <w:pPr>
        <w:pStyle w:val="ListParagraph"/>
      </w:pPr>
      <w:r w:rsidRPr="00C56D69">
        <w:t xml:space="preserve">Eligible patients, who are ineligible for open surgical management with moderate-severe mitral valve regurgitation will be able to receive a Medicare rebate for this less invasive approach through </w:t>
      </w:r>
      <w:proofErr w:type="spellStart"/>
      <w:r w:rsidRPr="00C56D69">
        <w:t>transcatheter</w:t>
      </w:r>
      <w:proofErr w:type="spellEnd"/>
      <w:r w:rsidRPr="00C56D69">
        <w:t xml:space="preserve"> repair using the </w:t>
      </w:r>
      <w:proofErr w:type="spellStart"/>
      <w:r w:rsidRPr="00C56D69">
        <w:t>MitraClip</w:t>
      </w:r>
      <w:proofErr w:type="spellEnd"/>
      <w:r w:rsidRPr="00C56D69">
        <w:t>™ implant.</w:t>
      </w:r>
    </w:p>
    <w:p w:rsidR="00AB53A4" w:rsidRPr="00C56D69" w:rsidRDefault="00073CBA" w:rsidP="00AB53A4">
      <w:pPr>
        <w:pStyle w:val="ListParagraph"/>
      </w:pPr>
      <w:r w:rsidRPr="00C56D69">
        <w:t>T</w:t>
      </w:r>
      <w:r w:rsidR="00C56D69" w:rsidRPr="00C56D69">
        <w:t>his listing will support current best practice and reflect contemporary advancements in cardiac intervention for some of the most vulnerable people with heart disease.</w:t>
      </w:r>
    </w:p>
    <w:p w:rsidR="0017279A" w:rsidRDefault="00F1035B" w:rsidP="00AB53A4">
      <w:pPr>
        <w:sectPr w:rsidR="0017279A" w:rsidSect="00F50994">
          <w:headerReference w:type="even" r:id="rId8"/>
          <w:headerReference w:type="default" r:id="rId9"/>
          <w:footerReference w:type="even" r:id="rId10"/>
          <w:footerReference w:type="default" r:id="rId11"/>
          <w:headerReference w:type="first" r:id="rId12"/>
          <w:footerReference w:type="first" r:id="rId13"/>
          <w:type w:val="continuous"/>
          <w:pgSz w:w="11906" w:h="16838"/>
          <w:pgMar w:top="3261" w:right="720" w:bottom="720" w:left="720" w:header="708" w:footer="708" w:gutter="0"/>
          <w:cols w:space="708"/>
          <w:docGrid w:linePitch="360"/>
        </w:sectPr>
      </w:pPr>
      <w:r>
        <w:rPr>
          <w:rStyle w:val="BookTitle"/>
        </w:rPr>
        <w:pict w14:anchorId="3340A183">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0425BB" w:rsidRPr="0059663A" w:rsidRDefault="009E66EE" w:rsidP="000425BB">
      <w:pPr>
        <w:rPr>
          <w:rFonts w:eastAsiaTheme="majorEastAsia" w:cs="Arial"/>
          <w:sz w:val="21"/>
          <w:szCs w:val="22"/>
          <w:lang w:eastAsia="en-AU"/>
        </w:rPr>
      </w:pPr>
      <w:r>
        <w:t xml:space="preserve">From </w:t>
      </w:r>
      <w:r w:rsidR="00972991">
        <w:t xml:space="preserve">1 July 2021, </w:t>
      </w:r>
      <w:r w:rsidR="000425BB">
        <w:rPr>
          <w:rFonts w:eastAsiaTheme="majorEastAsia"/>
          <w:lang w:eastAsia="en-AU"/>
        </w:rPr>
        <w:t>t</w:t>
      </w:r>
      <w:r w:rsidR="000425BB" w:rsidRPr="000425BB">
        <w:rPr>
          <w:rFonts w:eastAsiaTheme="majorEastAsia"/>
          <w:lang w:eastAsia="en-AU"/>
        </w:rPr>
        <w:t>wo distinct mitral valve regurgitation patient populations will have access to MBS rebates for TMVr when the MitraClip™ implant is utilised, as follows:</w:t>
      </w:r>
    </w:p>
    <w:p w:rsidR="000425BB" w:rsidRPr="0059663A" w:rsidRDefault="000425BB" w:rsidP="000425BB">
      <w:pPr>
        <w:pStyle w:val="ListParagraph"/>
        <w:rPr>
          <w:rFonts w:eastAsiaTheme="majorEastAsia" w:cs="Arial"/>
          <w:lang w:eastAsia="en-AU"/>
        </w:rPr>
      </w:pPr>
      <w:r w:rsidRPr="0059663A">
        <w:rPr>
          <w:rFonts w:eastAsiaTheme="majorEastAsia"/>
          <w:b/>
          <w:lang w:eastAsia="en-AU"/>
        </w:rPr>
        <w:t>Item 38461</w:t>
      </w:r>
      <w:r w:rsidRPr="0059663A">
        <w:rPr>
          <w:rFonts w:eastAsiaTheme="majorEastAsia"/>
          <w:lang w:eastAsia="en-AU"/>
        </w:rPr>
        <w:t xml:space="preserve"> - degenerative (primary) moderate-severe mitral valve regurgitation deemed to be at high risk for surgical mitral valve replacement; or</w:t>
      </w:r>
    </w:p>
    <w:p w:rsidR="000425BB" w:rsidRPr="000425BB" w:rsidRDefault="000425BB" w:rsidP="000425BB">
      <w:pPr>
        <w:pStyle w:val="ListParagraph"/>
        <w:rPr>
          <w:rFonts w:eastAsiaTheme="majorEastAsia" w:cs="Arial"/>
          <w:lang w:eastAsia="en-AU"/>
        </w:rPr>
      </w:pPr>
      <w:r w:rsidRPr="0059663A">
        <w:rPr>
          <w:rFonts w:eastAsiaTheme="majorEastAsia"/>
          <w:b/>
          <w:lang w:eastAsia="en-AU"/>
        </w:rPr>
        <w:t>Item 38463</w:t>
      </w:r>
      <w:r w:rsidRPr="0059663A">
        <w:rPr>
          <w:rFonts w:eastAsiaTheme="majorEastAsia"/>
          <w:lang w:eastAsia="en-AU"/>
        </w:rPr>
        <w:t xml:space="preserve"> - functional (secondary) moderate-severe mitral valve regurgitation deemed to be at high risk for surgical mitral valve replacement</w:t>
      </w:r>
      <w:r w:rsidR="00A11B39">
        <w:rPr>
          <w:rFonts w:eastAsiaTheme="majorEastAsia"/>
          <w:lang w:eastAsia="en-AU"/>
        </w:rPr>
        <w:t>.</w:t>
      </w:r>
    </w:p>
    <w:p w:rsidR="000425BB" w:rsidRPr="000425BB" w:rsidRDefault="000425BB" w:rsidP="000425BB">
      <w:pPr>
        <w:rPr>
          <w:rFonts w:eastAsiaTheme="majorEastAsia" w:cs="Arial"/>
          <w:lang w:eastAsia="en-AU"/>
        </w:rPr>
      </w:pPr>
      <w:r w:rsidRPr="000425BB">
        <w:rPr>
          <w:rFonts w:eastAsiaTheme="majorEastAsia"/>
          <w:lang w:eastAsia="en-AU"/>
        </w:rPr>
        <w:t>Two new attendance items will also be introduced for the purposes of determining a patient’s eligibility for a TMVr service. This will provide for a case conference coordinator and attendance at a case conference as follows:</w:t>
      </w:r>
    </w:p>
    <w:p w:rsidR="000425BB" w:rsidRPr="0059663A" w:rsidRDefault="000425BB" w:rsidP="000425BB">
      <w:pPr>
        <w:pStyle w:val="ListParagraph"/>
        <w:rPr>
          <w:rFonts w:eastAsiaTheme="majorEastAsia" w:cs="Arial"/>
          <w:lang w:eastAsia="en-AU"/>
        </w:rPr>
      </w:pPr>
      <w:r w:rsidRPr="0059663A">
        <w:rPr>
          <w:rFonts w:eastAsiaTheme="majorEastAsia"/>
          <w:b/>
          <w:lang w:eastAsia="en-AU"/>
        </w:rPr>
        <w:t>Item 6082</w:t>
      </w:r>
      <w:r w:rsidRPr="0059663A">
        <w:rPr>
          <w:rFonts w:eastAsiaTheme="majorEastAsia"/>
          <w:lang w:eastAsia="en-AU"/>
        </w:rPr>
        <w:t xml:space="preserve"> - attendance at a TMVr suitability case conference, by a cardiothoracic surgeon or an interventional cardiologist, to coordinate the conference</w:t>
      </w:r>
      <w:r w:rsidR="00A11B39">
        <w:rPr>
          <w:rFonts w:eastAsiaTheme="majorEastAsia"/>
          <w:lang w:eastAsia="en-AU"/>
        </w:rPr>
        <w:t>.</w:t>
      </w:r>
    </w:p>
    <w:p w:rsidR="000425BB" w:rsidRPr="0059663A" w:rsidRDefault="000425BB" w:rsidP="000425BB">
      <w:pPr>
        <w:pStyle w:val="ListParagraph"/>
        <w:rPr>
          <w:rFonts w:eastAsiaTheme="majorEastAsia" w:cs="Arial"/>
          <w:lang w:eastAsia="en-AU"/>
        </w:rPr>
      </w:pPr>
      <w:r w:rsidRPr="0059663A">
        <w:rPr>
          <w:rFonts w:eastAsiaTheme="majorEastAsia"/>
          <w:b/>
          <w:lang w:eastAsia="en-AU"/>
        </w:rPr>
        <w:t>Item 6084</w:t>
      </w:r>
      <w:r w:rsidRPr="0059663A">
        <w:rPr>
          <w:rFonts w:eastAsiaTheme="majorEastAsia"/>
          <w:lang w:eastAsia="en-AU"/>
        </w:rPr>
        <w:t xml:space="preserve"> - Attendance at a TMVr suitability case conference, by a specialist or consultant physician, other than to coordinate the conference</w:t>
      </w:r>
      <w:r w:rsidR="00A11B39">
        <w:rPr>
          <w:rFonts w:eastAsiaTheme="majorEastAsia"/>
          <w:lang w:eastAsia="en-AU"/>
        </w:rPr>
        <w:t>.</w:t>
      </w:r>
    </w:p>
    <w:p w:rsidR="00135417" w:rsidRDefault="00135417" w:rsidP="00AB53A4">
      <w:pPr>
        <w:pStyle w:val="Heading2"/>
      </w:pPr>
      <w:r>
        <w:t xml:space="preserve">Why </w:t>
      </w:r>
      <w:r w:rsidR="009F52D4">
        <w:t>are the changes being made</w:t>
      </w:r>
      <w:r>
        <w:t>?</w:t>
      </w:r>
    </w:p>
    <w:p w:rsidR="00972991" w:rsidRDefault="00972991" w:rsidP="00972991">
      <w:pPr>
        <w:pStyle w:val="ListParagraph"/>
      </w:pPr>
      <w:r w:rsidRPr="001D2516">
        <w:t>The changes are the outcome of Government agreement to recommendations from the independent Medical Services Advisory Committee (MSAC)</w:t>
      </w:r>
      <w:r>
        <w:t>.</w:t>
      </w:r>
      <w:r w:rsidRPr="001D2516">
        <w:t xml:space="preserve"> </w:t>
      </w:r>
      <w:r w:rsidRPr="001D2516">
        <w:rPr>
          <w:color w:val="222222"/>
          <w:shd w:val="clear" w:color="auto" w:fill="FFFFFF"/>
        </w:rPr>
        <w:t>MSAC appraises medical services, health technologies and health programs for public funding through an assessment of their comparative safety, clinical effectiveness, cost effectiveness and total cost, using the best available evidence. </w:t>
      </w:r>
    </w:p>
    <w:p w:rsidR="00972991" w:rsidRDefault="00972991" w:rsidP="00972991">
      <w:pPr>
        <w:pStyle w:val="ListParagraph"/>
      </w:pPr>
      <w:r w:rsidRPr="001D2516">
        <w:lastRenderedPageBreak/>
        <w:t>The changes suppo</w:t>
      </w:r>
      <w:r>
        <w:t>rt current best practice and reflect contemporary advancements in cardiac intervention for some of the most vulnerable people with heart disease</w:t>
      </w:r>
    </w:p>
    <w:p w:rsidR="001E6F63" w:rsidRDefault="001E6F63" w:rsidP="00433682">
      <w:bookmarkStart w:id="2" w:name="_Hlk535386664"/>
      <w:r w:rsidRPr="00CE1541">
        <w:t xml:space="preserve">The listing of this service was recommended by </w:t>
      </w:r>
      <w:r w:rsidR="000425BB">
        <w:t>MSAC</w:t>
      </w:r>
      <w:r w:rsidR="00AF5F04">
        <w:t>, f</w:t>
      </w:r>
      <w:r w:rsidRPr="00CE1541">
        <w:t xml:space="preserve">urther details about MSAC </w:t>
      </w:r>
      <w:r w:rsidR="0059641E">
        <w:t>a</w:t>
      </w:r>
      <w:r w:rsidRPr="00CE1541">
        <w:t>pplication</w:t>
      </w:r>
      <w:r w:rsidR="00FE50B6">
        <w:t>s</w:t>
      </w:r>
      <w:r w:rsidRPr="00CE1541">
        <w:t xml:space="preserve"> can be found </w:t>
      </w:r>
      <w:r w:rsidR="00FE50B6">
        <w:t>under</w:t>
      </w:r>
      <w:r w:rsidR="0059641E">
        <w:t xml:space="preserve"> </w:t>
      </w:r>
      <w:hyperlink r:id="rId14" w:history="1">
        <w:r w:rsidR="0059641E" w:rsidRPr="00FE50B6">
          <w:rPr>
            <w:rStyle w:val="Hyperlink"/>
          </w:rPr>
          <w:t>MSAC Applications</w:t>
        </w:r>
      </w:hyperlink>
      <w:r w:rsidR="0059641E">
        <w:t xml:space="preserve"> </w:t>
      </w:r>
      <w:r w:rsidR="00FE50B6">
        <w:t>on</w:t>
      </w:r>
      <w:r w:rsidR="0059641E">
        <w:t xml:space="preserve"> the </w:t>
      </w:r>
      <w:r w:rsidR="00141BC3" w:rsidRPr="00B06E28">
        <w:t>MSAC website</w:t>
      </w:r>
      <w:r w:rsidR="00FE50B6">
        <w:t xml:space="preserve"> (</w:t>
      </w:r>
      <w:hyperlink r:id="rId15" w:history="1">
        <w:r w:rsidR="00FE50B6" w:rsidRPr="00FE50B6">
          <w:rPr>
            <w:rStyle w:val="Hyperlink"/>
          </w:rPr>
          <w:t>www.msac.gov.au</w:t>
        </w:r>
      </w:hyperlink>
      <w:r w:rsidR="00FE50B6">
        <w:t>).</w:t>
      </w:r>
    </w:p>
    <w:bookmarkEnd w:id="2"/>
    <w:p w:rsidR="00425089" w:rsidRDefault="00425089" w:rsidP="00AB53A4">
      <w:pPr>
        <w:pStyle w:val="Heading2"/>
      </w:pPr>
      <w:r>
        <w:t xml:space="preserve">What does this mean for </w:t>
      </w:r>
      <w:r w:rsidR="00135417">
        <w:t>providers</w:t>
      </w:r>
      <w:r>
        <w:t>?</w:t>
      </w:r>
    </w:p>
    <w:p w:rsidR="00972991" w:rsidRDefault="00972991" w:rsidP="00972991">
      <w:r>
        <w:t>These changes support contemporary best practice and allow providers to offer a less invasive surgical option (for those at high-risk or absolute contraindication to open surgery).</w:t>
      </w:r>
    </w:p>
    <w:p w:rsidR="00972991" w:rsidRDefault="00972991" w:rsidP="00972991">
      <w:r>
        <w:t>More detail will be provided to the profession in due course.</w:t>
      </w:r>
    </w:p>
    <w:p w:rsidR="00BF00A9" w:rsidRDefault="008766AD" w:rsidP="00AB53A4">
      <w:pPr>
        <w:pStyle w:val="Heading2"/>
      </w:pPr>
      <w:r>
        <w:t>How will</w:t>
      </w:r>
      <w:r w:rsidR="009F52D4">
        <w:t xml:space="preserve"> these changes affect patients</w:t>
      </w:r>
      <w:r w:rsidR="00BF00A9" w:rsidRPr="001A7FB7">
        <w:t>?</w:t>
      </w:r>
    </w:p>
    <w:p w:rsidR="00972991" w:rsidRDefault="00972991" w:rsidP="00972991">
      <w:r w:rsidRPr="0088144F">
        <w:t>Patients</w:t>
      </w:r>
      <w:r>
        <w:t xml:space="preserve"> who are unable to undergo open surgical mitral valve repair</w:t>
      </w:r>
      <w:r w:rsidRPr="0088144F">
        <w:t xml:space="preserve"> will benefit from access </w:t>
      </w:r>
      <w:r>
        <w:t>to a less invasive surgical alternative to optimal medical therapy (e.g. medication) that has not been previously available.</w:t>
      </w:r>
    </w:p>
    <w:p w:rsidR="00595BBD" w:rsidRDefault="00595BBD" w:rsidP="00AB53A4">
      <w:pPr>
        <w:pStyle w:val="Heading2"/>
      </w:pPr>
      <w:r w:rsidRPr="00AF5F04">
        <w:t>Who was consulted on the changes?</w:t>
      </w:r>
    </w:p>
    <w:p w:rsidR="0083701A" w:rsidRDefault="00055418" w:rsidP="00AF5F04">
      <w:r>
        <w:t xml:space="preserve">The Department of Health has listed these items on the MBS in consultation with </w:t>
      </w:r>
      <w:r w:rsidR="00C17375">
        <w:t>Cardiac Accreditation Services Limited</w:t>
      </w:r>
      <w:r w:rsidR="0083701A">
        <w:t>.</w:t>
      </w:r>
    </w:p>
    <w:p w:rsidR="0083701A" w:rsidRDefault="0083701A" w:rsidP="00AF5F04">
      <w:pPr>
        <w:pStyle w:val="Heading2"/>
      </w:pPr>
      <w:r w:rsidRPr="00AF5F04">
        <w:t>What is the role and function of the Cardiac Accreditation Services Limited ?</w:t>
      </w:r>
    </w:p>
    <w:p w:rsidR="0083701A" w:rsidRDefault="0083701A" w:rsidP="0083701A">
      <w:r>
        <w:t xml:space="preserve">Cardiac Accreditation Services Limited, is responsible for developing the processes and criteria for the accreditation of TMVr Practitioners; the setting of minimum standards for TMVr Hospitals; and accrediting TMVr Practitioners. </w:t>
      </w:r>
    </w:p>
    <w:p w:rsidR="00C56D69" w:rsidRPr="00C56D69" w:rsidRDefault="0083701A" w:rsidP="00C56D69">
      <w:r>
        <w:t>Cardiac Accreditation Services Limited is comprised of representatives from t</w:t>
      </w:r>
      <w:r w:rsidRPr="001C1CB9">
        <w:t>he Australian &amp; New Zealand Society of Cardiac &amp; Thoracic Surgeons (ANZSCTS) and the</w:t>
      </w:r>
      <w:r>
        <w:t xml:space="preserve"> </w:t>
      </w:r>
      <w:r w:rsidRPr="001C1CB9">
        <w:t>Cardiac Society of Australia and New Zealand (CSANZ)</w:t>
      </w:r>
      <w:r>
        <w:t>.</w:t>
      </w:r>
    </w:p>
    <w:p w:rsidR="00595BBD" w:rsidRDefault="00595BBD" w:rsidP="00AB53A4">
      <w:pPr>
        <w:pStyle w:val="Heading2"/>
      </w:pPr>
      <w:r w:rsidRPr="00AF5F04">
        <w:t>How will the changes be monitored</w:t>
      </w:r>
      <w:r w:rsidR="000367AA" w:rsidRPr="00AF5F04">
        <w:t xml:space="preserve"> and reviewed</w:t>
      </w:r>
      <w:r w:rsidRPr="00AF5F04">
        <w:t>?</w:t>
      </w:r>
    </w:p>
    <w:p w:rsidR="00055418" w:rsidRDefault="00055418" w:rsidP="00055418">
      <w:pPr>
        <w:autoSpaceDE w:val="0"/>
        <w:autoSpaceDN w:val="0"/>
        <w:adjustRightInd w:val="0"/>
        <w:spacing w:after="0" w:line="276" w:lineRule="auto"/>
      </w:pPr>
      <w:r>
        <w:t>The new items</w:t>
      </w:r>
      <w:r w:rsidRPr="00C379F4">
        <w:t xml:space="preserve"> will be subject to MBS compliance processes and activities, including audits, which may require a provider to sub</w:t>
      </w:r>
      <w:r>
        <w:t>mit evidence about the services</w:t>
      </w:r>
      <w:r w:rsidRPr="00C379F4">
        <w:t xml:space="preserve"> claimed. </w:t>
      </w:r>
    </w:p>
    <w:p w:rsidR="00055418" w:rsidRDefault="00055418" w:rsidP="00055418">
      <w:pPr>
        <w:autoSpaceDE w:val="0"/>
        <w:autoSpaceDN w:val="0"/>
        <w:adjustRightInd w:val="0"/>
        <w:spacing w:after="0" w:line="276" w:lineRule="auto"/>
      </w:pPr>
    </w:p>
    <w:p w:rsidR="00055418" w:rsidRPr="00C379F4" w:rsidRDefault="00055418" w:rsidP="00055418">
      <w:pPr>
        <w:autoSpaceDE w:val="0"/>
        <w:autoSpaceDN w:val="0"/>
        <w:adjustRightInd w:val="0"/>
        <w:spacing w:after="0" w:line="276" w:lineRule="auto"/>
      </w:pPr>
      <w:r>
        <w:t>The Department of Health will monitor the use of the new MBS items by eligible providers. Use of the items that do not seem to be in accordance with the relevant Medicare guidelines will be actioned appropriately.</w:t>
      </w:r>
    </w:p>
    <w:p w:rsidR="00C56D69" w:rsidRPr="00C56D69" w:rsidRDefault="00C56D69" w:rsidP="00C56D69"/>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lastRenderedPageBreak/>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AF4D21">
          <w:rPr>
            <w:rStyle w:val="Hyperlink"/>
          </w:rPr>
          <w:t>askMBS@health.gov.au</w:t>
        </w:r>
      </w:hyperlink>
      <w:r>
        <w:t>.</w:t>
      </w:r>
    </w:p>
    <w:p w:rsidR="00B378D4" w:rsidRDefault="00B378D4">
      <w:r>
        <w:t>Subscribe to ‘</w:t>
      </w:r>
      <w:hyperlink r:id="rId19" w:history="1">
        <w:r w:rsidRPr="00B378D4">
          <w:rPr>
            <w:rStyle w:val="Hyperlink"/>
          </w:rPr>
          <w:t>News for Health Professionals</w:t>
        </w:r>
      </w:hyperlink>
      <w:bookmarkStart w:id="3" w:name="_GoBack"/>
      <w:bookmarkEnd w:id="3"/>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FF7" w:rsidRDefault="00316FF7" w:rsidP="006D1088">
      <w:pPr>
        <w:spacing w:after="0" w:line="240" w:lineRule="auto"/>
      </w:pPr>
      <w:r>
        <w:separator/>
      </w:r>
    </w:p>
  </w:endnote>
  <w:endnote w:type="continuationSeparator" w:id="0">
    <w:p w:rsidR="00316FF7" w:rsidRDefault="00316F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32" w:rsidRDefault="0090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F1035B" w:rsidP="009B32BA">
    <w:pPr>
      <w:pStyle w:val="Footer"/>
    </w:pPr>
    <w:r>
      <w:rPr>
        <w:rStyle w:val="BookTitle"/>
        <w:noProof/>
      </w:rPr>
      <w:pict w14:anchorId="7CCB03A8">
        <v:rect id="_x0000_i1025" style="width:523.3pt;height:1.9pt" o:hralign="center" o:hrstd="t" o:hr="t" fillcolor="#a0a0a0" stroked="f"/>
      </w:pict>
    </w:r>
    <w:r w:rsidR="009B32BA">
      <w:t>Medicare Benefits Schedule</w:t>
    </w:r>
  </w:p>
  <w:p w:rsidR="009B32BA" w:rsidRDefault="00C56D69" w:rsidP="009B32BA">
    <w:pPr>
      <w:pStyle w:val="Footer"/>
      <w:tabs>
        <w:tab w:val="clear" w:pos="9026"/>
        <w:tab w:val="right" w:pos="10466"/>
      </w:tabs>
    </w:pPr>
    <w:r>
      <w:t xml:space="preserve">MBS Listing for </w:t>
    </w:r>
    <w:proofErr w:type="spellStart"/>
    <w:r>
      <w:t>Transcatheter</w:t>
    </w:r>
    <w:proofErr w:type="spellEnd"/>
    <w:r>
      <w:t xml:space="preserve"> Mitral V</w:t>
    </w:r>
    <w:r w:rsidR="009A2867" w:rsidRPr="00CD412A">
      <w:t>alve repair (</w:t>
    </w:r>
    <w:proofErr w:type="spellStart"/>
    <w:r w:rsidR="009A2867" w:rsidRPr="00CD412A">
      <w:t>TMV</w:t>
    </w:r>
    <w:r w:rsidR="009A2867" w:rsidRPr="0059663A">
      <w:t>r</w:t>
    </w:r>
    <w:proofErr w:type="spellEnd"/>
    <w:r w:rsidR="009A2867" w:rsidRPr="00CD412A">
      <w:t xml:space="preserve">) using the </w:t>
    </w:r>
    <w:proofErr w:type="spellStart"/>
    <w:r w:rsidR="00AF5F04">
      <w:t>M</w:t>
    </w:r>
    <w:r w:rsidR="009A2867" w:rsidRPr="00CD412A">
      <w:t>itra</w:t>
    </w:r>
    <w:r w:rsidR="00AF5F04">
      <w:t>C</w:t>
    </w:r>
    <w:r w:rsidR="009A2867" w:rsidRPr="00CD412A">
      <w:t>lip</w:t>
    </w:r>
    <w:proofErr w:type="spellEnd"/>
    <w:r w:rsidR="009A2867" w:rsidRPr="0059663A">
      <w:rPr>
        <w:color w:val="222731"/>
        <w:spacing w:val="5"/>
        <w:sz w:val="24"/>
        <w:szCs w:val="22"/>
        <w:shd w:val="clear" w:color="auto" w:fill="FFFFFF"/>
      </w:rPr>
      <w:t>™</w:t>
    </w:r>
    <w:r w:rsidR="009A2867" w:rsidRPr="00CD412A">
      <w:t xml:space="preserve"> implant</w:t>
    </w:r>
    <w:r w:rsidR="009A2867">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1035B">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1035B">
                  <w:rPr>
                    <w:bCs/>
                    <w:noProof/>
                  </w:rPr>
                  <w:t>3</w:t>
                </w:r>
                <w:r w:rsidR="009B32BA" w:rsidRPr="00F546CA">
                  <w:rPr>
                    <w:bCs/>
                    <w:sz w:val="24"/>
                    <w:szCs w:val="24"/>
                  </w:rPr>
                  <w:fldChar w:fldCharType="end"/>
                </w:r>
              </w:sdtContent>
            </w:sdt>
          </w:sdtContent>
        </w:sdt>
        <w:r w:rsidR="009B32BA">
          <w:t xml:space="preserve"> </w:t>
        </w:r>
      </w:sdtContent>
    </w:sdt>
  </w:p>
  <w:p w:rsidR="009B32BA" w:rsidRDefault="00F1035B">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A11B39">
      <w:t>24</w:t>
    </w:r>
    <w:r w:rsidR="009A2867">
      <w:t xml:space="preserve"> May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32" w:rsidRDefault="0090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FF7" w:rsidRDefault="00316FF7" w:rsidP="006D1088">
      <w:pPr>
        <w:spacing w:after="0" w:line="240" w:lineRule="auto"/>
      </w:pPr>
      <w:r>
        <w:separator/>
      </w:r>
    </w:p>
  </w:footnote>
  <w:footnote w:type="continuationSeparator" w:id="0">
    <w:p w:rsidR="00316FF7" w:rsidRDefault="00316F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32" w:rsidRDefault="0090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79223963" wp14:editId="31008A6B">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32" w:rsidRDefault="0090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E33700"/>
    <w:multiLevelType w:val="hybridMultilevel"/>
    <w:tmpl w:val="04860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C56F0B"/>
    <w:multiLevelType w:val="hybridMultilevel"/>
    <w:tmpl w:val="2F10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21A4592"/>
    <w:multiLevelType w:val="hybridMultilevel"/>
    <w:tmpl w:val="67EAD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4"/>
  </w:num>
  <w:num w:numId="16">
    <w:abstractNumId w:val="1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E6"/>
    <w:rsid w:val="000074DD"/>
    <w:rsid w:val="000367AA"/>
    <w:rsid w:val="000425BB"/>
    <w:rsid w:val="00045810"/>
    <w:rsid w:val="00055418"/>
    <w:rsid w:val="00073CBA"/>
    <w:rsid w:val="00081B97"/>
    <w:rsid w:val="000A2F0A"/>
    <w:rsid w:val="000B01AE"/>
    <w:rsid w:val="000B2A1B"/>
    <w:rsid w:val="000B51BC"/>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59E6"/>
    <w:rsid w:val="001E6F63"/>
    <w:rsid w:val="001F49E8"/>
    <w:rsid w:val="00200902"/>
    <w:rsid w:val="00203F3E"/>
    <w:rsid w:val="00221334"/>
    <w:rsid w:val="002427E0"/>
    <w:rsid w:val="00243D1C"/>
    <w:rsid w:val="0026502E"/>
    <w:rsid w:val="00276A29"/>
    <w:rsid w:val="00281820"/>
    <w:rsid w:val="00291041"/>
    <w:rsid w:val="002A3C7C"/>
    <w:rsid w:val="002A5A70"/>
    <w:rsid w:val="002B3FCB"/>
    <w:rsid w:val="002B70AC"/>
    <w:rsid w:val="002D2865"/>
    <w:rsid w:val="002D2CC5"/>
    <w:rsid w:val="002E6682"/>
    <w:rsid w:val="003122B4"/>
    <w:rsid w:val="00316FF7"/>
    <w:rsid w:val="00337919"/>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76F91"/>
    <w:rsid w:val="004933FA"/>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67BF2"/>
    <w:rsid w:val="00781867"/>
    <w:rsid w:val="007D1D3A"/>
    <w:rsid w:val="007E2604"/>
    <w:rsid w:val="007E33D2"/>
    <w:rsid w:val="00834903"/>
    <w:rsid w:val="008352AC"/>
    <w:rsid w:val="0083701A"/>
    <w:rsid w:val="00852651"/>
    <w:rsid w:val="008553F7"/>
    <w:rsid w:val="00864E28"/>
    <w:rsid w:val="008652A8"/>
    <w:rsid w:val="008766AD"/>
    <w:rsid w:val="00881219"/>
    <w:rsid w:val="00886D6B"/>
    <w:rsid w:val="008957B9"/>
    <w:rsid w:val="008A6F4F"/>
    <w:rsid w:val="008E258C"/>
    <w:rsid w:val="008E4C9B"/>
    <w:rsid w:val="008E7B7C"/>
    <w:rsid w:val="008F1594"/>
    <w:rsid w:val="008F4B45"/>
    <w:rsid w:val="009000AA"/>
    <w:rsid w:val="00904532"/>
    <w:rsid w:val="00907B4A"/>
    <w:rsid w:val="0091706C"/>
    <w:rsid w:val="00942A31"/>
    <w:rsid w:val="009542F2"/>
    <w:rsid w:val="009562F4"/>
    <w:rsid w:val="00972991"/>
    <w:rsid w:val="00977405"/>
    <w:rsid w:val="009858E2"/>
    <w:rsid w:val="009A2867"/>
    <w:rsid w:val="009A6B12"/>
    <w:rsid w:val="009B32BA"/>
    <w:rsid w:val="009B51E7"/>
    <w:rsid w:val="009B5206"/>
    <w:rsid w:val="009B7859"/>
    <w:rsid w:val="009C742B"/>
    <w:rsid w:val="009D0B98"/>
    <w:rsid w:val="009E4A9E"/>
    <w:rsid w:val="009E66EE"/>
    <w:rsid w:val="009E6DE2"/>
    <w:rsid w:val="009F52D4"/>
    <w:rsid w:val="00A11B39"/>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E53A3"/>
    <w:rsid w:val="00AF5F04"/>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17375"/>
    <w:rsid w:val="00C23393"/>
    <w:rsid w:val="00C4491F"/>
    <w:rsid w:val="00C56D69"/>
    <w:rsid w:val="00C6064C"/>
    <w:rsid w:val="00C61A31"/>
    <w:rsid w:val="00C66700"/>
    <w:rsid w:val="00CA5F76"/>
    <w:rsid w:val="00CC39C8"/>
    <w:rsid w:val="00CF45CC"/>
    <w:rsid w:val="00D11EDB"/>
    <w:rsid w:val="00D16EF3"/>
    <w:rsid w:val="00D3244E"/>
    <w:rsid w:val="00D36F35"/>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0121F"/>
    <w:rsid w:val="00E43F82"/>
    <w:rsid w:val="00E7403A"/>
    <w:rsid w:val="00E7460D"/>
    <w:rsid w:val="00EA2CDC"/>
    <w:rsid w:val="00EC2DBE"/>
    <w:rsid w:val="00ED1055"/>
    <w:rsid w:val="00ED2B70"/>
    <w:rsid w:val="00ED60EE"/>
    <w:rsid w:val="00F074CE"/>
    <w:rsid w:val="00F07E89"/>
    <w:rsid w:val="00F1035B"/>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basedOn w:val="Normal"/>
    <w:next w:val="Normal"/>
    <w:link w:val="Heading3Char"/>
    <w:uiPriority w:val="9"/>
    <w:semiHidden/>
    <w:unhideWhenUsed/>
    <w:rsid w:val="0083701A"/>
    <w:pPr>
      <w:keepNext/>
      <w:keepLines/>
      <w:spacing w:before="40" w:after="0"/>
      <w:outlineLvl w:val="2"/>
    </w:pPr>
    <w:rPr>
      <w:rFonts w:asciiTheme="majorHAnsi" w:eastAsiaTheme="majorEastAsia" w:hAnsiTheme="majorHAnsi" w:cstheme="majorBidi"/>
      <w:color w:val="0031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qFormat/>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Heading3Char">
    <w:name w:val="Heading 3 Char"/>
    <w:basedOn w:val="DefaultParagraphFont"/>
    <w:link w:val="Heading3"/>
    <w:uiPriority w:val="9"/>
    <w:semiHidden/>
    <w:rsid w:val="0083701A"/>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skMBS@health.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bsonline.gov.au/" TargetMode="External"/><Relationship Id="rId2" Type="http://schemas.openxmlformats.org/officeDocument/2006/relationships/numbering" Target="numbering.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sac.gov.au/" TargetMode="External"/><Relationship Id="rId10" Type="http://schemas.openxmlformats.org/officeDocument/2006/relationships/footer" Target="footer1.xm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sac.gov.au/internet/msac/publishing.nsf/Content/application-pag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832C-2C4F-4C6A-B8BA-D1518DD8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2021-06-03T23:42:00Z</dcterms:created>
  <dcterms:modified xsi:type="dcterms:W3CDTF">2021-06-09T02:29:00Z</dcterms:modified>
</cp:coreProperties>
</file>