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248EF" w14:textId="77777777" w:rsidR="00B24376" w:rsidRDefault="00C06E51" w:rsidP="00AB53A4">
      <w:pPr>
        <w:pStyle w:val="Heading1"/>
      </w:pPr>
      <w:r>
        <w:t>Changes to MBS items and rules for diagnostic imaging services fact</w:t>
      </w:r>
      <w:r w:rsidR="00246AEB">
        <w:t xml:space="preserve"> </w:t>
      </w:r>
      <w:r>
        <w:t>sheet</w:t>
      </w:r>
      <w:r w:rsidR="00B71606">
        <w:t xml:space="preserve"> </w:t>
      </w:r>
    </w:p>
    <w:p w14:paraId="0D4C9F10" w14:textId="44E07B93" w:rsidR="00B24376" w:rsidRPr="00AB53A4" w:rsidRDefault="00B24376" w:rsidP="00B24376">
      <w:bookmarkStart w:id="0" w:name="_Hlk4568006"/>
      <w:r>
        <w:t xml:space="preserve">Last updated: </w:t>
      </w:r>
      <w:r w:rsidR="00CE2A0E">
        <w:t>23 December</w:t>
      </w:r>
      <w:r w:rsidRPr="00816438">
        <w:t xml:space="preserve"> 2021</w:t>
      </w:r>
    </w:p>
    <w:p w14:paraId="2F9AA7FB" w14:textId="755B16CA" w:rsidR="002B085D" w:rsidRDefault="00C06E51" w:rsidP="009E66EE">
      <w:pPr>
        <w:pStyle w:val="ListParagraph"/>
      </w:pPr>
      <w:bookmarkStart w:id="1" w:name="_Hlk535506978"/>
      <w:bookmarkEnd w:id="0"/>
      <w:r>
        <w:t xml:space="preserve">From </w:t>
      </w:r>
      <w:r w:rsidR="002B085D">
        <w:t>1 November 2021, t</w:t>
      </w:r>
      <w:r>
        <w:t xml:space="preserve">here will be number of changes relating to </w:t>
      </w:r>
      <w:r w:rsidR="006B0B78">
        <w:t>Medicare Benefits Schedule (</w:t>
      </w:r>
      <w:r>
        <w:t>MBS</w:t>
      </w:r>
      <w:r w:rsidR="006B0B78">
        <w:t>)</w:t>
      </w:r>
      <w:r>
        <w:t xml:space="preserve"> items and rules</w:t>
      </w:r>
      <w:r w:rsidR="00E67A00">
        <w:t xml:space="preserve"> for diagnostic imaging services to implement </w:t>
      </w:r>
      <w:r w:rsidR="002B085D">
        <w:t xml:space="preserve">the diagnostic imaging measures announced in the </w:t>
      </w:r>
      <w:r w:rsidR="002B085D" w:rsidRPr="00D647CC">
        <w:t>202</w:t>
      </w:r>
      <w:r w:rsidR="00D647CC" w:rsidRPr="00D647CC">
        <w:t>1</w:t>
      </w:r>
      <w:r w:rsidR="002B085D">
        <w:t>-2</w:t>
      </w:r>
      <w:r w:rsidR="00D647CC">
        <w:t>2</w:t>
      </w:r>
      <w:r w:rsidR="002B085D">
        <w:t xml:space="preserve"> Federal Budget, including new and amended listings recommended by the Medical Services Advisory Committee</w:t>
      </w:r>
      <w:r w:rsidR="00F40534">
        <w:t>, as well as some minor administrative changes.</w:t>
      </w:r>
      <w:r w:rsidR="002B085D">
        <w:t xml:space="preserve"> </w:t>
      </w:r>
    </w:p>
    <w:p w14:paraId="779350F4" w14:textId="2478211A" w:rsidR="00510063" w:rsidRDefault="003123A2" w:rsidP="009E66EE">
      <w:pPr>
        <w:pStyle w:val="ListParagraph"/>
      </w:pPr>
      <w:r>
        <w:t xml:space="preserve">The changes will ensure the </w:t>
      </w:r>
      <w:r w:rsidR="00C06E51">
        <w:t>diagnostic imaging services</w:t>
      </w:r>
      <w:r>
        <w:t xml:space="preserve"> provided under </w:t>
      </w:r>
      <w:r w:rsidR="00C06E51">
        <w:t>Medicare are contemporary and reflect best clinical practice</w:t>
      </w:r>
      <w:r w:rsidR="006B0B78">
        <w:t>.</w:t>
      </w:r>
      <w:r>
        <w:t xml:space="preserve"> </w:t>
      </w:r>
    </w:p>
    <w:bookmarkEnd w:id="1"/>
    <w:p w14:paraId="6995AB1B" w14:textId="32A5DBB1" w:rsidR="00045810" w:rsidRDefault="00C06E51" w:rsidP="00C06E51">
      <w:pPr>
        <w:pStyle w:val="ListParagraph"/>
      </w:pPr>
      <w:r w:rsidRPr="00C06E51">
        <w:t xml:space="preserve">These changes are relevant for all </w:t>
      </w:r>
      <w:r>
        <w:t xml:space="preserve">health professionals delivering and </w:t>
      </w:r>
      <w:r w:rsidRPr="00C06E51">
        <w:t xml:space="preserve">claiming </w:t>
      </w:r>
      <w:r>
        <w:t>diagnostic imaging services, consumer</w:t>
      </w:r>
      <w:r w:rsidR="00246AEB">
        <w:t>s</w:t>
      </w:r>
      <w:r>
        <w:t xml:space="preserve"> receiving and claiming the services, private health insurers and hospitals.</w:t>
      </w:r>
      <w:r w:rsidRPr="00C06E51">
        <w:t xml:space="preserve"> </w:t>
      </w:r>
    </w:p>
    <w:p w14:paraId="41A10B99" w14:textId="77777777" w:rsidR="0017279A" w:rsidRDefault="0086438C" w:rsidP="00AB53A4">
      <w:pPr>
        <w:sectPr w:rsidR="0017279A"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6AC0CEE7">
          <v:rect id="_x0000_i1026" style="width:500.25pt;height:1.35pt" o:hrpct="990" o:hralign="center" o:hrstd="t" o:hr="t" fillcolor="#a0a0a0" stroked="f"/>
        </w:pict>
      </w:r>
    </w:p>
    <w:p w14:paraId="7C953ACE" w14:textId="72E4FA41" w:rsidR="00F40534" w:rsidRDefault="00F40534" w:rsidP="00F40534">
      <w:r>
        <w:t xml:space="preserve">The following is a summary of the changes. Each of the item changes are covered in a </w:t>
      </w:r>
      <w:r w:rsidR="005A1BE2">
        <w:t xml:space="preserve">supporting </w:t>
      </w:r>
      <w:r>
        <w:t>Quick Referenc</w:t>
      </w:r>
      <w:r w:rsidR="00BD3526">
        <w:t>e</w:t>
      </w:r>
      <w:r>
        <w:t xml:space="preserve"> Guide</w:t>
      </w:r>
      <w:r w:rsidR="005A1BE2">
        <w:t>.</w:t>
      </w:r>
      <w:r>
        <w:t xml:space="preserve"> </w:t>
      </w:r>
    </w:p>
    <w:p w14:paraId="40319D16" w14:textId="740AF099" w:rsidR="00F40534" w:rsidRPr="008605F5" w:rsidRDefault="008605F5" w:rsidP="00F40534">
      <w:pPr>
        <w:rPr>
          <w:b/>
          <w:bCs/>
        </w:rPr>
      </w:pPr>
      <w:r w:rsidRPr="008605F5">
        <w:rPr>
          <w:b/>
          <w:bCs/>
        </w:rPr>
        <w:t>202</w:t>
      </w:r>
      <w:r w:rsidR="00D647CC">
        <w:rPr>
          <w:b/>
          <w:bCs/>
        </w:rPr>
        <w:t>1</w:t>
      </w:r>
      <w:r w:rsidRPr="008605F5">
        <w:rPr>
          <w:b/>
          <w:bCs/>
        </w:rPr>
        <w:t>-2</w:t>
      </w:r>
      <w:r w:rsidR="00D647CC">
        <w:rPr>
          <w:b/>
          <w:bCs/>
        </w:rPr>
        <w:t>2</w:t>
      </w:r>
      <w:r w:rsidRPr="008605F5">
        <w:rPr>
          <w:b/>
          <w:bCs/>
        </w:rPr>
        <w:t xml:space="preserve"> Budget changes</w:t>
      </w:r>
    </w:p>
    <w:p w14:paraId="6726CED2" w14:textId="4E11032F" w:rsidR="00F40534" w:rsidRDefault="00131B05" w:rsidP="00F40534">
      <w:pPr>
        <w:pStyle w:val="ListParagraph"/>
      </w:pPr>
      <w:r>
        <w:t>A</w:t>
      </w:r>
      <w:r w:rsidR="00F40534">
        <w:t xml:space="preserve"> new rule will be introduced to prevent the co-claiming of MBS </w:t>
      </w:r>
      <w:r w:rsidR="00226E89">
        <w:t>magnetic resonance imaging (</w:t>
      </w:r>
      <w:r w:rsidR="00F40534">
        <w:t>MRI</w:t>
      </w:r>
      <w:r w:rsidR="00226E89">
        <w:t>)</w:t>
      </w:r>
      <w:r w:rsidR="00F40534">
        <w:t xml:space="preserve"> items covering the head with other MBS MRI items covering the head and MRI items covering the spine with other MRI items of the spine. There will </w:t>
      </w:r>
      <w:r w:rsidR="0022229A">
        <w:t xml:space="preserve">be </w:t>
      </w:r>
      <w:r w:rsidR="00F40534">
        <w:t xml:space="preserve">exceptions to the </w:t>
      </w:r>
      <w:r w:rsidR="00F53297">
        <w:t>rule,</w:t>
      </w:r>
      <w:r w:rsidR="00F40534">
        <w:t xml:space="preserve"> and these are discussed </w:t>
      </w:r>
      <w:r w:rsidR="00875D1C">
        <w:t>in Attachment A</w:t>
      </w:r>
      <w:r w:rsidR="00F40534">
        <w:t>.</w:t>
      </w:r>
    </w:p>
    <w:p w14:paraId="4FFF44A4" w14:textId="5446355C" w:rsidR="00F40534" w:rsidRDefault="00131B05" w:rsidP="00F40534">
      <w:pPr>
        <w:pStyle w:val="ListParagraph"/>
      </w:pPr>
      <w:r>
        <w:t>A</w:t>
      </w:r>
      <w:r w:rsidR="00F40534">
        <w:t xml:space="preserve"> new rule will be introduced to prevent the co-claiming of consultation</w:t>
      </w:r>
      <w:r w:rsidR="00EB7EF0">
        <w:t xml:space="preserve"> items 52, 53, 54, 57 104 and 105</w:t>
      </w:r>
      <w:r w:rsidR="00F40534">
        <w:t xml:space="preserve"> with MRI scans. </w:t>
      </w:r>
      <w:r w:rsidR="00226E89">
        <w:t xml:space="preserve">There </w:t>
      </w:r>
      <w:r w:rsidR="0022229A">
        <w:t xml:space="preserve">will </w:t>
      </w:r>
      <w:r w:rsidR="00226E89">
        <w:t xml:space="preserve">also be exceptions to this rule as discussed </w:t>
      </w:r>
      <w:r w:rsidR="00875D1C">
        <w:t>in Attachment A</w:t>
      </w:r>
      <w:r w:rsidR="00226E89">
        <w:t>.</w:t>
      </w:r>
      <w:r w:rsidR="00F40534">
        <w:t xml:space="preserve"> </w:t>
      </w:r>
    </w:p>
    <w:p w14:paraId="0EF929AA" w14:textId="518E11F2" w:rsidR="00F40534" w:rsidRPr="008605F5" w:rsidRDefault="008605F5" w:rsidP="00F40534">
      <w:pPr>
        <w:rPr>
          <w:b/>
          <w:bCs/>
        </w:rPr>
      </w:pPr>
      <w:r w:rsidRPr="008605F5">
        <w:rPr>
          <w:b/>
          <w:bCs/>
        </w:rPr>
        <w:t>N</w:t>
      </w:r>
      <w:r w:rsidR="00F40534" w:rsidRPr="008605F5">
        <w:rPr>
          <w:b/>
          <w:bCs/>
        </w:rPr>
        <w:t>ew and amended listings recommended by the Medical Services Advisory Committee</w:t>
      </w:r>
    </w:p>
    <w:p w14:paraId="6D3248DB" w14:textId="62BD02CF" w:rsidR="00F40534" w:rsidRDefault="00F40534" w:rsidP="008605F5">
      <w:pPr>
        <w:pStyle w:val="ListParagraph"/>
      </w:pPr>
      <w:r>
        <w:t xml:space="preserve">A new item (61560) for PET for the diagnosis of Alzheimer’s Disease in patients where other diagnostic methods are equivocal will be introduced. There will be a restriction on this item limiting its use to once per patient per year and a maximum of three services in the patient’s lifetime. This item also cannot be claimed if single photon emission tomography item 61402 had been claimed in the previous 12 months. </w:t>
      </w:r>
    </w:p>
    <w:p w14:paraId="3D21F0FF" w14:textId="0E434BED" w:rsidR="00F40534" w:rsidRDefault="00F40534" w:rsidP="008605F5">
      <w:pPr>
        <w:pStyle w:val="ListParagraph"/>
      </w:pPr>
      <w:r>
        <w:t xml:space="preserve">The </w:t>
      </w:r>
      <w:proofErr w:type="gramStart"/>
      <w:r>
        <w:t>36 month</w:t>
      </w:r>
      <w:proofErr w:type="gramEnd"/>
      <w:r>
        <w:t xml:space="preserve"> time restriction for </w:t>
      </w:r>
      <w:r w:rsidR="00875D1C">
        <w:t xml:space="preserve">a computed tomography (CT) scan </w:t>
      </w:r>
      <w:r>
        <w:t xml:space="preserve">for colorectal neoplasia (item 56553) will be removed. This change will allow high risk category patients to be able to access diagnostic scans as frequently as </w:t>
      </w:r>
      <w:r w:rsidR="008605F5">
        <w:t xml:space="preserve">needed </w:t>
      </w:r>
      <w:r>
        <w:t>and alig</w:t>
      </w:r>
      <w:r w:rsidR="00131B05">
        <w:t>ns</w:t>
      </w:r>
      <w:r>
        <w:t xml:space="preserve"> the MBS with the National Health and Medical Research Council clinical guidelines.</w:t>
      </w:r>
    </w:p>
    <w:p w14:paraId="5A272ECB" w14:textId="75026055" w:rsidR="00F40534" w:rsidRDefault="00F40534" w:rsidP="008605F5">
      <w:pPr>
        <w:pStyle w:val="ListParagraph"/>
      </w:pPr>
      <w:r>
        <w:t>The MRI guided biopsy of the breast item (item 63489) will be amended to retain only the MRI-guidance component at a reduced fee and allow co-claiming with breast ultrasound and any relevant breast biopsy item.</w:t>
      </w:r>
    </w:p>
    <w:p w14:paraId="2C3AF884" w14:textId="2479E3E3" w:rsidR="00F40534" w:rsidRDefault="00F40534" w:rsidP="008605F5">
      <w:pPr>
        <w:pStyle w:val="ListParagraph"/>
      </w:pPr>
      <w:r>
        <w:t>The item descriptor for multiparametric MRI (item 63541) for the diagnosis of prostate cancer will include an expanded population to allow patients at very high risk of prostate cancer due to family history and a</w:t>
      </w:r>
      <w:r w:rsidR="00131B05">
        <w:t xml:space="preserve"> high</w:t>
      </w:r>
      <w:r w:rsidR="0022229A">
        <w:t xml:space="preserve"> </w:t>
      </w:r>
      <w:r>
        <w:t>prostate specific antigen to access the service.</w:t>
      </w:r>
    </w:p>
    <w:p w14:paraId="6DD583B6" w14:textId="77777777" w:rsidR="00322B68" w:rsidRDefault="00322B68" w:rsidP="00F40534">
      <w:pPr>
        <w:rPr>
          <w:b/>
          <w:bCs/>
        </w:rPr>
      </w:pPr>
    </w:p>
    <w:p w14:paraId="1584DE22" w14:textId="01928A6F" w:rsidR="00F40534" w:rsidRPr="008605F5" w:rsidRDefault="008605F5" w:rsidP="00F40534">
      <w:pPr>
        <w:rPr>
          <w:b/>
          <w:bCs/>
        </w:rPr>
      </w:pPr>
      <w:r w:rsidRPr="008605F5">
        <w:rPr>
          <w:b/>
          <w:bCs/>
        </w:rPr>
        <w:t xml:space="preserve">Administrative </w:t>
      </w:r>
      <w:r w:rsidR="00F40534" w:rsidRPr="008605F5">
        <w:rPr>
          <w:b/>
          <w:bCs/>
        </w:rPr>
        <w:t>changes</w:t>
      </w:r>
    </w:p>
    <w:p w14:paraId="254A7D38" w14:textId="33486D72" w:rsidR="00F40534" w:rsidRDefault="00F40534" w:rsidP="00F40534">
      <w:r>
        <w:t xml:space="preserve">There are three </w:t>
      </w:r>
      <w:r w:rsidR="00226E89">
        <w:t xml:space="preserve">administrative type </w:t>
      </w:r>
      <w:r>
        <w:t>changes:</w:t>
      </w:r>
    </w:p>
    <w:p w14:paraId="709AB38F" w14:textId="790F8361" w:rsidR="00F40534" w:rsidRDefault="00F40534" w:rsidP="000A006A">
      <w:pPr>
        <w:pStyle w:val="ListParagraph"/>
      </w:pPr>
      <w:r>
        <w:t>Pelvic ultrasound items 55065 and 55068 - this change is to remove a restriction that was placed on general pelvic ultrasound items 55065 and 55068 to allow the service to be rendered in association with gynaecological items 55736 and 55739.</w:t>
      </w:r>
      <w:r w:rsidR="008605F5">
        <w:t xml:space="preserve"> </w:t>
      </w:r>
      <w:r>
        <w:t>The restriction commenced on 1 May 2020 and should only have applied to pregnancy related services (recomm</w:t>
      </w:r>
      <w:r w:rsidR="00131B05">
        <w:t>endation</w:t>
      </w:r>
      <w:r>
        <w:t xml:space="preserve"> 14 of the Diagnostic Imaging Clinical Committee of the MBS Review Taskforce). The restriction was applied to all services in the Obstetric and Gynaecological section (Subgroup 5 of Group 1 of the </w:t>
      </w:r>
      <w:r w:rsidR="00131B05" w:rsidRPr="00131B05">
        <w:rPr>
          <w:i/>
          <w:iCs/>
        </w:rPr>
        <w:t>Health Insurance (</w:t>
      </w:r>
      <w:r w:rsidRPr="00131B05">
        <w:rPr>
          <w:i/>
          <w:iCs/>
        </w:rPr>
        <w:t>D</w:t>
      </w:r>
      <w:r w:rsidR="00131B05" w:rsidRPr="00131B05">
        <w:rPr>
          <w:i/>
          <w:iCs/>
        </w:rPr>
        <w:t>iagnostic Imaging Services Table) Regulations</w:t>
      </w:r>
      <w:r>
        <w:t xml:space="preserve">). Gynaecological items 55736 and 55739 are not pregnancy related. </w:t>
      </w:r>
    </w:p>
    <w:p w14:paraId="79E768DC" w14:textId="1907E198" w:rsidR="00F40534" w:rsidRDefault="00875D1C" w:rsidP="008605F5">
      <w:pPr>
        <w:pStyle w:val="ListParagraph"/>
      </w:pPr>
      <w:r>
        <w:t xml:space="preserve">CT angiography </w:t>
      </w:r>
      <w:r w:rsidR="00F40534">
        <w:t xml:space="preserve">item 57351 will be deleted. Item 57351 applied to second and subsequent scans in a </w:t>
      </w:r>
      <w:proofErr w:type="gramStart"/>
      <w:r w:rsidR="00F40534">
        <w:t>12 month</w:t>
      </w:r>
      <w:proofErr w:type="gramEnd"/>
      <w:r w:rsidR="00F40534">
        <w:t xml:space="preserve"> period following item 57350. Item 57350 was only able to be claimed once in a </w:t>
      </w:r>
      <w:proofErr w:type="gramStart"/>
      <w:r w:rsidR="00F40534">
        <w:t>12 month</w:t>
      </w:r>
      <w:proofErr w:type="gramEnd"/>
      <w:r w:rsidR="00F40534">
        <w:t xml:space="preserve"> period. Item 57350 was split into three items on 1 May 2020 (items 57352, 57353 and 57354) and a further item (item 57357) was added on 1 November 2020. In addition to the recommendation to split item 57350, the</w:t>
      </w:r>
      <w:r w:rsidR="00131B05">
        <w:t xml:space="preserve"> MBS Review</w:t>
      </w:r>
      <w:r w:rsidR="00F40534">
        <w:t xml:space="preserve"> Taskforce recommended that the frequency restrictions be removed. </w:t>
      </w:r>
      <w:r w:rsidR="00131B05">
        <w:t>I</w:t>
      </w:r>
      <w:r w:rsidR="00F40534">
        <w:t>tems 57352, 57353, 57354 and 57357 have no frequency restrictions</w:t>
      </w:r>
      <w:r w:rsidR="00131B05">
        <w:t xml:space="preserve"> which </w:t>
      </w:r>
      <w:r w:rsidR="00F40534">
        <w:t xml:space="preserve">has rendered item 57351 obsolete. </w:t>
      </w:r>
    </w:p>
    <w:p w14:paraId="3139F174" w14:textId="6FD5A6D0" w:rsidR="002D334A" w:rsidRPr="002D334A" w:rsidRDefault="00875D1C" w:rsidP="00875D1C">
      <w:pPr>
        <w:pStyle w:val="ListParagraph"/>
      </w:pPr>
      <w:r>
        <w:t xml:space="preserve">The </w:t>
      </w:r>
      <w:r w:rsidR="00F40534">
        <w:t xml:space="preserve">descriptor for item 57360 </w:t>
      </w:r>
      <w:r>
        <w:t xml:space="preserve">(CT coronary angiography) </w:t>
      </w:r>
      <w:r w:rsidR="00F40534">
        <w:t>will be amended to reflect changes recommended by the MBS Review Taskforce that were unintentionally omitted from the 1 July 2021 cardiac related changes.</w:t>
      </w:r>
    </w:p>
    <w:p w14:paraId="5FE34DAC" w14:textId="4A9DD796" w:rsidR="00135417" w:rsidRDefault="00135417" w:rsidP="00AB53A4">
      <w:pPr>
        <w:pStyle w:val="Heading2"/>
      </w:pPr>
      <w:r>
        <w:t xml:space="preserve">Why </w:t>
      </w:r>
      <w:r w:rsidR="009F52D4">
        <w:t>are the changes being made</w:t>
      </w:r>
      <w:r>
        <w:t>?</w:t>
      </w:r>
    </w:p>
    <w:p w14:paraId="1CE25DA8" w14:textId="42BBD90D" w:rsidR="001E6F63" w:rsidRPr="00551BE5" w:rsidRDefault="00226E89" w:rsidP="00226E89">
      <w:bookmarkStart w:id="2" w:name="_Hlk535386664"/>
      <w:r>
        <w:t xml:space="preserve">The changes are being made to ensure that </w:t>
      </w:r>
      <w:r w:rsidRPr="00226E89">
        <w:t xml:space="preserve">diagnostic imaging services provided under Medicare are contemporary and reflect best clinical practice. </w:t>
      </w:r>
      <w:bookmarkEnd w:id="2"/>
    </w:p>
    <w:p w14:paraId="332FB1D3" w14:textId="4C83CE0C" w:rsidR="00425089" w:rsidRDefault="00425089" w:rsidP="00AB53A4">
      <w:pPr>
        <w:pStyle w:val="Heading2"/>
      </w:pPr>
      <w:r>
        <w:t xml:space="preserve">What does this mean for </w:t>
      </w:r>
      <w:r w:rsidR="00135417">
        <w:t>providers</w:t>
      </w:r>
      <w:r w:rsidR="006A667E">
        <w:t xml:space="preserve"> and requesters of diagnostic imaging services</w:t>
      </w:r>
      <w:r>
        <w:t>?</w:t>
      </w:r>
    </w:p>
    <w:p w14:paraId="10D51576" w14:textId="77777777" w:rsidR="00760067" w:rsidRDefault="00760067" w:rsidP="002B70AC">
      <w:r>
        <w:t>Providers of diagnostic imaging services will need to familiarise themselves with the changes so that they can correctly bill for any new and amended items.</w:t>
      </w:r>
    </w:p>
    <w:p w14:paraId="3B968B03" w14:textId="76C2751C" w:rsidR="00760067" w:rsidRDefault="00760067" w:rsidP="002B70AC">
      <w:r>
        <w:t xml:space="preserve">Requesters of diagnostic imaging services should also be aware of the changes to ensure that they request the most appropriate item. </w:t>
      </w:r>
    </w:p>
    <w:p w14:paraId="186E61CB" w14:textId="77777777" w:rsidR="00BF00A9" w:rsidRDefault="008766AD" w:rsidP="00AB53A4">
      <w:pPr>
        <w:pStyle w:val="Heading2"/>
      </w:pPr>
      <w:r>
        <w:t>How will</w:t>
      </w:r>
      <w:r w:rsidR="009F52D4">
        <w:t xml:space="preserve"> these changes affect patients</w:t>
      </w:r>
      <w:r w:rsidR="00BF00A9" w:rsidRPr="001A7FB7">
        <w:t>?</w:t>
      </w:r>
    </w:p>
    <w:p w14:paraId="616FD1CB" w14:textId="54743D82" w:rsidR="002D2CC5" w:rsidRDefault="002D2CC5" w:rsidP="002D2CC5">
      <w:pPr>
        <w:pStyle w:val="CommentText"/>
      </w:pPr>
      <w:r>
        <w:rPr>
          <w:rFonts w:cs="Arial"/>
          <w:color w:val="222222"/>
        </w:rPr>
        <w:t>The changes will provide greater access for patients</w:t>
      </w:r>
      <w:r w:rsidR="00752400">
        <w:rPr>
          <w:rFonts w:cs="Arial"/>
          <w:color w:val="222222"/>
        </w:rPr>
        <w:t xml:space="preserve"> to services that are contemporary and reflect best clinical practice</w:t>
      </w:r>
      <w:r>
        <w:rPr>
          <w:rFonts w:cs="Arial"/>
          <w:color w:val="222222"/>
        </w:rPr>
        <w:t xml:space="preserve"> leading to improved health outcomes.</w:t>
      </w:r>
    </w:p>
    <w:p w14:paraId="19D038BB" w14:textId="5C87E35B" w:rsidR="002D2CC5" w:rsidRDefault="002D2CC5" w:rsidP="002D2CC5">
      <w:pPr>
        <w:pStyle w:val="CommentText"/>
      </w:pPr>
      <w:r>
        <w:rPr>
          <w:rFonts w:cs="Arial"/>
          <w:color w:val="222222"/>
        </w:rPr>
        <w:t>Patients should not be negatively affected by</w:t>
      </w:r>
      <w:r w:rsidR="00F45A5F">
        <w:rPr>
          <w:rFonts w:cs="Arial"/>
          <w:color w:val="222222"/>
        </w:rPr>
        <w:t xml:space="preserve"> the changes </w:t>
      </w:r>
      <w:r w:rsidR="00A0004E">
        <w:rPr>
          <w:rFonts w:cs="Arial"/>
          <w:color w:val="222222"/>
        </w:rPr>
        <w:t xml:space="preserve">and </w:t>
      </w:r>
      <w:r>
        <w:rPr>
          <w:rFonts w:cs="Arial"/>
          <w:color w:val="222222"/>
        </w:rPr>
        <w:t>will have continued access to clinically relevant services.</w:t>
      </w:r>
    </w:p>
    <w:p w14:paraId="045FA092" w14:textId="77777777" w:rsidR="00F53297" w:rsidRDefault="00F53297">
      <w:pPr>
        <w:spacing w:line="259" w:lineRule="auto"/>
        <w:rPr>
          <w:rFonts w:asciiTheme="majorHAnsi" w:hAnsiTheme="majorHAnsi"/>
          <w:color w:val="001A70" w:themeColor="text2"/>
          <w:sz w:val="28"/>
        </w:rPr>
      </w:pPr>
      <w:r>
        <w:br w:type="page"/>
      </w:r>
    </w:p>
    <w:p w14:paraId="44ECF16B" w14:textId="0106FE8A" w:rsidR="00595BBD" w:rsidRDefault="00595BBD" w:rsidP="00AB53A4">
      <w:pPr>
        <w:pStyle w:val="Heading2"/>
      </w:pPr>
      <w:r w:rsidRPr="001A7FB7">
        <w:lastRenderedPageBreak/>
        <w:t>Who was consulted on the changes?</w:t>
      </w:r>
    </w:p>
    <w:p w14:paraId="7F4A0835" w14:textId="62AD5862" w:rsidR="00226E89" w:rsidRDefault="00226E89" w:rsidP="00226E89">
      <w:r>
        <w:t>Consultation on the changes has been undertaken</w:t>
      </w:r>
      <w:r w:rsidR="00131B05">
        <w:t>, where relevant,</w:t>
      </w:r>
      <w:r>
        <w:t xml:space="preserve"> with</w:t>
      </w:r>
      <w:r w:rsidR="00875D1C">
        <w:t xml:space="preserve"> the</w:t>
      </w:r>
      <w:r>
        <w:t>:</w:t>
      </w:r>
    </w:p>
    <w:p w14:paraId="4ECC9BB6" w14:textId="6203FA83" w:rsidR="00226E89" w:rsidRDefault="00226E89" w:rsidP="00226E89">
      <w:pPr>
        <w:pStyle w:val="ListParagraph"/>
        <w:numPr>
          <w:ilvl w:val="0"/>
          <w:numId w:val="39"/>
        </w:numPr>
      </w:pPr>
      <w:r>
        <w:t>Royal Australian and New Zealand College of Radiologists</w:t>
      </w:r>
    </w:p>
    <w:p w14:paraId="3BBA6C96" w14:textId="4C97E369" w:rsidR="00875D1C" w:rsidRDefault="00226E89" w:rsidP="00226E89">
      <w:pPr>
        <w:pStyle w:val="ListParagraph"/>
        <w:numPr>
          <w:ilvl w:val="0"/>
          <w:numId w:val="39"/>
        </w:numPr>
      </w:pPr>
      <w:r>
        <w:t>Australian Diagnostic Imaging Association</w:t>
      </w:r>
    </w:p>
    <w:p w14:paraId="3FC6B126" w14:textId="09D474E5" w:rsidR="00875D1C" w:rsidRDefault="00875D1C" w:rsidP="00226E89">
      <w:pPr>
        <w:pStyle w:val="ListParagraph"/>
        <w:numPr>
          <w:ilvl w:val="0"/>
          <w:numId w:val="39"/>
        </w:numPr>
      </w:pPr>
      <w:r>
        <w:t>Cardiac Society of Australia and New Zealand.</w:t>
      </w:r>
    </w:p>
    <w:p w14:paraId="648EEEDD" w14:textId="17CEBC28" w:rsidR="00F74DFC" w:rsidRDefault="00226E89" w:rsidP="00F74DFC">
      <w:pPr>
        <w:pStyle w:val="ListParagraph"/>
        <w:numPr>
          <w:ilvl w:val="0"/>
          <w:numId w:val="39"/>
        </w:numPr>
      </w:pPr>
      <w:r>
        <w:t xml:space="preserve">Australian Medical Association. </w:t>
      </w:r>
    </w:p>
    <w:p w14:paraId="5A6E710C" w14:textId="77777777" w:rsidR="00595BBD" w:rsidRDefault="00595BBD" w:rsidP="00AB53A4">
      <w:pPr>
        <w:pStyle w:val="Heading2"/>
      </w:pPr>
      <w:r w:rsidRPr="001A7FB7">
        <w:t>How will the changes be monitored</w:t>
      </w:r>
      <w:r w:rsidR="000367AA">
        <w:t xml:space="preserve"> and reviewed</w:t>
      </w:r>
      <w:r w:rsidRPr="001A7FB7">
        <w:t>?</w:t>
      </w:r>
    </w:p>
    <w:p w14:paraId="59F3AE40" w14:textId="55BB6372" w:rsidR="00C13ABA" w:rsidRDefault="00760067" w:rsidP="00155BD4">
      <w:r>
        <w:t>The changes will be monitored and reviewed through analysis of MBS utilisation figures.</w:t>
      </w:r>
    </w:p>
    <w:p w14:paraId="394BE64A" w14:textId="27E997CD" w:rsidR="00F93F71" w:rsidRDefault="00F93F71" w:rsidP="00AB53A4">
      <w:pPr>
        <w:pStyle w:val="Heading2"/>
      </w:pPr>
      <w:r>
        <w:t>Where can I find more information?</w:t>
      </w:r>
    </w:p>
    <w:p w14:paraId="0DD5C8AD" w14:textId="711513A9" w:rsidR="000D2C20"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9" w:history="1">
        <w:r w:rsidR="00420023" w:rsidRPr="00820A5A">
          <w:rPr>
            <w:rStyle w:val="Hyperlink"/>
          </w:rPr>
          <w:t>www.mbsonline.gov.au</w:t>
        </w:r>
      </w:hyperlink>
      <w:r w:rsidR="00AA69A9" w:rsidRPr="00F8617C">
        <w:t>.</w:t>
      </w:r>
      <w:r w:rsidRPr="001A7BED">
        <w:t xml:space="preserve"> </w:t>
      </w:r>
      <w:r w:rsidR="00B97EEE">
        <w:t xml:space="preserve"> </w:t>
      </w:r>
    </w:p>
    <w:p w14:paraId="2FCE79DA" w14:textId="0C35FA73" w:rsidR="00D6302E" w:rsidRDefault="0018507E" w:rsidP="00151636">
      <w:r>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0" w:history="1">
        <w:r w:rsidR="00ED1055" w:rsidRPr="00420023">
          <w:rPr>
            <w:rStyle w:val="Hyperlink"/>
          </w:rPr>
          <w:t>MBS Online</w:t>
        </w:r>
      </w:hyperlink>
      <w:r w:rsidR="00ED1055">
        <w:t xml:space="preserve"> a</w:t>
      </w:r>
      <w:r w:rsidR="00D62923">
        <w:t>nd clicking</w:t>
      </w:r>
      <w:r w:rsidR="00D16EF3">
        <w:t xml:space="preserve"> ‘Subscribe’.</w:t>
      </w:r>
      <w:r w:rsidR="00D6302E">
        <w:t xml:space="preserve"> </w:t>
      </w:r>
    </w:p>
    <w:p w14:paraId="1F25794A"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1" w:history="1">
        <w:r w:rsidRPr="00AF4D21">
          <w:rPr>
            <w:rStyle w:val="Hyperlink"/>
          </w:rPr>
          <w:t>askMBS@health.gov.au</w:t>
        </w:r>
      </w:hyperlink>
      <w:r>
        <w:t>.</w:t>
      </w:r>
    </w:p>
    <w:p w14:paraId="7BAABE3B" w14:textId="4E3D936A" w:rsidR="00B378D4" w:rsidRDefault="00B378D4">
      <w:r>
        <w:t>Subscribe to ‘</w:t>
      </w:r>
      <w:hyperlink r:id="rId12" w:history="1">
        <w:r w:rsidRPr="00B378D4">
          <w:rPr>
            <w:rStyle w:val="Hyperlink"/>
          </w:rPr>
          <w:t>News for Health Professionals</w:t>
        </w:r>
      </w:hyperlink>
      <w:r>
        <w:t xml:space="preserve">’ on the Services </w:t>
      </w:r>
      <w:r w:rsidR="00B53269">
        <w:t xml:space="preserve">Australia </w:t>
      </w:r>
      <w:r>
        <w:t>website and you will receive regular news highlights.</w:t>
      </w:r>
    </w:p>
    <w:p w14:paraId="6050E008" w14:textId="17545971" w:rsidR="00ED1055" w:rsidRDefault="00ED1055">
      <w:r>
        <w:t xml:space="preserve">If you are seeking advice in relation to Medicare billing, claiming, payments, or obtaining a provider number, please </w:t>
      </w:r>
      <w:bookmarkStart w:id="3" w:name="_Hlk7773414"/>
      <w:r w:rsidR="00B378D4">
        <w:t xml:space="preserve">go to the Health Professionals page on </w:t>
      </w:r>
      <w:r w:rsidR="00B378D4" w:rsidRPr="00755690">
        <w:t xml:space="preserve">the Services </w:t>
      </w:r>
      <w:r w:rsidR="00755690" w:rsidRPr="00755690">
        <w:t>Australia</w:t>
      </w:r>
      <w:r w:rsidR="00755690">
        <w:t xml:space="preserve"> </w:t>
      </w:r>
      <w:r w:rsidR="00B378D4">
        <w:t xml:space="preserve">website or </w:t>
      </w:r>
      <w:bookmarkEnd w:id="3"/>
      <w:r>
        <w:t xml:space="preserve">contact </w:t>
      </w:r>
      <w:r w:rsidR="00755690">
        <w:t>Services Australia</w:t>
      </w:r>
      <w:r>
        <w:t xml:space="preserve"> on the Provider Enquiry Line </w:t>
      </w:r>
      <w:r w:rsidR="00E7460D">
        <w:t>–</w:t>
      </w:r>
      <w:r>
        <w:t xml:space="preserve"> 13 21 50. </w:t>
      </w:r>
    </w:p>
    <w:p w14:paraId="19AF83D3" w14:textId="5B175656" w:rsidR="008A6F4F" w:rsidRDefault="008A6F4F">
      <w:r>
        <w:t xml:space="preserve">The </w:t>
      </w:r>
      <w:r w:rsidR="00342F84">
        <w:t>data file for software vendors was first released on 22 September 2021 and can be accessed via the MBS Online website under the Downloads page.</w:t>
      </w:r>
    </w:p>
    <w:p w14:paraId="7D610539" w14:textId="77777777" w:rsidR="00656F11" w:rsidRDefault="00656F11" w:rsidP="005E1472"/>
    <w:p w14:paraId="0E12582B"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0CD11DB" w14:textId="72C31BF0" w:rsidR="00656F11" w:rsidRPr="0029176A" w:rsidRDefault="00656F11" w:rsidP="00656F11">
      <w:pPr>
        <w:pStyle w:val="Disclaimer"/>
      </w:pPr>
      <w:r w:rsidRPr="0029176A">
        <w:t xml:space="preserve">This sheet is current as of the </w:t>
      </w:r>
      <w:r>
        <w:t>L</w:t>
      </w:r>
      <w:r w:rsidRPr="0029176A">
        <w:t>ast updated date</w:t>
      </w:r>
      <w:r>
        <w:t xml:space="preserve"> shown </w:t>
      </w:r>
      <w:r w:rsidR="00F53297">
        <w:t>above</w:t>
      </w:r>
      <w:r w:rsidR="00F53297" w:rsidRPr="0029176A">
        <w:t xml:space="preserve"> and</w:t>
      </w:r>
      <w:r w:rsidRPr="0029176A">
        <w:t xml:space="preserve"> does not account for MBS changes</w:t>
      </w:r>
      <w:r>
        <w:t xml:space="preserve"> since that date</w:t>
      </w:r>
      <w:r w:rsidRPr="0029176A">
        <w:t>.</w:t>
      </w:r>
    </w:p>
    <w:p w14:paraId="0632ED28" w14:textId="57C5B974" w:rsidR="00875D1C" w:rsidRDefault="00875D1C">
      <w:pPr>
        <w:spacing w:line="259" w:lineRule="auto"/>
        <w:rPr>
          <w:szCs w:val="20"/>
        </w:rPr>
      </w:pPr>
      <w:r>
        <w:rPr>
          <w:szCs w:val="20"/>
        </w:rPr>
        <w:br w:type="page"/>
      </w:r>
    </w:p>
    <w:p w14:paraId="57687E9E" w14:textId="2E21CA87" w:rsidR="00656F11" w:rsidRPr="00875D1C" w:rsidRDefault="00875D1C" w:rsidP="00875D1C">
      <w:pPr>
        <w:jc w:val="right"/>
        <w:rPr>
          <w:b/>
          <w:bCs/>
          <w:szCs w:val="20"/>
        </w:rPr>
      </w:pPr>
      <w:r w:rsidRPr="00875D1C">
        <w:rPr>
          <w:b/>
          <w:bCs/>
          <w:szCs w:val="20"/>
        </w:rPr>
        <w:lastRenderedPageBreak/>
        <w:t>Attachment A</w:t>
      </w:r>
    </w:p>
    <w:p w14:paraId="61637BFA" w14:textId="764BD49C" w:rsidR="00875D1C" w:rsidRPr="00875D1C" w:rsidRDefault="00875D1C" w:rsidP="001101C8">
      <w:pPr>
        <w:jc w:val="center"/>
        <w:rPr>
          <w:b/>
          <w:bCs/>
          <w:szCs w:val="20"/>
        </w:rPr>
      </w:pPr>
      <w:r w:rsidRPr="00875D1C">
        <w:rPr>
          <w:b/>
          <w:bCs/>
          <w:szCs w:val="20"/>
        </w:rPr>
        <w:t>MRI co-claiming changes</w:t>
      </w:r>
    </w:p>
    <w:p w14:paraId="56286C97" w14:textId="562628E4" w:rsidR="00875D1C" w:rsidRPr="001101C8" w:rsidRDefault="001101C8" w:rsidP="005E1472">
      <w:pPr>
        <w:rPr>
          <w:b/>
          <w:bCs/>
          <w:szCs w:val="20"/>
        </w:rPr>
      </w:pPr>
      <w:r w:rsidRPr="001101C8">
        <w:rPr>
          <w:b/>
          <w:bCs/>
          <w:szCs w:val="20"/>
        </w:rPr>
        <w:t xml:space="preserve">Co-claiming head and </w:t>
      </w:r>
      <w:r w:rsidR="00001BD4">
        <w:rPr>
          <w:b/>
          <w:bCs/>
          <w:szCs w:val="20"/>
        </w:rPr>
        <w:t>spine</w:t>
      </w:r>
      <w:r w:rsidR="00001BD4" w:rsidRPr="001101C8">
        <w:rPr>
          <w:b/>
          <w:bCs/>
          <w:szCs w:val="20"/>
        </w:rPr>
        <w:t xml:space="preserve"> </w:t>
      </w:r>
      <w:r w:rsidRPr="001101C8">
        <w:rPr>
          <w:b/>
          <w:bCs/>
          <w:szCs w:val="20"/>
        </w:rPr>
        <w:t>MRI scans</w:t>
      </w:r>
    </w:p>
    <w:p w14:paraId="6EBCAE5A" w14:textId="30E88322" w:rsidR="001101C8" w:rsidRDefault="005A1BE2" w:rsidP="005E1472">
      <w:pPr>
        <w:rPr>
          <w:szCs w:val="20"/>
        </w:rPr>
      </w:pPr>
      <w:r>
        <w:rPr>
          <w:szCs w:val="20"/>
        </w:rPr>
        <w:t>N</w:t>
      </w:r>
      <w:r w:rsidR="001101C8">
        <w:rPr>
          <w:szCs w:val="20"/>
        </w:rPr>
        <w:t>ew rule</w:t>
      </w:r>
      <w:r>
        <w:rPr>
          <w:szCs w:val="20"/>
        </w:rPr>
        <w:t>s</w:t>
      </w:r>
      <w:r w:rsidR="001101C8">
        <w:rPr>
          <w:szCs w:val="20"/>
        </w:rPr>
        <w:t xml:space="preserve"> will be introduced into the Diagnostic Imaging Services Table that will prevent the co-claiming of:</w:t>
      </w:r>
    </w:p>
    <w:p w14:paraId="26AE693B" w14:textId="6F5CECE5" w:rsidR="001101C8" w:rsidRDefault="001101C8" w:rsidP="001101C8">
      <w:pPr>
        <w:pStyle w:val="ListParagraph"/>
        <w:numPr>
          <w:ilvl w:val="0"/>
          <w:numId w:val="41"/>
        </w:numPr>
        <w:rPr>
          <w:szCs w:val="20"/>
        </w:rPr>
      </w:pPr>
      <w:r w:rsidRPr="001101C8">
        <w:rPr>
          <w:szCs w:val="20"/>
        </w:rPr>
        <w:t>a head MRI scan with another head MRI scan</w:t>
      </w:r>
      <w:r w:rsidR="00B11F79">
        <w:rPr>
          <w:szCs w:val="20"/>
        </w:rPr>
        <w:t xml:space="preserve"> at the same attendance. The items that will restrict with each other are in the range </w:t>
      </w:r>
      <w:r w:rsidR="00BD3526">
        <w:rPr>
          <w:szCs w:val="20"/>
        </w:rPr>
        <w:t>63001 to 63131.</w:t>
      </w:r>
    </w:p>
    <w:p w14:paraId="54D77E98" w14:textId="77777777" w:rsidR="00BD3526" w:rsidRDefault="00BD3526" w:rsidP="001101C8">
      <w:pPr>
        <w:pStyle w:val="ListParagraph"/>
        <w:numPr>
          <w:ilvl w:val="0"/>
          <w:numId w:val="41"/>
        </w:numPr>
        <w:rPr>
          <w:szCs w:val="20"/>
        </w:rPr>
      </w:pPr>
      <w:r>
        <w:rPr>
          <w:szCs w:val="20"/>
        </w:rPr>
        <w:t xml:space="preserve">a spine MRI scan with another spine MRI scan. The items that will restrict with each other are in the range 63151 to 63280. </w:t>
      </w:r>
    </w:p>
    <w:p w14:paraId="39853326" w14:textId="77777777" w:rsidR="00322B68" w:rsidRDefault="00322B68" w:rsidP="00322B68">
      <w:pPr>
        <w:rPr>
          <w:szCs w:val="20"/>
        </w:rPr>
      </w:pPr>
      <w:r>
        <w:rPr>
          <w:szCs w:val="20"/>
        </w:rPr>
        <w:t xml:space="preserve">The new rules also provide </w:t>
      </w:r>
    </w:p>
    <w:p w14:paraId="7AC4C678" w14:textId="75D2F81C" w:rsidR="00322B68" w:rsidRPr="00322B68" w:rsidRDefault="00322B68" w:rsidP="00322B68">
      <w:pPr>
        <w:pStyle w:val="ListParagraph"/>
        <w:numPr>
          <w:ilvl w:val="0"/>
          <w:numId w:val="47"/>
        </w:numPr>
        <w:rPr>
          <w:szCs w:val="20"/>
        </w:rPr>
      </w:pPr>
      <w:r w:rsidRPr="00322B68">
        <w:rPr>
          <w:szCs w:val="20"/>
        </w:rPr>
        <w:t>that the head or spine scan with the highest schedule fee can be claimed where indications spanning two or more service have been requested.</w:t>
      </w:r>
    </w:p>
    <w:p w14:paraId="69FEF628" w14:textId="77777777" w:rsidR="00322B68" w:rsidRPr="00322B68" w:rsidRDefault="00322B68" w:rsidP="00322B68">
      <w:pPr>
        <w:pStyle w:val="ListParagraph"/>
        <w:numPr>
          <w:ilvl w:val="0"/>
          <w:numId w:val="47"/>
        </w:numPr>
        <w:rPr>
          <w:szCs w:val="20"/>
        </w:rPr>
      </w:pPr>
      <w:r w:rsidRPr="00322B68">
        <w:rPr>
          <w:szCs w:val="20"/>
        </w:rPr>
        <w:t xml:space="preserve">more than one item can be claimed where the clinical need for the additional service is: </w:t>
      </w:r>
    </w:p>
    <w:p w14:paraId="75365371" w14:textId="77777777" w:rsidR="00322B68" w:rsidRPr="00322B68" w:rsidRDefault="00322B68" w:rsidP="00322B68">
      <w:pPr>
        <w:pStyle w:val="ListParagraph"/>
        <w:numPr>
          <w:ilvl w:val="1"/>
          <w:numId w:val="47"/>
        </w:numPr>
        <w:rPr>
          <w:szCs w:val="20"/>
        </w:rPr>
      </w:pPr>
      <w:r w:rsidRPr="00322B68">
        <w:rPr>
          <w:szCs w:val="20"/>
        </w:rPr>
        <w:t>stated in the request for the service; and</w:t>
      </w:r>
    </w:p>
    <w:p w14:paraId="402BFA01" w14:textId="77777777" w:rsidR="00322B68" w:rsidRPr="00322B68" w:rsidRDefault="00322B68" w:rsidP="00322B68">
      <w:pPr>
        <w:pStyle w:val="ListParagraph"/>
        <w:numPr>
          <w:ilvl w:val="1"/>
          <w:numId w:val="47"/>
        </w:numPr>
        <w:rPr>
          <w:szCs w:val="20"/>
        </w:rPr>
      </w:pPr>
      <w:r w:rsidRPr="00322B68">
        <w:rPr>
          <w:szCs w:val="20"/>
        </w:rPr>
        <w:t>appropriately documented in the record of the service.</w:t>
      </w:r>
    </w:p>
    <w:p w14:paraId="7CFF826C" w14:textId="77777777" w:rsidR="00F95E93" w:rsidRDefault="00322B68" w:rsidP="00322B68">
      <w:pPr>
        <w:rPr>
          <w:szCs w:val="20"/>
        </w:rPr>
      </w:pPr>
      <w:r>
        <w:rPr>
          <w:szCs w:val="20"/>
        </w:rPr>
        <w:t>The new rules apply from 1 November 2021.</w:t>
      </w:r>
    </w:p>
    <w:p w14:paraId="17CE6A8F" w14:textId="26F76C39" w:rsidR="00322B68" w:rsidRPr="00322B68" w:rsidRDefault="00322B68" w:rsidP="00322B68">
      <w:pPr>
        <w:rPr>
          <w:szCs w:val="20"/>
        </w:rPr>
      </w:pPr>
      <w:r w:rsidRPr="00322B68">
        <w:rPr>
          <w:szCs w:val="20"/>
        </w:rPr>
        <w:t>The rules were introduced to clarify the policy intent for the items, that is, only one item should be claimable for a scan irrespective of the:</w:t>
      </w:r>
    </w:p>
    <w:p w14:paraId="64DAB1A9" w14:textId="77777777" w:rsidR="00322B68" w:rsidRPr="00322B68" w:rsidRDefault="00322B68" w:rsidP="00322B68">
      <w:pPr>
        <w:numPr>
          <w:ilvl w:val="0"/>
          <w:numId w:val="46"/>
        </w:numPr>
        <w:rPr>
          <w:szCs w:val="20"/>
        </w:rPr>
      </w:pPr>
      <w:r w:rsidRPr="00322B68">
        <w:rPr>
          <w:szCs w:val="20"/>
        </w:rPr>
        <w:t>number of clinical conditions being investigated; and</w:t>
      </w:r>
    </w:p>
    <w:p w14:paraId="34DE85B3" w14:textId="77777777" w:rsidR="00322B68" w:rsidRPr="00322B68" w:rsidRDefault="00322B68" w:rsidP="00322B68">
      <w:pPr>
        <w:numPr>
          <w:ilvl w:val="0"/>
          <w:numId w:val="46"/>
        </w:numPr>
        <w:rPr>
          <w:szCs w:val="20"/>
        </w:rPr>
      </w:pPr>
      <w:r w:rsidRPr="00322B68">
        <w:rPr>
          <w:szCs w:val="20"/>
        </w:rPr>
        <w:t xml:space="preserve">the number of sequences required to complete the scan. </w:t>
      </w:r>
    </w:p>
    <w:p w14:paraId="5F9A1B41" w14:textId="77777777" w:rsidR="00322B68" w:rsidRPr="00322B68" w:rsidRDefault="00322B68" w:rsidP="00322B68">
      <w:pPr>
        <w:rPr>
          <w:szCs w:val="20"/>
        </w:rPr>
      </w:pPr>
      <w:r w:rsidRPr="00322B68">
        <w:rPr>
          <w:szCs w:val="20"/>
        </w:rPr>
        <w:t xml:space="preserve">Where a request form seeks an investigation of more than one clinical condition, the item to claim is the item with the highest schedule fee.  If the items have the same schedule fee, the item to be claimed is the item applicable to the first mentioned indication on the request form. </w:t>
      </w:r>
    </w:p>
    <w:p w14:paraId="66DA3463" w14:textId="142625D4" w:rsidR="005A1BE2" w:rsidRDefault="00322B68" w:rsidP="00322B68">
      <w:pPr>
        <w:rPr>
          <w:szCs w:val="20"/>
        </w:rPr>
      </w:pPr>
      <w:r w:rsidRPr="00322B68">
        <w:rPr>
          <w:szCs w:val="20"/>
        </w:rPr>
        <w:t xml:space="preserve">More than one item can be claimed where the request for the scan states that there is a clinical need for the additional </w:t>
      </w:r>
      <w:r w:rsidR="00F53297" w:rsidRPr="00322B68">
        <w:rPr>
          <w:szCs w:val="20"/>
        </w:rPr>
        <w:t>service,</w:t>
      </w:r>
      <w:r w:rsidRPr="00322B68">
        <w:rPr>
          <w:szCs w:val="20"/>
        </w:rPr>
        <w:t xml:space="preserve"> and this is appropriately documented in the diagnostic imaging record for the patient.  This does not mean different clinical indications listed in a request, rather it means that the requester is seeking separate and distinct</w:t>
      </w:r>
      <w:r w:rsidR="00A7463E">
        <w:rPr>
          <w:szCs w:val="20"/>
        </w:rPr>
        <w:t xml:space="preserve"> scans.</w:t>
      </w:r>
    </w:p>
    <w:p w14:paraId="17E7474D" w14:textId="33E28F66" w:rsidR="00EB7EF0" w:rsidRDefault="00EB7EF0" w:rsidP="00322B68">
      <w:pPr>
        <w:rPr>
          <w:szCs w:val="20"/>
        </w:rPr>
      </w:pPr>
      <w:r>
        <w:rPr>
          <w:szCs w:val="20"/>
        </w:rPr>
        <w:t>Providers will need</w:t>
      </w:r>
      <w:r w:rsidR="0022229A">
        <w:rPr>
          <w:szCs w:val="20"/>
        </w:rPr>
        <w:t xml:space="preserve"> to</w:t>
      </w:r>
      <w:r>
        <w:rPr>
          <w:szCs w:val="20"/>
        </w:rPr>
        <w:t xml:space="preserve"> indicate </w:t>
      </w:r>
      <w:r w:rsidR="0022229A">
        <w:rPr>
          <w:szCs w:val="20"/>
        </w:rPr>
        <w:t>o</w:t>
      </w:r>
      <w:r>
        <w:rPr>
          <w:szCs w:val="20"/>
        </w:rPr>
        <w:t xml:space="preserve">n the claim that separate and distinct scans have been requested.  </w:t>
      </w:r>
    </w:p>
    <w:p w14:paraId="6CCFF56B" w14:textId="77777777" w:rsidR="00F53297" w:rsidRDefault="00F53297">
      <w:pPr>
        <w:spacing w:line="259" w:lineRule="auto"/>
        <w:rPr>
          <w:b/>
          <w:bCs/>
        </w:rPr>
      </w:pPr>
      <w:r>
        <w:rPr>
          <w:b/>
          <w:bCs/>
        </w:rPr>
        <w:br w:type="page"/>
      </w:r>
    </w:p>
    <w:p w14:paraId="6BE955F4" w14:textId="0D1EAC98" w:rsidR="00B32E1A" w:rsidRPr="0062293C" w:rsidRDefault="005A1BE2" w:rsidP="009A56E9">
      <w:pPr>
        <w:rPr>
          <w:b/>
          <w:bCs/>
        </w:rPr>
      </w:pPr>
      <w:r>
        <w:rPr>
          <w:b/>
          <w:bCs/>
        </w:rPr>
        <w:lastRenderedPageBreak/>
        <w:t>C</w:t>
      </w:r>
      <w:r w:rsidR="00B32E1A" w:rsidRPr="0062293C">
        <w:rPr>
          <w:b/>
          <w:bCs/>
        </w:rPr>
        <w:t>o-claiming consultations with MRI items</w:t>
      </w:r>
    </w:p>
    <w:p w14:paraId="14A3A735" w14:textId="092058CE" w:rsidR="00B32E1A" w:rsidRDefault="00B32E1A" w:rsidP="009A56E9">
      <w:pPr>
        <w:rPr>
          <w:szCs w:val="20"/>
        </w:rPr>
      </w:pPr>
      <w:r>
        <w:rPr>
          <w:szCs w:val="20"/>
        </w:rPr>
        <w:t xml:space="preserve">A new rule will </w:t>
      </w:r>
      <w:r w:rsidR="0062293C">
        <w:rPr>
          <w:szCs w:val="20"/>
        </w:rPr>
        <w:t xml:space="preserve">be </w:t>
      </w:r>
      <w:r>
        <w:rPr>
          <w:szCs w:val="20"/>
        </w:rPr>
        <w:t xml:space="preserve">introduced into the </w:t>
      </w:r>
      <w:r w:rsidR="00F225AC" w:rsidRPr="00F225AC">
        <w:rPr>
          <w:i/>
          <w:iCs/>
          <w:szCs w:val="20"/>
        </w:rPr>
        <w:t>Health Insurance (</w:t>
      </w:r>
      <w:r w:rsidRPr="00F225AC">
        <w:rPr>
          <w:i/>
          <w:iCs/>
          <w:szCs w:val="20"/>
        </w:rPr>
        <w:t>General Medical Services Table</w:t>
      </w:r>
      <w:r w:rsidR="00F225AC" w:rsidRPr="00F225AC">
        <w:rPr>
          <w:i/>
          <w:iCs/>
          <w:szCs w:val="20"/>
        </w:rPr>
        <w:t>) Regulations</w:t>
      </w:r>
      <w:r>
        <w:rPr>
          <w:szCs w:val="20"/>
        </w:rPr>
        <w:t xml:space="preserve"> that will prevent Medicare benefits being paid for a consultation</w:t>
      </w:r>
      <w:r w:rsidR="00EB7EF0">
        <w:rPr>
          <w:szCs w:val="20"/>
        </w:rPr>
        <w:t xml:space="preserve"> items 52, 53, 54, 57, 104 or 105 </w:t>
      </w:r>
      <w:r>
        <w:rPr>
          <w:szCs w:val="20"/>
        </w:rPr>
        <w:t>when rendered in conjunction with any MRI scan.</w:t>
      </w:r>
    </w:p>
    <w:p w14:paraId="21154386" w14:textId="13B2AC43" w:rsidR="00B32E1A" w:rsidRDefault="00B32E1A" w:rsidP="009A56E9">
      <w:pPr>
        <w:rPr>
          <w:szCs w:val="20"/>
        </w:rPr>
      </w:pPr>
      <w:r>
        <w:rPr>
          <w:szCs w:val="20"/>
        </w:rPr>
        <w:t xml:space="preserve">The rule </w:t>
      </w:r>
      <w:r w:rsidR="0062293C">
        <w:rPr>
          <w:szCs w:val="20"/>
        </w:rPr>
        <w:t>applies from 1 November 2021.</w:t>
      </w:r>
    </w:p>
    <w:p w14:paraId="594DE9FE" w14:textId="2BD107A2" w:rsidR="0062293C" w:rsidRDefault="0062293C" w:rsidP="009A56E9">
      <w:pPr>
        <w:rPr>
          <w:szCs w:val="20"/>
        </w:rPr>
      </w:pPr>
      <w:r>
        <w:rPr>
          <w:szCs w:val="20"/>
        </w:rPr>
        <w:t xml:space="preserve">There will be </w:t>
      </w:r>
      <w:r w:rsidR="00322B68">
        <w:rPr>
          <w:szCs w:val="20"/>
        </w:rPr>
        <w:t xml:space="preserve">an exception to this rule where the providing practitioner determines that a consultation is </w:t>
      </w:r>
      <w:r w:rsidR="00F53297">
        <w:rPr>
          <w:szCs w:val="20"/>
        </w:rPr>
        <w:t>necessary</w:t>
      </w:r>
      <w:r w:rsidR="00322B68">
        <w:rPr>
          <w:szCs w:val="20"/>
        </w:rPr>
        <w:t xml:space="preserve"> </w:t>
      </w:r>
      <w:r w:rsidR="0070702F">
        <w:rPr>
          <w:szCs w:val="20"/>
        </w:rPr>
        <w:t xml:space="preserve">for the treatment of the patient’s condition. A consultation </w:t>
      </w:r>
      <w:proofErr w:type="gramStart"/>
      <w:r w:rsidR="0070702F">
        <w:rPr>
          <w:szCs w:val="20"/>
        </w:rPr>
        <w:t>has to</w:t>
      </w:r>
      <w:proofErr w:type="gramEnd"/>
      <w:r w:rsidR="0070702F">
        <w:rPr>
          <w:szCs w:val="20"/>
        </w:rPr>
        <w:t xml:space="preserve"> be meaningful, that is:</w:t>
      </w:r>
      <w:r>
        <w:rPr>
          <w:szCs w:val="20"/>
        </w:rPr>
        <w:t xml:space="preserve"> </w:t>
      </w:r>
    </w:p>
    <w:p w14:paraId="0042ADD9" w14:textId="73BF93C4" w:rsidR="00673D76" w:rsidRDefault="00673D76" w:rsidP="00673D76">
      <w:pPr>
        <w:pStyle w:val="ListParagraph"/>
        <w:numPr>
          <w:ilvl w:val="0"/>
          <w:numId w:val="43"/>
        </w:numPr>
      </w:pPr>
      <w:r>
        <w:t xml:space="preserve">the provider utilises their medical knowledge, clinical acumen, technical </w:t>
      </w:r>
      <w:proofErr w:type="gramStart"/>
      <w:r>
        <w:t>skills</w:t>
      </w:r>
      <w:proofErr w:type="gramEnd"/>
      <w:r>
        <w:t xml:space="preserve"> and personal experience in clinical radiology to consult with a patient so as to alter, or potentially alter, the course of the patient's management in the best interests of the patient. </w:t>
      </w:r>
    </w:p>
    <w:p w14:paraId="1913FB95" w14:textId="0C4DB289" w:rsidR="00673D76" w:rsidRDefault="00673D76" w:rsidP="00673D76">
      <w:pPr>
        <w:pStyle w:val="ListParagraph"/>
        <w:numPr>
          <w:ilvl w:val="0"/>
          <w:numId w:val="43"/>
        </w:numPr>
      </w:pPr>
      <w:r>
        <w:t xml:space="preserve">the provider takes primary clinical responsibility for the management decisions made during the consultation (even if the decision is to proceed with the planned course of management).  </w:t>
      </w:r>
    </w:p>
    <w:p w14:paraId="2EA73AE1" w14:textId="77777777" w:rsidR="00673D76" w:rsidRDefault="00673D76" w:rsidP="00673D76">
      <w:pPr>
        <w:pStyle w:val="ListParagraph"/>
        <w:numPr>
          <w:ilvl w:val="0"/>
          <w:numId w:val="43"/>
        </w:numPr>
        <w:spacing w:after="160"/>
        <w:ind w:left="357" w:hanging="357"/>
      </w:pPr>
      <w:r>
        <w:t xml:space="preserve">the consultation itself includes components of history taking; physical examination; discussion with the patient; formulation of management plans; and referral for additional opinion or tests. </w:t>
      </w:r>
    </w:p>
    <w:p w14:paraId="608A90FA" w14:textId="22506650" w:rsidR="00673D76" w:rsidRDefault="00673D76" w:rsidP="00673D76">
      <w:r>
        <w:t xml:space="preserve">Not all the components need be present in any one consultation, but presence of at least some indicates that a meaningful consultation occurred.  </w:t>
      </w:r>
    </w:p>
    <w:p w14:paraId="0171C9A2" w14:textId="1229E2B9" w:rsidR="00EB7EF0" w:rsidRDefault="00EB7EF0" w:rsidP="00673D76">
      <w:r>
        <w:t xml:space="preserve">Providers will need to include </w:t>
      </w:r>
      <w:r w:rsidR="0039188D">
        <w:t xml:space="preserve">on the claim </w:t>
      </w:r>
      <w:r>
        <w:t>supporting text as to the need for the consultation.</w:t>
      </w:r>
    </w:p>
    <w:p w14:paraId="3EE89E90" w14:textId="6EDEA668" w:rsidR="00673D76" w:rsidRDefault="00673D76" w:rsidP="00673D76">
      <w:r>
        <w:t xml:space="preserve">To claim a specialist referred consultation (item 104 or 105), the provider must have received a valid referral (not simply a request for a diagnostic imaging service) from a medical practitioner for the investigation, opinion, treatment and/or management of a condition or problem of a patient or for the performance of a specific examination(s) or test(s). The referring practitioner must have undertaken a professional attendance with the patient </w:t>
      </w:r>
      <w:r w:rsidR="005A1BE2">
        <w:t xml:space="preserve">(this need not mean an attendance on the occasion of the referral) </w:t>
      </w:r>
      <w:r>
        <w:t>and turned their mind to the patient's need for referral and have communicated relevant information about the patient to the specialist or consultant physician– see note GN.6.16.</w:t>
      </w:r>
    </w:p>
    <w:p w14:paraId="7D17C8AF" w14:textId="77777777" w:rsidR="00673D76" w:rsidRDefault="00673D76" w:rsidP="00673D76">
      <w:r>
        <w:t xml:space="preserve">A request for the undertaking of a diagnostic imaging service in the absence of the other elements of a referral as noted above does not constitute a valid referral for a specialist referred consultation.   </w:t>
      </w:r>
    </w:p>
    <w:p w14:paraId="4D284C2A" w14:textId="2F4EAB5B" w:rsidR="00322B68" w:rsidRPr="00322B68" w:rsidRDefault="00322B68" w:rsidP="00322B68">
      <w:pPr>
        <w:spacing w:after="0" w:line="240" w:lineRule="auto"/>
        <w:rPr>
          <w:rFonts w:ascii="Calibri" w:eastAsia="Calibri" w:hAnsi="Calibri" w:cs="Calibri"/>
          <w:sz w:val="22"/>
          <w:szCs w:val="22"/>
        </w:rPr>
      </w:pPr>
    </w:p>
    <w:p w14:paraId="3F66A9F2" w14:textId="77777777" w:rsidR="00B32E1A" w:rsidRDefault="00B32E1A" w:rsidP="009A56E9">
      <w:pPr>
        <w:rPr>
          <w:szCs w:val="20"/>
        </w:rPr>
      </w:pPr>
    </w:p>
    <w:sectPr w:rsidR="00B32E1A"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F4B28" w14:textId="77777777" w:rsidR="00632552" w:rsidRDefault="00632552" w:rsidP="006D1088">
      <w:pPr>
        <w:spacing w:after="0" w:line="240" w:lineRule="auto"/>
      </w:pPr>
      <w:r>
        <w:separator/>
      </w:r>
    </w:p>
  </w:endnote>
  <w:endnote w:type="continuationSeparator" w:id="0">
    <w:p w14:paraId="39AE8CA9" w14:textId="77777777" w:rsidR="00632552" w:rsidRDefault="00632552"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altName w:val="Cambria"/>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4A057" w14:textId="77777777" w:rsidR="009B32BA" w:rsidRDefault="0086438C" w:rsidP="009B32BA">
    <w:pPr>
      <w:pStyle w:val="Footer"/>
    </w:pPr>
    <w:r>
      <w:rPr>
        <w:rStyle w:val="BookTitle"/>
        <w:noProof/>
      </w:rPr>
      <w:pict w14:anchorId="5A7A9481">
        <v:rect id="_x0000_i1025" style="width:523.3pt;height:1.9pt" o:hralign="center" o:hrstd="t" o:hr="t" fillcolor="#a0a0a0" stroked="f"/>
      </w:pict>
    </w:r>
    <w:r w:rsidR="009B32BA">
      <w:t>Medicare Benefits Schedule</w:t>
    </w:r>
  </w:p>
  <w:p w14:paraId="5F380A90" w14:textId="4B5A0CB2" w:rsidR="009B32BA" w:rsidRDefault="00A969F6" w:rsidP="009B32BA">
    <w:pPr>
      <w:pStyle w:val="Footer"/>
      <w:tabs>
        <w:tab w:val="clear" w:pos="9026"/>
        <w:tab w:val="right" w:pos="10466"/>
      </w:tabs>
    </w:pPr>
    <w:r>
      <w:rPr>
        <w:b/>
      </w:rPr>
      <w:t xml:space="preserve">Diagnostic </w:t>
    </w:r>
    <w:r w:rsidR="006B0B78">
      <w:rPr>
        <w:b/>
      </w:rPr>
      <w:t>I</w:t>
    </w:r>
    <w:r>
      <w:rPr>
        <w:b/>
      </w:rPr>
      <w:t>mag</w:t>
    </w:r>
    <w:r w:rsidR="00997189">
      <w:rPr>
        <w:b/>
      </w:rPr>
      <w:t>i</w:t>
    </w:r>
    <w:r>
      <w:rPr>
        <w:b/>
      </w:rPr>
      <w:t xml:space="preserve">ng </w:t>
    </w:r>
    <w:r w:rsidR="00226E89">
      <w:rPr>
        <w:b/>
      </w:rPr>
      <w:t>Changes 1 November 2021</w:t>
    </w:r>
    <w:r w:rsidR="00E67A00">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657249">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657249">
                  <w:rPr>
                    <w:bCs/>
                    <w:noProof/>
                  </w:rPr>
                  <w:t>6</w:t>
                </w:r>
                <w:r w:rsidR="009B32BA" w:rsidRPr="00F546CA">
                  <w:rPr>
                    <w:bCs/>
                    <w:sz w:val="24"/>
                    <w:szCs w:val="24"/>
                  </w:rPr>
                  <w:fldChar w:fldCharType="end"/>
                </w:r>
              </w:sdtContent>
            </w:sdt>
          </w:sdtContent>
        </w:sdt>
        <w:r w:rsidR="009B32BA">
          <w:t xml:space="preserve"> </w:t>
        </w:r>
      </w:sdtContent>
    </w:sdt>
  </w:p>
  <w:p w14:paraId="03FA11CE" w14:textId="77777777" w:rsidR="009B32BA" w:rsidRDefault="0086438C">
    <w:pPr>
      <w:pStyle w:val="Footer"/>
      <w:rPr>
        <w:rStyle w:val="Hyperlink"/>
        <w:szCs w:val="18"/>
      </w:rPr>
    </w:pPr>
    <w:hyperlink r:id="rId1" w:history="1">
      <w:r w:rsidR="009B32BA" w:rsidRPr="00E863C4">
        <w:rPr>
          <w:rStyle w:val="Hyperlink"/>
          <w:szCs w:val="18"/>
        </w:rPr>
        <w:t>MBS Online</w:t>
      </w:r>
    </w:hyperlink>
  </w:p>
  <w:p w14:paraId="2B89B6FF" w14:textId="7493C9B6" w:rsidR="00570B62" w:rsidRPr="009B32BA" w:rsidRDefault="00570B62">
    <w:pPr>
      <w:pStyle w:val="Footer"/>
      <w:rPr>
        <w:szCs w:val="18"/>
      </w:rPr>
    </w:pPr>
    <w:r w:rsidRPr="00870B05">
      <w:t>Last updated</w:t>
    </w:r>
    <w:r>
      <w:t xml:space="preserve"> – </w:t>
    </w:r>
    <w:r w:rsidR="00CE2A0E">
      <w:t xml:space="preserve">23 </w:t>
    </w:r>
    <w:r w:rsidR="00001BD4">
      <w:t>December</w:t>
    </w:r>
    <w:r w:rsidR="00226E89">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2ADC5" w14:textId="77777777" w:rsidR="00632552" w:rsidRDefault="00632552" w:rsidP="006D1088">
      <w:pPr>
        <w:spacing w:after="0" w:line="240" w:lineRule="auto"/>
      </w:pPr>
      <w:r>
        <w:separator/>
      </w:r>
    </w:p>
  </w:footnote>
  <w:footnote w:type="continuationSeparator" w:id="0">
    <w:p w14:paraId="08749D51" w14:textId="77777777" w:rsidR="00632552" w:rsidRDefault="00632552"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90CB6" w14:textId="73288744" w:rsidR="006D1088" w:rsidRDefault="006D1088">
    <w:pPr>
      <w:pStyle w:val="Header"/>
    </w:pPr>
    <w:r w:rsidRPr="006D1088">
      <w:rPr>
        <w:noProof/>
        <w:lang w:val="en-US"/>
      </w:rPr>
      <w:drawing>
        <wp:anchor distT="0" distB="0" distL="114300" distR="114300" simplePos="0" relativeHeight="251658240" behindDoc="1" locked="0" layoutInCell="1" allowOverlap="1" wp14:anchorId="4869CF74" wp14:editId="5F0A4818">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E5D31"/>
    <w:multiLevelType w:val="hybridMultilevel"/>
    <w:tmpl w:val="FA1CA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5F11EA"/>
    <w:multiLevelType w:val="hybridMultilevel"/>
    <w:tmpl w:val="FAECDFFE"/>
    <w:lvl w:ilvl="0" w:tplc="AE36E800">
      <w:start w:val="1"/>
      <w:numFmt w:val="bullet"/>
      <w:lvlText w:val="•"/>
      <w:lvlJc w:val="left"/>
      <w:pPr>
        <w:tabs>
          <w:tab w:val="num" w:pos="720"/>
        </w:tabs>
        <w:ind w:left="720" w:hanging="360"/>
      </w:pPr>
      <w:rPr>
        <w:rFonts w:ascii="Arial" w:hAnsi="Arial" w:hint="default"/>
      </w:rPr>
    </w:lvl>
    <w:lvl w:ilvl="1" w:tplc="EC3C5084">
      <w:start w:val="1"/>
      <w:numFmt w:val="bullet"/>
      <w:lvlText w:val="•"/>
      <w:lvlJc w:val="left"/>
      <w:pPr>
        <w:tabs>
          <w:tab w:val="num" w:pos="1440"/>
        </w:tabs>
        <w:ind w:left="1440" w:hanging="360"/>
      </w:pPr>
      <w:rPr>
        <w:rFonts w:ascii="Arial" w:hAnsi="Arial" w:hint="default"/>
      </w:rPr>
    </w:lvl>
    <w:lvl w:ilvl="2" w:tplc="4472264C" w:tentative="1">
      <w:start w:val="1"/>
      <w:numFmt w:val="bullet"/>
      <w:lvlText w:val="•"/>
      <w:lvlJc w:val="left"/>
      <w:pPr>
        <w:tabs>
          <w:tab w:val="num" w:pos="2160"/>
        </w:tabs>
        <w:ind w:left="2160" w:hanging="360"/>
      </w:pPr>
      <w:rPr>
        <w:rFonts w:ascii="Arial" w:hAnsi="Arial" w:hint="default"/>
      </w:rPr>
    </w:lvl>
    <w:lvl w:ilvl="3" w:tplc="83689E42" w:tentative="1">
      <w:start w:val="1"/>
      <w:numFmt w:val="bullet"/>
      <w:lvlText w:val="•"/>
      <w:lvlJc w:val="left"/>
      <w:pPr>
        <w:tabs>
          <w:tab w:val="num" w:pos="2880"/>
        </w:tabs>
        <w:ind w:left="2880" w:hanging="360"/>
      </w:pPr>
      <w:rPr>
        <w:rFonts w:ascii="Arial" w:hAnsi="Arial" w:hint="default"/>
      </w:rPr>
    </w:lvl>
    <w:lvl w:ilvl="4" w:tplc="E976DABA" w:tentative="1">
      <w:start w:val="1"/>
      <w:numFmt w:val="bullet"/>
      <w:lvlText w:val="•"/>
      <w:lvlJc w:val="left"/>
      <w:pPr>
        <w:tabs>
          <w:tab w:val="num" w:pos="3600"/>
        </w:tabs>
        <w:ind w:left="3600" w:hanging="360"/>
      </w:pPr>
      <w:rPr>
        <w:rFonts w:ascii="Arial" w:hAnsi="Arial" w:hint="default"/>
      </w:rPr>
    </w:lvl>
    <w:lvl w:ilvl="5" w:tplc="AEE03B18" w:tentative="1">
      <w:start w:val="1"/>
      <w:numFmt w:val="bullet"/>
      <w:lvlText w:val="•"/>
      <w:lvlJc w:val="left"/>
      <w:pPr>
        <w:tabs>
          <w:tab w:val="num" w:pos="4320"/>
        </w:tabs>
        <w:ind w:left="4320" w:hanging="360"/>
      </w:pPr>
      <w:rPr>
        <w:rFonts w:ascii="Arial" w:hAnsi="Arial" w:hint="default"/>
      </w:rPr>
    </w:lvl>
    <w:lvl w:ilvl="6" w:tplc="7D686EFC" w:tentative="1">
      <w:start w:val="1"/>
      <w:numFmt w:val="bullet"/>
      <w:lvlText w:val="•"/>
      <w:lvlJc w:val="left"/>
      <w:pPr>
        <w:tabs>
          <w:tab w:val="num" w:pos="5040"/>
        </w:tabs>
        <w:ind w:left="5040" w:hanging="360"/>
      </w:pPr>
      <w:rPr>
        <w:rFonts w:ascii="Arial" w:hAnsi="Arial" w:hint="default"/>
      </w:rPr>
    </w:lvl>
    <w:lvl w:ilvl="7" w:tplc="1A384076" w:tentative="1">
      <w:start w:val="1"/>
      <w:numFmt w:val="bullet"/>
      <w:lvlText w:val="•"/>
      <w:lvlJc w:val="left"/>
      <w:pPr>
        <w:tabs>
          <w:tab w:val="num" w:pos="5760"/>
        </w:tabs>
        <w:ind w:left="5760" w:hanging="360"/>
      </w:pPr>
      <w:rPr>
        <w:rFonts w:ascii="Arial" w:hAnsi="Arial" w:hint="default"/>
      </w:rPr>
    </w:lvl>
    <w:lvl w:ilvl="8" w:tplc="414C4DA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36F5401"/>
    <w:multiLevelType w:val="hybridMultilevel"/>
    <w:tmpl w:val="C8CAA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3933B4E"/>
    <w:multiLevelType w:val="hybridMultilevel"/>
    <w:tmpl w:val="A16EA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E22CDF"/>
    <w:multiLevelType w:val="hybridMultilevel"/>
    <w:tmpl w:val="2B20B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073BC3"/>
    <w:multiLevelType w:val="hybridMultilevel"/>
    <w:tmpl w:val="E1C006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A07742"/>
    <w:multiLevelType w:val="hybridMultilevel"/>
    <w:tmpl w:val="CAC8D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3B2A4B"/>
    <w:multiLevelType w:val="hybridMultilevel"/>
    <w:tmpl w:val="4DCE63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72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7EB2B35"/>
    <w:multiLevelType w:val="hybridMultilevel"/>
    <w:tmpl w:val="957636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862771F"/>
    <w:multiLevelType w:val="hybridMultilevel"/>
    <w:tmpl w:val="63148AA6"/>
    <w:lvl w:ilvl="0" w:tplc="83387410">
      <w:start w:val="1"/>
      <w:numFmt w:val="bullet"/>
      <w:lvlText w:val="•"/>
      <w:lvlJc w:val="left"/>
      <w:pPr>
        <w:tabs>
          <w:tab w:val="num" w:pos="720"/>
        </w:tabs>
        <w:ind w:left="720" w:hanging="360"/>
      </w:pPr>
      <w:rPr>
        <w:rFonts w:ascii="Arial" w:hAnsi="Arial" w:hint="default"/>
      </w:rPr>
    </w:lvl>
    <w:lvl w:ilvl="1" w:tplc="01BE37D8">
      <w:start w:val="1"/>
      <w:numFmt w:val="bullet"/>
      <w:lvlText w:val="•"/>
      <w:lvlJc w:val="left"/>
      <w:pPr>
        <w:tabs>
          <w:tab w:val="num" w:pos="1440"/>
        </w:tabs>
        <w:ind w:left="1440" w:hanging="360"/>
      </w:pPr>
      <w:rPr>
        <w:rFonts w:ascii="Arial" w:hAnsi="Arial" w:hint="default"/>
      </w:rPr>
    </w:lvl>
    <w:lvl w:ilvl="2" w:tplc="DDA6A742" w:tentative="1">
      <w:start w:val="1"/>
      <w:numFmt w:val="bullet"/>
      <w:lvlText w:val="•"/>
      <w:lvlJc w:val="left"/>
      <w:pPr>
        <w:tabs>
          <w:tab w:val="num" w:pos="2160"/>
        </w:tabs>
        <w:ind w:left="2160" w:hanging="360"/>
      </w:pPr>
      <w:rPr>
        <w:rFonts w:ascii="Arial" w:hAnsi="Arial" w:hint="default"/>
      </w:rPr>
    </w:lvl>
    <w:lvl w:ilvl="3" w:tplc="03EEFA16" w:tentative="1">
      <w:start w:val="1"/>
      <w:numFmt w:val="bullet"/>
      <w:lvlText w:val="•"/>
      <w:lvlJc w:val="left"/>
      <w:pPr>
        <w:tabs>
          <w:tab w:val="num" w:pos="2880"/>
        </w:tabs>
        <w:ind w:left="2880" w:hanging="360"/>
      </w:pPr>
      <w:rPr>
        <w:rFonts w:ascii="Arial" w:hAnsi="Arial" w:hint="default"/>
      </w:rPr>
    </w:lvl>
    <w:lvl w:ilvl="4" w:tplc="C1508C56" w:tentative="1">
      <w:start w:val="1"/>
      <w:numFmt w:val="bullet"/>
      <w:lvlText w:val="•"/>
      <w:lvlJc w:val="left"/>
      <w:pPr>
        <w:tabs>
          <w:tab w:val="num" w:pos="3600"/>
        </w:tabs>
        <w:ind w:left="3600" w:hanging="360"/>
      </w:pPr>
      <w:rPr>
        <w:rFonts w:ascii="Arial" w:hAnsi="Arial" w:hint="default"/>
      </w:rPr>
    </w:lvl>
    <w:lvl w:ilvl="5" w:tplc="5038CD2A" w:tentative="1">
      <w:start w:val="1"/>
      <w:numFmt w:val="bullet"/>
      <w:lvlText w:val="•"/>
      <w:lvlJc w:val="left"/>
      <w:pPr>
        <w:tabs>
          <w:tab w:val="num" w:pos="4320"/>
        </w:tabs>
        <w:ind w:left="4320" w:hanging="360"/>
      </w:pPr>
      <w:rPr>
        <w:rFonts w:ascii="Arial" w:hAnsi="Arial" w:hint="default"/>
      </w:rPr>
    </w:lvl>
    <w:lvl w:ilvl="6" w:tplc="54D4A5D0" w:tentative="1">
      <w:start w:val="1"/>
      <w:numFmt w:val="bullet"/>
      <w:lvlText w:val="•"/>
      <w:lvlJc w:val="left"/>
      <w:pPr>
        <w:tabs>
          <w:tab w:val="num" w:pos="5040"/>
        </w:tabs>
        <w:ind w:left="5040" w:hanging="360"/>
      </w:pPr>
      <w:rPr>
        <w:rFonts w:ascii="Arial" w:hAnsi="Arial" w:hint="default"/>
      </w:rPr>
    </w:lvl>
    <w:lvl w:ilvl="7" w:tplc="CCC2B22A" w:tentative="1">
      <w:start w:val="1"/>
      <w:numFmt w:val="bullet"/>
      <w:lvlText w:val="•"/>
      <w:lvlJc w:val="left"/>
      <w:pPr>
        <w:tabs>
          <w:tab w:val="num" w:pos="5760"/>
        </w:tabs>
        <w:ind w:left="5760" w:hanging="360"/>
      </w:pPr>
      <w:rPr>
        <w:rFonts w:ascii="Arial" w:hAnsi="Arial" w:hint="default"/>
      </w:rPr>
    </w:lvl>
    <w:lvl w:ilvl="8" w:tplc="A8FE825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C1C7789"/>
    <w:multiLevelType w:val="hybridMultilevel"/>
    <w:tmpl w:val="057E3588"/>
    <w:lvl w:ilvl="0" w:tplc="EFE6E9CC">
      <w:start w:val="1"/>
      <w:numFmt w:val="bullet"/>
      <w:lvlText w:val="•"/>
      <w:lvlJc w:val="left"/>
      <w:pPr>
        <w:tabs>
          <w:tab w:val="num" w:pos="720"/>
        </w:tabs>
        <w:ind w:left="720" w:hanging="360"/>
      </w:pPr>
      <w:rPr>
        <w:rFonts w:ascii="Arial" w:hAnsi="Arial" w:hint="default"/>
      </w:rPr>
    </w:lvl>
    <w:lvl w:ilvl="1" w:tplc="C040FAB2">
      <w:start w:val="1"/>
      <w:numFmt w:val="bullet"/>
      <w:lvlText w:val="•"/>
      <w:lvlJc w:val="left"/>
      <w:pPr>
        <w:tabs>
          <w:tab w:val="num" w:pos="1440"/>
        </w:tabs>
        <w:ind w:left="1440" w:hanging="360"/>
      </w:pPr>
      <w:rPr>
        <w:rFonts w:ascii="Arial" w:hAnsi="Arial" w:hint="default"/>
      </w:rPr>
    </w:lvl>
    <w:lvl w:ilvl="2" w:tplc="2B9C5524" w:tentative="1">
      <w:start w:val="1"/>
      <w:numFmt w:val="bullet"/>
      <w:lvlText w:val="•"/>
      <w:lvlJc w:val="left"/>
      <w:pPr>
        <w:tabs>
          <w:tab w:val="num" w:pos="2160"/>
        </w:tabs>
        <w:ind w:left="2160" w:hanging="360"/>
      </w:pPr>
      <w:rPr>
        <w:rFonts w:ascii="Arial" w:hAnsi="Arial" w:hint="default"/>
      </w:rPr>
    </w:lvl>
    <w:lvl w:ilvl="3" w:tplc="D79E7FBC" w:tentative="1">
      <w:start w:val="1"/>
      <w:numFmt w:val="bullet"/>
      <w:lvlText w:val="•"/>
      <w:lvlJc w:val="left"/>
      <w:pPr>
        <w:tabs>
          <w:tab w:val="num" w:pos="2880"/>
        </w:tabs>
        <w:ind w:left="2880" w:hanging="360"/>
      </w:pPr>
      <w:rPr>
        <w:rFonts w:ascii="Arial" w:hAnsi="Arial" w:hint="default"/>
      </w:rPr>
    </w:lvl>
    <w:lvl w:ilvl="4" w:tplc="E7B2530C" w:tentative="1">
      <w:start w:val="1"/>
      <w:numFmt w:val="bullet"/>
      <w:lvlText w:val="•"/>
      <w:lvlJc w:val="left"/>
      <w:pPr>
        <w:tabs>
          <w:tab w:val="num" w:pos="3600"/>
        </w:tabs>
        <w:ind w:left="3600" w:hanging="360"/>
      </w:pPr>
      <w:rPr>
        <w:rFonts w:ascii="Arial" w:hAnsi="Arial" w:hint="default"/>
      </w:rPr>
    </w:lvl>
    <w:lvl w:ilvl="5" w:tplc="47804912" w:tentative="1">
      <w:start w:val="1"/>
      <w:numFmt w:val="bullet"/>
      <w:lvlText w:val="•"/>
      <w:lvlJc w:val="left"/>
      <w:pPr>
        <w:tabs>
          <w:tab w:val="num" w:pos="4320"/>
        </w:tabs>
        <w:ind w:left="4320" w:hanging="360"/>
      </w:pPr>
      <w:rPr>
        <w:rFonts w:ascii="Arial" w:hAnsi="Arial" w:hint="default"/>
      </w:rPr>
    </w:lvl>
    <w:lvl w:ilvl="6" w:tplc="9ABCC5D4" w:tentative="1">
      <w:start w:val="1"/>
      <w:numFmt w:val="bullet"/>
      <w:lvlText w:val="•"/>
      <w:lvlJc w:val="left"/>
      <w:pPr>
        <w:tabs>
          <w:tab w:val="num" w:pos="5040"/>
        </w:tabs>
        <w:ind w:left="5040" w:hanging="360"/>
      </w:pPr>
      <w:rPr>
        <w:rFonts w:ascii="Arial" w:hAnsi="Arial" w:hint="default"/>
      </w:rPr>
    </w:lvl>
    <w:lvl w:ilvl="7" w:tplc="F4EA7D32" w:tentative="1">
      <w:start w:val="1"/>
      <w:numFmt w:val="bullet"/>
      <w:lvlText w:val="•"/>
      <w:lvlJc w:val="left"/>
      <w:pPr>
        <w:tabs>
          <w:tab w:val="num" w:pos="5760"/>
        </w:tabs>
        <w:ind w:left="5760" w:hanging="360"/>
      </w:pPr>
      <w:rPr>
        <w:rFonts w:ascii="Arial" w:hAnsi="Arial" w:hint="default"/>
      </w:rPr>
    </w:lvl>
    <w:lvl w:ilvl="8" w:tplc="82F0B8F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1493FA9"/>
    <w:multiLevelType w:val="hybridMultilevel"/>
    <w:tmpl w:val="113EB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B3120D"/>
    <w:multiLevelType w:val="hybridMultilevel"/>
    <w:tmpl w:val="515EE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2"/>
  </w:num>
  <w:num w:numId="15">
    <w:abstractNumId w:val="10"/>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22"/>
  </w:num>
  <w:num w:numId="23">
    <w:abstractNumId w:val="11"/>
  </w:num>
  <w:num w:numId="24">
    <w:abstractNumId w:val="21"/>
  </w:num>
  <w:num w:numId="25">
    <w:abstractNumId w:val="18"/>
  </w:num>
  <w:num w:numId="26">
    <w:abstractNumId w:val="17"/>
  </w:num>
  <w:num w:numId="27">
    <w:abstractNumId w:val="12"/>
  </w:num>
  <w:num w:numId="28">
    <w:abstractNumId w:val="12"/>
  </w:num>
  <w:num w:numId="29">
    <w:abstractNumId w:val="12"/>
  </w:num>
  <w:num w:numId="30">
    <w:abstractNumId w:val="15"/>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4"/>
  </w:num>
  <w:num w:numId="40">
    <w:abstractNumId w:val="12"/>
  </w:num>
  <w:num w:numId="41">
    <w:abstractNumId w:val="23"/>
  </w:num>
  <w:num w:numId="42">
    <w:abstractNumId w:val="24"/>
  </w:num>
  <w:num w:numId="43">
    <w:abstractNumId w:val="12"/>
  </w:num>
  <w:num w:numId="44">
    <w:abstractNumId w:val="20"/>
  </w:num>
  <w:num w:numId="45">
    <w:abstractNumId w:val="23"/>
  </w:num>
  <w:num w:numId="46">
    <w:abstractNumId w:val="24"/>
  </w:num>
  <w:num w:numId="47">
    <w:abstractNumId w:val="16"/>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682"/>
    <w:rsid w:val="00001BD4"/>
    <w:rsid w:val="000074DD"/>
    <w:rsid w:val="00031224"/>
    <w:rsid w:val="00033CDF"/>
    <w:rsid w:val="000367AA"/>
    <w:rsid w:val="00045810"/>
    <w:rsid w:val="00081B97"/>
    <w:rsid w:val="00086B13"/>
    <w:rsid w:val="000A2F0A"/>
    <w:rsid w:val="000B01AE"/>
    <w:rsid w:val="000B2A1B"/>
    <w:rsid w:val="000B7CA8"/>
    <w:rsid w:val="000C2143"/>
    <w:rsid w:val="000C3B83"/>
    <w:rsid w:val="000D1778"/>
    <w:rsid w:val="000D2C20"/>
    <w:rsid w:val="001014EB"/>
    <w:rsid w:val="00101DB4"/>
    <w:rsid w:val="00102885"/>
    <w:rsid w:val="001101C8"/>
    <w:rsid w:val="00121100"/>
    <w:rsid w:val="00124E0B"/>
    <w:rsid w:val="00130343"/>
    <w:rsid w:val="00131B05"/>
    <w:rsid w:val="00135417"/>
    <w:rsid w:val="0014066A"/>
    <w:rsid w:val="00141BC3"/>
    <w:rsid w:val="001432AF"/>
    <w:rsid w:val="00151636"/>
    <w:rsid w:val="00155BD4"/>
    <w:rsid w:val="0016220F"/>
    <w:rsid w:val="00167446"/>
    <w:rsid w:val="0017279A"/>
    <w:rsid w:val="00181B52"/>
    <w:rsid w:val="0018507E"/>
    <w:rsid w:val="0019170A"/>
    <w:rsid w:val="001A6FE6"/>
    <w:rsid w:val="001A7FB7"/>
    <w:rsid w:val="001C3355"/>
    <w:rsid w:val="001C5C56"/>
    <w:rsid w:val="001E04E8"/>
    <w:rsid w:val="001E6F63"/>
    <w:rsid w:val="001F49E8"/>
    <w:rsid w:val="001F75FF"/>
    <w:rsid w:val="0020052B"/>
    <w:rsid w:val="00200902"/>
    <w:rsid w:val="00203F3E"/>
    <w:rsid w:val="002071EF"/>
    <w:rsid w:val="00216933"/>
    <w:rsid w:val="00221334"/>
    <w:rsid w:val="0022229A"/>
    <w:rsid w:val="00226E89"/>
    <w:rsid w:val="00235C0B"/>
    <w:rsid w:val="002427E0"/>
    <w:rsid w:val="00243D1C"/>
    <w:rsid w:val="00246AEB"/>
    <w:rsid w:val="0026502E"/>
    <w:rsid w:val="00276A29"/>
    <w:rsid w:val="00281820"/>
    <w:rsid w:val="00291041"/>
    <w:rsid w:val="002A3C7C"/>
    <w:rsid w:val="002A5A70"/>
    <w:rsid w:val="002B085D"/>
    <w:rsid w:val="002B3FCB"/>
    <w:rsid w:val="002B70AC"/>
    <w:rsid w:val="002B7D50"/>
    <w:rsid w:val="002D2CC5"/>
    <w:rsid w:val="002D334A"/>
    <w:rsid w:val="002E6682"/>
    <w:rsid w:val="002F2D83"/>
    <w:rsid w:val="002F56A2"/>
    <w:rsid w:val="003122B4"/>
    <w:rsid w:val="003123A2"/>
    <w:rsid w:val="00322B68"/>
    <w:rsid w:val="00337919"/>
    <w:rsid w:val="00342F84"/>
    <w:rsid w:val="00344600"/>
    <w:rsid w:val="00345DC5"/>
    <w:rsid w:val="00352174"/>
    <w:rsid w:val="00355E8A"/>
    <w:rsid w:val="00363819"/>
    <w:rsid w:val="00374AE3"/>
    <w:rsid w:val="0039188D"/>
    <w:rsid w:val="003A52BA"/>
    <w:rsid w:val="003B56AD"/>
    <w:rsid w:val="003D5CEF"/>
    <w:rsid w:val="003E0945"/>
    <w:rsid w:val="003E6457"/>
    <w:rsid w:val="003F6682"/>
    <w:rsid w:val="00403D92"/>
    <w:rsid w:val="00405506"/>
    <w:rsid w:val="00414292"/>
    <w:rsid w:val="00420023"/>
    <w:rsid w:val="00425089"/>
    <w:rsid w:val="00427D7F"/>
    <w:rsid w:val="004323E7"/>
    <w:rsid w:val="004324B6"/>
    <w:rsid w:val="00433682"/>
    <w:rsid w:val="0043744D"/>
    <w:rsid w:val="004435F9"/>
    <w:rsid w:val="0044452E"/>
    <w:rsid w:val="00445086"/>
    <w:rsid w:val="004511F2"/>
    <w:rsid w:val="004537FD"/>
    <w:rsid w:val="00453F67"/>
    <w:rsid w:val="00462AE2"/>
    <w:rsid w:val="004933FA"/>
    <w:rsid w:val="00494B72"/>
    <w:rsid w:val="00496081"/>
    <w:rsid w:val="004A1348"/>
    <w:rsid w:val="004A51C1"/>
    <w:rsid w:val="004B243F"/>
    <w:rsid w:val="004C2B08"/>
    <w:rsid w:val="004D2C7C"/>
    <w:rsid w:val="004D71C4"/>
    <w:rsid w:val="004E52A2"/>
    <w:rsid w:val="004E5355"/>
    <w:rsid w:val="004F0AA6"/>
    <w:rsid w:val="00510063"/>
    <w:rsid w:val="00524356"/>
    <w:rsid w:val="005261D0"/>
    <w:rsid w:val="00541AC0"/>
    <w:rsid w:val="0054242B"/>
    <w:rsid w:val="00542F07"/>
    <w:rsid w:val="00543427"/>
    <w:rsid w:val="00545D4C"/>
    <w:rsid w:val="005469AE"/>
    <w:rsid w:val="00550525"/>
    <w:rsid w:val="00551BE5"/>
    <w:rsid w:val="00553335"/>
    <w:rsid w:val="0056602E"/>
    <w:rsid w:val="00570B62"/>
    <w:rsid w:val="00577CA7"/>
    <w:rsid w:val="00585A62"/>
    <w:rsid w:val="00595BBD"/>
    <w:rsid w:val="0059641E"/>
    <w:rsid w:val="005A0226"/>
    <w:rsid w:val="005A1BE2"/>
    <w:rsid w:val="005A564B"/>
    <w:rsid w:val="005C213D"/>
    <w:rsid w:val="005D3407"/>
    <w:rsid w:val="005E1472"/>
    <w:rsid w:val="005F13FF"/>
    <w:rsid w:val="00603733"/>
    <w:rsid w:val="006173AC"/>
    <w:rsid w:val="0062100F"/>
    <w:rsid w:val="0062293C"/>
    <w:rsid w:val="00632552"/>
    <w:rsid w:val="00634880"/>
    <w:rsid w:val="00641000"/>
    <w:rsid w:val="006425BA"/>
    <w:rsid w:val="00650B9A"/>
    <w:rsid w:val="00653345"/>
    <w:rsid w:val="00655D74"/>
    <w:rsid w:val="00656F11"/>
    <w:rsid w:val="00657249"/>
    <w:rsid w:val="0065725F"/>
    <w:rsid w:val="0066169B"/>
    <w:rsid w:val="00673D76"/>
    <w:rsid w:val="006756CF"/>
    <w:rsid w:val="00684D37"/>
    <w:rsid w:val="00694030"/>
    <w:rsid w:val="006961D6"/>
    <w:rsid w:val="006A175B"/>
    <w:rsid w:val="006A667E"/>
    <w:rsid w:val="006B0B78"/>
    <w:rsid w:val="006D04CC"/>
    <w:rsid w:val="006D1088"/>
    <w:rsid w:val="006D2A35"/>
    <w:rsid w:val="006F5785"/>
    <w:rsid w:val="0070702F"/>
    <w:rsid w:val="00726103"/>
    <w:rsid w:val="00727F4C"/>
    <w:rsid w:val="00734F6B"/>
    <w:rsid w:val="00736D31"/>
    <w:rsid w:val="00752400"/>
    <w:rsid w:val="00755690"/>
    <w:rsid w:val="00760067"/>
    <w:rsid w:val="00781867"/>
    <w:rsid w:val="00783851"/>
    <w:rsid w:val="00790D06"/>
    <w:rsid w:val="007A330F"/>
    <w:rsid w:val="007A5F48"/>
    <w:rsid w:val="007D1D3A"/>
    <w:rsid w:val="007E2604"/>
    <w:rsid w:val="007E33D2"/>
    <w:rsid w:val="007E7B80"/>
    <w:rsid w:val="007F45EC"/>
    <w:rsid w:val="00817BE6"/>
    <w:rsid w:val="00834903"/>
    <w:rsid w:val="008352AC"/>
    <w:rsid w:val="008479E9"/>
    <w:rsid w:val="00852651"/>
    <w:rsid w:val="008553F7"/>
    <w:rsid w:val="008605F5"/>
    <w:rsid w:val="0086438C"/>
    <w:rsid w:val="00864E28"/>
    <w:rsid w:val="00875D1C"/>
    <w:rsid w:val="008766AD"/>
    <w:rsid w:val="00881219"/>
    <w:rsid w:val="008957B9"/>
    <w:rsid w:val="008A6F4F"/>
    <w:rsid w:val="008B0F94"/>
    <w:rsid w:val="008C68CE"/>
    <w:rsid w:val="008D00CD"/>
    <w:rsid w:val="008E258C"/>
    <w:rsid w:val="008E4C9B"/>
    <w:rsid w:val="008E7B7C"/>
    <w:rsid w:val="008F1594"/>
    <w:rsid w:val="008F4B45"/>
    <w:rsid w:val="009000AA"/>
    <w:rsid w:val="00907B4A"/>
    <w:rsid w:val="0091706C"/>
    <w:rsid w:val="00936BF6"/>
    <w:rsid w:val="00942A31"/>
    <w:rsid w:val="009542F2"/>
    <w:rsid w:val="009562F4"/>
    <w:rsid w:val="00964671"/>
    <w:rsid w:val="0097344F"/>
    <w:rsid w:val="00977405"/>
    <w:rsid w:val="009858E2"/>
    <w:rsid w:val="00997189"/>
    <w:rsid w:val="009A56E9"/>
    <w:rsid w:val="009A6B12"/>
    <w:rsid w:val="009B32BA"/>
    <w:rsid w:val="009B51E7"/>
    <w:rsid w:val="009B5206"/>
    <w:rsid w:val="009B7859"/>
    <w:rsid w:val="009C742B"/>
    <w:rsid w:val="009D0B98"/>
    <w:rsid w:val="009E4A9E"/>
    <w:rsid w:val="009E66EE"/>
    <w:rsid w:val="009E6DE2"/>
    <w:rsid w:val="009F3967"/>
    <w:rsid w:val="009F52D4"/>
    <w:rsid w:val="009F670F"/>
    <w:rsid w:val="00A0004E"/>
    <w:rsid w:val="00A05AC6"/>
    <w:rsid w:val="00A13E2D"/>
    <w:rsid w:val="00A26321"/>
    <w:rsid w:val="00A31F87"/>
    <w:rsid w:val="00A3287F"/>
    <w:rsid w:val="00A32DC6"/>
    <w:rsid w:val="00A37CE3"/>
    <w:rsid w:val="00A51FC5"/>
    <w:rsid w:val="00A5641C"/>
    <w:rsid w:val="00A60FB7"/>
    <w:rsid w:val="00A64177"/>
    <w:rsid w:val="00A7172E"/>
    <w:rsid w:val="00A7463E"/>
    <w:rsid w:val="00A91196"/>
    <w:rsid w:val="00A969F6"/>
    <w:rsid w:val="00AA08BD"/>
    <w:rsid w:val="00AA41CD"/>
    <w:rsid w:val="00AA5232"/>
    <w:rsid w:val="00AA69A9"/>
    <w:rsid w:val="00AB53A4"/>
    <w:rsid w:val="00AB7339"/>
    <w:rsid w:val="00AD58E0"/>
    <w:rsid w:val="00AE2F7E"/>
    <w:rsid w:val="00AE53A3"/>
    <w:rsid w:val="00B06E28"/>
    <w:rsid w:val="00B11F79"/>
    <w:rsid w:val="00B15155"/>
    <w:rsid w:val="00B15CE8"/>
    <w:rsid w:val="00B164B1"/>
    <w:rsid w:val="00B2044B"/>
    <w:rsid w:val="00B23A4C"/>
    <w:rsid w:val="00B24376"/>
    <w:rsid w:val="00B31FBA"/>
    <w:rsid w:val="00B32E1A"/>
    <w:rsid w:val="00B378D4"/>
    <w:rsid w:val="00B3793F"/>
    <w:rsid w:val="00B53269"/>
    <w:rsid w:val="00B542FB"/>
    <w:rsid w:val="00B714E8"/>
    <w:rsid w:val="00B71606"/>
    <w:rsid w:val="00B83E3D"/>
    <w:rsid w:val="00B90DB5"/>
    <w:rsid w:val="00B95951"/>
    <w:rsid w:val="00B97EEE"/>
    <w:rsid w:val="00BA0109"/>
    <w:rsid w:val="00BA7CA8"/>
    <w:rsid w:val="00BB25DE"/>
    <w:rsid w:val="00BB6CB9"/>
    <w:rsid w:val="00BC50C1"/>
    <w:rsid w:val="00BC6CCC"/>
    <w:rsid w:val="00BD1C20"/>
    <w:rsid w:val="00BD2649"/>
    <w:rsid w:val="00BD3526"/>
    <w:rsid w:val="00BE2018"/>
    <w:rsid w:val="00BE505F"/>
    <w:rsid w:val="00BF00A9"/>
    <w:rsid w:val="00BF1759"/>
    <w:rsid w:val="00BF426F"/>
    <w:rsid w:val="00C0126E"/>
    <w:rsid w:val="00C03F50"/>
    <w:rsid w:val="00C06E51"/>
    <w:rsid w:val="00C11326"/>
    <w:rsid w:val="00C131D7"/>
    <w:rsid w:val="00C13ABA"/>
    <w:rsid w:val="00C265D5"/>
    <w:rsid w:val="00C4491F"/>
    <w:rsid w:val="00C45EE7"/>
    <w:rsid w:val="00C61A31"/>
    <w:rsid w:val="00C66700"/>
    <w:rsid w:val="00C9089F"/>
    <w:rsid w:val="00CA5F76"/>
    <w:rsid w:val="00CC39C8"/>
    <w:rsid w:val="00CE2A0E"/>
    <w:rsid w:val="00CF39AF"/>
    <w:rsid w:val="00CF45CC"/>
    <w:rsid w:val="00D11EDB"/>
    <w:rsid w:val="00D16EF3"/>
    <w:rsid w:val="00D262A1"/>
    <w:rsid w:val="00D3244E"/>
    <w:rsid w:val="00D36F35"/>
    <w:rsid w:val="00D37294"/>
    <w:rsid w:val="00D3741F"/>
    <w:rsid w:val="00D422E5"/>
    <w:rsid w:val="00D62923"/>
    <w:rsid w:val="00D6302E"/>
    <w:rsid w:val="00D647CC"/>
    <w:rsid w:val="00D67E9A"/>
    <w:rsid w:val="00D76659"/>
    <w:rsid w:val="00D87B13"/>
    <w:rsid w:val="00DA50D6"/>
    <w:rsid w:val="00DB54A4"/>
    <w:rsid w:val="00DC05FC"/>
    <w:rsid w:val="00DC127A"/>
    <w:rsid w:val="00DC356C"/>
    <w:rsid w:val="00DD015C"/>
    <w:rsid w:val="00DE22E2"/>
    <w:rsid w:val="00DF7606"/>
    <w:rsid w:val="00DF7C32"/>
    <w:rsid w:val="00E11C6E"/>
    <w:rsid w:val="00E43F82"/>
    <w:rsid w:val="00E67A00"/>
    <w:rsid w:val="00E72130"/>
    <w:rsid w:val="00E7403A"/>
    <w:rsid w:val="00E7460D"/>
    <w:rsid w:val="00EA2CDC"/>
    <w:rsid w:val="00EB7EF0"/>
    <w:rsid w:val="00EC2DBE"/>
    <w:rsid w:val="00ED1055"/>
    <w:rsid w:val="00ED2B70"/>
    <w:rsid w:val="00ED60EE"/>
    <w:rsid w:val="00F00D6F"/>
    <w:rsid w:val="00F066BF"/>
    <w:rsid w:val="00F074CE"/>
    <w:rsid w:val="00F07E89"/>
    <w:rsid w:val="00F225AC"/>
    <w:rsid w:val="00F33D07"/>
    <w:rsid w:val="00F35758"/>
    <w:rsid w:val="00F40534"/>
    <w:rsid w:val="00F45A5F"/>
    <w:rsid w:val="00F50491"/>
    <w:rsid w:val="00F50994"/>
    <w:rsid w:val="00F53297"/>
    <w:rsid w:val="00F74AD4"/>
    <w:rsid w:val="00F74DFC"/>
    <w:rsid w:val="00F8617C"/>
    <w:rsid w:val="00F861D5"/>
    <w:rsid w:val="00F93F71"/>
    <w:rsid w:val="00F95E93"/>
    <w:rsid w:val="00F97EBE"/>
    <w:rsid w:val="00FB4DEF"/>
    <w:rsid w:val="00FC690D"/>
    <w:rsid w:val="00FD1E77"/>
    <w:rsid w:val="00FD36F6"/>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7AA9FC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302065">
      <w:bodyDiv w:val="1"/>
      <w:marLeft w:val="0"/>
      <w:marRight w:val="0"/>
      <w:marTop w:val="0"/>
      <w:marBottom w:val="0"/>
      <w:divBdr>
        <w:top w:val="none" w:sz="0" w:space="0" w:color="auto"/>
        <w:left w:val="none" w:sz="0" w:space="0" w:color="auto"/>
        <w:bottom w:val="none" w:sz="0" w:space="0" w:color="auto"/>
        <w:right w:val="none" w:sz="0" w:space="0" w:color="auto"/>
      </w:divBdr>
      <w:divsChild>
        <w:div w:id="1106075602">
          <w:marLeft w:val="1166"/>
          <w:marRight w:val="0"/>
          <w:marTop w:val="0"/>
          <w:marBottom w:val="0"/>
          <w:divBdr>
            <w:top w:val="none" w:sz="0" w:space="0" w:color="auto"/>
            <w:left w:val="none" w:sz="0" w:space="0" w:color="auto"/>
            <w:bottom w:val="none" w:sz="0" w:space="0" w:color="auto"/>
            <w:right w:val="none" w:sz="0" w:space="0" w:color="auto"/>
          </w:divBdr>
        </w:div>
        <w:div w:id="1032221648">
          <w:marLeft w:val="1166"/>
          <w:marRight w:val="0"/>
          <w:marTop w:val="0"/>
          <w:marBottom w:val="0"/>
          <w:divBdr>
            <w:top w:val="none" w:sz="0" w:space="0" w:color="auto"/>
            <w:left w:val="none" w:sz="0" w:space="0" w:color="auto"/>
            <w:bottom w:val="none" w:sz="0" w:space="0" w:color="auto"/>
            <w:right w:val="none" w:sz="0" w:space="0" w:color="auto"/>
          </w:divBdr>
        </w:div>
        <w:div w:id="262883651">
          <w:marLeft w:val="1166"/>
          <w:marRight w:val="0"/>
          <w:marTop w:val="0"/>
          <w:marBottom w:val="0"/>
          <w:divBdr>
            <w:top w:val="none" w:sz="0" w:space="0" w:color="auto"/>
            <w:left w:val="none" w:sz="0" w:space="0" w:color="auto"/>
            <w:bottom w:val="none" w:sz="0" w:space="0" w:color="auto"/>
            <w:right w:val="none" w:sz="0" w:space="0" w:color="auto"/>
          </w:divBdr>
        </w:div>
      </w:divsChild>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514958470">
      <w:bodyDiv w:val="1"/>
      <w:marLeft w:val="0"/>
      <w:marRight w:val="0"/>
      <w:marTop w:val="0"/>
      <w:marBottom w:val="0"/>
      <w:divBdr>
        <w:top w:val="none" w:sz="0" w:space="0" w:color="auto"/>
        <w:left w:val="none" w:sz="0" w:space="0" w:color="auto"/>
        <w:bottom w:val="none" w:sz="0" w:space="0" w:color="auto"/>
        <w:right w:val="none" w:sz="0" w:space="0" w:color="auto"/>
      </w:divBdr>
      <w:divsChild>
        <w:div w:id="44531321">
          <w:marLeft w:val="1166"/>
          <w:marRight w:val="0"/>
          <w:marTop w:val="0"/>
          <w:marBottom w:val="0"/>
          <w:divBdr>
            <w:top w:val="none" w:sz="0" w:space="0" w:color="auto"/>
            <w:left w:val="none" w:sz="0" w:space="0" w:color="auto"/>
            <w:bottom w:val="none" w:sz="0" w:space="0" w:color="auto"/>
            <w:right w:val="none" w:sz="0" w:space="0" w:color="auto"/>
          </w:divBdr>
        </w:div>
        <w:div w:id="610555059">
          <w:marLeft w:val="1166"/>
          <w:marRight w:val="0"/>
          <w:marTop w:val="0"/>
          <w:marBottom w:val="0"/>
          <w:divBdr>
            <w:top w:val="none" w:sz="0" w:space="0" w:color="auto"/>
            <w:left w:val="none" w:sz="0" w:space="0" w:color="auto"/>
            <w:bottom w:val="none" w:sz="0" w:space="0" w:color="auto"/>
            <w:right w:val="none" w:sz="0" w:space="0" w:color="auto"/>
          </w:divBdr>
        </w:div>
        <w:div w:id="1474642316">
          <w:marLeft w:val="1166"/>
          <w:marRight w:val="0"/>
          <w:marTop w:val="0"/>
          <w:marBottom w:val="0"/>
          <w:divBdr>
            <w:top w:val="none" w:sz="0" w:space="0" w:color="auto"/>
            <w:left w:val="none" w:sz="0" w:space="0" w:color="auto"/>
            <w:bottom w:val="none" w:sz="0" w:space="0" w:color="auto"/>
            <w:right w:val="none" w:sz="0" w:space="0" w:color="auto"/>
          </w:divBdr>
        </w:div>
        <w:div w:id="671417081">
          <w:marLeft w:val="1166"/>
          <w:marRight w:val="0"/>
          <w:marTop w:val="0"/>
          <w:marBottom w:val="0"/>
          <w:divBdr>
            <w:top w:val="none" w:sz="0" w:space="0" w:color="auto"/>
            <w:left w:val="none" w:sz="0" w:space="0" w:color="auto"/>
            <w:bottom w:val="none" w:sz="0" w:space="0" w:color="auto"/>
            <w:right w:val="none" w:sz="0" w:space="0" w:color="auto"/>
          </w:divBdr>
        </w:div>
        <w:div w:id="82993282">
          <w:marLeft w:val="1166"/>
          <w:marRight w:val="0"/>
          <w:marTop w:val="0"/>
          <w:marBottom w:val="0"/>
          <w:divBdr>
            <w:top w:val="none" w:sz="0" w:space="0" w:color="auto"/>
            <w:left w:val="none" w:sz="0" w:space="0" w:color="auto"/>
            <w:bottom w:val="none" w:sz="0" w:space="0" w:color="auto"/>
            <w:right w:val="none" w:sz="0" w:space="0" w:color="auto"/>
          </w:divBdr>
        </w:div>
        <w:div w:id="1003050435">
          <w:marLeft w:val="1166"/>
          <w:marRight w:val="0"/>
          <w:marTop w:val="0"/>
          <w:marBottom w:val="0"/>
          <w:divBdr>
            <w:top w:val="none" w:sz="0" w:space="0" w:color="auto"/>
            <w:left w:val="none" w:sz="0" w:space="0" w:color="auto"/>
            <w:bottom w:val="none" w:sz="0" w:space="0" w:color="auto"/>
            <w:right w:val="none" w:sz="0" w:space="0" w:color="auto"/>
          </w:divBdr>
        </w:div>
        <w:div w:id="1520849163">
          <w:marLeft w:val="1166"/>
          <w:marRight w:val="0"/>
          <w:marTop w:val="0"/>
          <w:marBottom w:val="0"/>
          <w:divBdr>
            <w:top w:val="none" w:sz="0" w:space="0" w:color="auto"/>
            <w:left w:val="none" w:sz="0" w:space="0" w:color="auto"/>
            <w:bottom w:val="none" w:sz="0" w:space="0" w:color="auto"/>
            <w:right w:val="none" w:sz="0" w:space="0" w:color="auto"/>
          </w:divBdr>
        </w:div>
        <w:div w:id="1688021341">
          <w:marLeft w:val="1166"/>
          <w:marRight w:val="0"/>
          <w:marTop w:val="0"/>
          <w:marBottom w:val="0"/>
          <w:divBdr>
            <w:top w:val="none" w:sz="0" w:space="0" w:color="auto"/>
            <w:left w:val="none" w:sz="0" w:space="0" w:color="auto"/>
            <w:bottom w:val="none" w:sz="0" w:space="0" w:color="auto"/>
            <w:right w:val="none" w:sz="0" w:space="0" w:color="auto"/>
          </w:divBdr>
        </w:div>
        <w:div w:id="263927576">
          <w:marLeft w:val="1166"/>
          <w:marRight w:val="0"/>
          <w:marTop w:val="0"/>
          <w:marBottom w:val="0"/>
          <w:divBdr>
            <w:top w:val="none" w:sz="0" w:space="0" w:color="auto"/>
            <w:left w:val="none" w:sz="0" w:space="0" w:color="auto"/>
            <w:bottom w:val="none" w:sz="0" w:space="0" w:color="auto"/>
            <w:right w:val="none" w:sz="0" w:space="0" w:color="auto"/>
          </w:divBdr>
        </w:div>
        <w:div w:id="480931029">
          <w:marLeft w:val="1166"/>
          <w:marRight w:val="0"/>
          <w:marTop w:val="0"/>
          <w:marBottom w:val="0"/>
          <w:divBdr>
            <w:top w:val="none" w:sz="0" w:space="0" w:color="auto"/>
            <w:left w:val="none" w:sz="0" w:space="0" w:color="auto"/>
            <w:bottom w:val="none" w:sz="0" w:space="0" w:color="auto"/>
            <w:right w:val="none" w:sz="0" w:space="0" w:color="auto"/>
          </w:divBdr>
        </w:div>
        <w:div w:id="311176202">
          <w:marLeft w:val="1166"/>
          <w:marRight w:val="0"/>
          <w:marTop w:val="0"/>
          <w:marBottom w:val="0"/>
          <w:divBdr>
            <w:top w:val="none" w:sz="0" w:space="0" w:color="auto"/>
            <w:left w:val="none" w:sz="0" w:space="0" w:color="auto"/>
            <w:bottom w:val="none" w:sz="0" w:space="0" w:color="auto"/>
            <w:right w:val="none" w:sz="0" w:space="0" w:color="auto"/>
          </w:divBdr>
        </w:div>
        <w:div w:id="1593977075">
          <w:marLeft w:val="1166"/>
          <w:marRight w:val="0"/>
          <w:marTop w:val="0"/>
          <w:marBottom w:val="0"/>
          <w:divBdr>
            <w:top w:val="none" w:sz="0" w:space="0" w:color="auto"/>
            <w:left w:val="none" w:sz="0" w:space="0" w:color="auto"/>
            <w:bottom w:val="none" w:sz="0" w:space="0" w:color="auto"/>
            <w:right w:val="none" w:sz="0" w:space="0" w:color="auto"/>
          </w:divBdr>
        </w:div>
        <w:div w:id="1889144555">
          <w:marLeft w:val="1166"/>
          <w:marRight w:val="0"/>
          <w:marTop w:val="0"/>
          <w:marBottom w:val="0"/>
          <w:divBdr>
            <w:top w:val="none" w:sz="0" w:space="0" w:color="auto"/>
            <w:left w:val="none" w:sz="0" w:space="0" w:color="auto"/>
            <w:bottom w:val="none" w:sz="0" w:space="0" w:color="auto"/>
            <w:right w:val="none" w:sz="0" w:space="0" w:color="auto"/>
          </w:divBdr>
        </w:div>
      </w:divsChild>
    </w:div>
    <w:div w:id="1667827203">
      <w:bodyDiv w:val="1"/>
      <w:marLeft w:val="0"/>
      <w:marRight w:val="0"/>
      <w:marTop w:val="0"/>
      <w:marBottom w:val="0"/>
      <w:divBdr>
        <w:top w:val="none" w:sz="0" w:space="0" w:color="auto"/>
        <w:left w:val="none" w:sz="0" w:space="0" w:color="auto"/>
        <w:bottom w:val="none" w:sz="0" w:space="0" w:color="auto"/>
        <w:right w:val="none" w:sz="0" w:space="0" w:color="auto"/>
      </w:divBdr>
    </w:div>
    <w:div w:id="1750616355">
      <w:bodyDiv w:val="1"/>
      <w:marLeft w:val="0"/>
      <w:marRight w:val="0"/>
      <w:marTop w:val="0"/>
      <w:marBottom w:val="0"/>
      <w:divBdr>
        <w:top w:val="none" w:sz="0" w:space="0" w:color="auto"/>
        <w:left w:val="none" w:sz="0" w:space="0" w:color="auto"/>
        <w:bottom w:val="none" w:sz="0" w:space="0" w:color="auto"/>
        <w:right w:val="none" w:sz="0" w:space="0" w:color="auto"/>
      </w:divBdr>
      <w:divsChild>
        <w:div w:id="133764963">
          <w:marLeft w:val="1166"/>
          <w:marRight w:val="0"/>
          <w:marTop w:val="0"/>
          <w:marBottom w:val="0"/>
          <w:divBdr>
            <w:top w:val="none" w:sz="0" w:space="0" w:color="auto"/>
            <w:left w:val="none" w:sz="0" w:space="0" w:color="auto"/>
            <w:bottom w:val="none" w:sz="0" w:space="0" w:color="auto"/>
            <w:right w:val="none" w:sz="0" w:space="0" w:color="auto"/>
          </w:divBdr>
        </w:div>
        <w:div w:id="466902247">
          <w:marLeft w:val="1166"/>
          <w:marRight w:val="0"/>
          <w:marTop w:val="0"/>
          <w:marBottom w:val="0"/>
          <w:divBdr>
            <w:top w:val="none" w:sz="0" w:space="0" w:color="auto"/>
            <w:left w:val="none" w:sz="0" w:space="0" w:color="auto"/>
            <w:bottom w:val="none" w:sz="0" w:space="0" w:color="auto"/>
            <w:right w:val="none" w:sz="0" w:space="0" w:color="auto"/>
          </w:divBdr>
        </w:div>
        <w:div w:id="1539586445">
          <w:marLeft w:val="1166"/>
          <w:marRight w:val="0"/>
          <w:marTop w:val="0"/>
          <w:marBottom w:val="0"/>
          <w:divBdr>
            <w:top w:val="none" w:sz="0" w:space="0" w:color="auto"/>
            <w:left w:val="none" w:sz="0" w:space="0" w:color="auto"/>
            <w:bottom w:val="none" w:sz="0" w:space="0" w:color="auto"/>
            <w:right w:val="none" w:sz="0" w:space="0" w:color="auto"/>
          </w:divBdr>
        </w:div>
        <w:div w:id="2063140470">
          <w:marLeft w:val="1166"/>
          <w:marRight w:val="0"/>
          <w:marTop w:val="0"/>
          <w:marBottom w:val="0"/>
          <w:divBdr>
            <w:top w:val="none" w:sz="0" w:space="0" w:color="auto"/>
            <w:left w:val="none" w:sz="0" w:space="0" w:color="auto"/>
            <w:bottom w:val="none" w:sz="0" w:space="0" w:color="auto"/>
            <w:right w:val="none" w:sz="0" w:space="0" w:color="auto"/>
          </w:divBdr>
        </w:div>
        <w:div w:id="1284964456">
          <w:marLeft w:val="1166"/>
          <w:marRight w:val="0"/>
          <w:marTop w:val="0"/>
          <w:marBottom w:val="0"/>
          <w:divBdr>
            <w:top w:val="none" w:sz="0" w:space="0" w:color="auto"/>
            <w:left w:val="none" w:sz="0" w:space="0" w:color="auto"/>
            <w:bottom w:val="none" w:sz="0" w:space="0" w:color="auto"/>
            <w:right w:val="none" w:sz="0" w:space="0" w:color="auto"/>
          </w:divBdr>
        </w:div>
        <w:div w:id="1371761749">
          <w:marLeft w:val="1166"/>
          <w:marRight w:val="0"/>
          <w:marTop w:val="0"/>
          <w:marBottom w:val="0"/>
          <w:divBdr>
            <w:top w:val="none" w:sz="0" w:space="0" w:color="auto"/>
            <w:left w:val="none" w:sz="0" w:space="0" w:color="auto"/>
            <w:bottom w:val="none" w:sz="0" w:space="0" w:color="auto"/>
            <w:right w:val="none" w:sz="0" w:space="0" w:color="auto"/>
          </w:divBdr>
        </w:div>
        <w:div w:id="476842851">
          <w:marLeft w:val="1166"/>
          <w:marRight w:val="0"/>
          <w:marTop w:val="0"/>
          <w:marBottom w:val="0"/>
          <w:divBdr>
            <w:top w:val="none" w:sz="0" w:space="0" w:color="auto"/>
            <w:left w:val="none" w:sz="0" w:space="0" w:color="auto"/>
            <w:bottom w:val="none" w:sz="0" w:space="0" w:color="auto"/>
            <w:right w:val="none" w:sz="0" w:space="0" w:color="auto"/>
          </w:divBdr>
        </w:div>
        <w:div w:id="1651246336">
          <w:marLeft w:val="1166"/>
          <w:marRight w:val="0"/>
          <w:marTop w:val="0"/>
          <w:marBottom w:val="0"/>
          <w:divBdr>
            <w:top w:val="none" w:sz="0" w:space="0" w:color="auto"/>
            <w:left w:val="none" w:sz="0" w:space="0" w:color="auto"/>
            <w:bottom w:val="none" w:sz="0" w:space="0" w:color="auto"/>
            <w:right w:val="none" w:sz="0" w:space="0" w:color="auto"/>
          </w:divBdr>
        </w:div>
        <w:div w:id="223881750">
          <w:marLeft w:val="1166"/>
          <w:marRight w:val="0"/>
          <w:marTop w:val="0"/>
          <w:marBottom w:val="0"/>
          <w:divBdr>
            <w:top w:val="none" w:sz="0" w:space="0" w:color="auto"/>
            <w:left w:val="none" w:sz="0" w:space="0" w:color="auto"/>
            <w:bottom w:val="none" w:sz="0" w:space="0" w:color="auto"/>
            <w:right w:val="none" w:sz="0" w:space="0" w:color="auto"/>
          </w:divBdr>
        </w:div>
        <w:div w:id="778255113">
          <w:marLeft w:val="1166"/>
          <w:marRight w:val="0"/>
          <w:marTop w:val="0"/>
          <w:marBottom w:val="0"/>
          <w:divBdr>
            <w:top w:val="none" w:sz="0" w:space="0" w:color="auto"/>
            <w:left w:val="none" w:sz="0" w:space="0" w:color="auto"/>
            <w:bottom w:val="none" w:sz="0" w:space="0" w:color="auto"/>
            <w:right w:val="none" w:sz="0" w:space="0" w:color="auto"/>
          </w:divBdr>
        </w:div>
      </w:divsChild>
    </w:div>
    <w:div w:id="1786656898">
      <w:bodyDiv w:val="1"/>
      <w:marLeft w:val="0"/>
      <w:marRight w:val="0"/>
      <w:marTop w:val="0"/>
      <w:marBottom w:val="0"/>
      <w:divBdr>
        <w:top w:val="none" w:sz="0" w:space="0" w:color="auto"/>
        <w:left w:val="none" w:sz="0" w:space="0" w:color="auto"/>
        <w:bottom w:val="none" w:sz="0" w:space="0" w:color="auto"/>
        <w:right w:val="none" w:sz="0" w:space="0" w:color="auto"/>
      </w:divBdr>
    </w:div>
    <w:div w:id="1857035206">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humanservices.gov.au/organisations/health-professionals/news/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2021-12-20T23:00:00Z</dcterms:created>
  <dcterms:modified xsi:type="dcterms:W3CDTF">2022-01-07T06:13:00Z</dcterms:modified>
</cp:coreProperties>
</file>