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DA6D1A4" w:rsidR="00BA2732" w:rsidRPr="00AF74C5" w:rsidRDefault="002A79C8" w:rsidP="003D033A">
      <w:pPr>
        <w:pStyle w:val="Title"/>
        <w:rPr>
          <w:szCs w:val="48"/>
        </w:rPr>
      </w:pPr>
      <w:bookmarkStart w:id="0" w:name="_Hlk122522720"/>
      <w:r w:rsidRPr="002A79C8">
        <w:rPr>
          <w:szCs w:val="48"/>
        </w:rPr>
        <w:t>MBS Telehealth Eligibility for COVID-19 positive patients</w:t>
      </w:r>
    </w:p>
    <w:bookmarkEnd w:id="0"/>
    <w:p w14:paraId="27C234FE" w14:textId="6ED12F36" w:rsidR="0090214D" w:rsidRPr="0090214D" w:rsidRDefault="0090214D" w:rsidP="0090214D">
      <w:pPr>
        <w:pStyle w:val="Heading2"/>
      </w:pPr>
      <w:r>
        <w:t>GPs and Other Medical Practitioners</w:t>
      </w:r>
    </w:p>
    <w:p w14:paraId="6EFD4B5B" w14:textId="14843732" w:rsidR="00064168" w:rsidRPr="00867595" w:rsidRDefault="00064168" w:rsidP="006F5073">
      <w:bookmarkStart w:id="1" w:name="_Hlk4568006"/>
      <w:r w:rsidRPr="003E6486">
        <w:t xml:space="preserve">Last updated: </w:t>
      </w:r>
      <w:r w:rsidR="002A79C8" w:rsidRPr="003E6486">
        <w:t>20</w:t>
      </w:r>
      <w:r w:rsidR="00AF74C5" w:rsidRPr="003E6486">
        <w:t xml:space="preserve"> December 2022</w:t>
      </w:r>
    </w:p>
    <w:bookmarkEnd w:id="1"/>
    <w:p w14:paraId="6C0BEADF" w14:textId="3E34CE14" w:rsidR="002A79C8" w:rsidRPr="003E6486" w:rsidRDefault="002A79C8" w:rsidP="006F5073">
      <w:pPr>
        <w:pStyle w:val="ListBullet"/>
      </w:pPr>
      <w:r w:rsidRPr="003E6486">
        <w:t>A</w:t>
      </w:r>
      <w:r w:rsidR="006836C7" w:rsidRPr="003E6486">
        <w:t xml:space="preserve"> temporary</w:t>
      </w:r>
      <w:r w:rsidRPr="003E6486">
        <w:t xml:space="preserve"> exemption to the established clinical relationship requirement will be provided for people with a confirmed COVID-19 diagnosis to enable them to access telehealth services with any GP or OMP while voluntarily self-isolating. This </w:t>
      </w:r>
      <w:r w:rsidR="006836C7" w:rsidRPr="003E6486">
        <w:t xml:space="preserve">temporary </w:t>
      </w:r>
      <w:r w:rsidRPr="003E6486">
        <w:t>exemption will cease after 31 December 2023</w:t>
      </w:r>
      <w:r w:rsidR="006836C7" w:rsidRPr="003E6486">
        <w:t xml:space="preserve"> (not 31 December 2022 as previously scheduled)</w:t>
      </w:r>
      <w:r w:rsidRPr="003E6486">
        <w:t xml:space="preserve">. </w:t>
      </w:r>
    </w:p>
    <w:p w14:paraId="329B7C35" w14:textId="486AB694" w:rsidR="002A79C8" w:rsidRPr="006F5073" w:rsidRDefault="002A79C8" w:rsidP="006F5073">
      <w:pPr>
        <w:pStyle w:val="ListBullet"/>
      </w:pPr>
      <w:r>
        <w:t xml:space="preserve">A list of MBS telehealth services to which the established clinical relationship requirement applies is provided in </w:t>
      </w:r>
      <w:hyperlink r:id="rId7" w:history="1">
        <w:r w:rsidRPr="002A79C8">
          <w:rPr>
            <w:rStyle w:val="Hyperlink"/>
          </w:rPr>
          <w:t>the 1 July 2022 GPs and Other Medical Practitioners Factsheet</w:t>
        </w:r>
      </w:hyperlink>
      <w:r>
        <w:t>.</w:t>
      </w:r>
    </w:p>
    <w:p w14:paraId="42BD5171" w14:textId="77777777" w:rsidR="00064168" w:rsidRDefault="00064168" w:rsidP="00064168">
      <w:pPr>
        <w:pStyle w:val="Heading2"/>
      </w:pPr>
      <w:r>
        <w:t>Why are the changes being made?</w:t>
      </w:r>
    </w:p>
    <w:p w14:paraId="73686D47" w14:textId="18CC3473" w:rsidR="002A79C8" w:rsidRDefault="002A79C8" w:rsidP="00B540A8">
      <w:pPr>
        <w:pStyle w:val="ListBullet"/>
      </w:pPr>
      <w:r>
        <w:t xml:space="preserve">From 13 October 2022, patients diagnosed with COVID-19 will be exempt from the established relationship requirement for telehealth services until 31 </w:t>
      </w:r>
      <w:r w:rsidRPr="003E6486">
        <w:t>December 2023.</w:t>
      </w:r>
      <w:r>
        <w:t xml:space="preserve"> </w:t>
      </w:r>
    </w:p>
    <w:p w14:paraId="5FAE81FE" w14:textId="77777777" w:rsidR="002A79C8" w:rsidRDefault="002A79C8" w:rsidP="002A79C8">
      <w:pPr>
        <w:pStyle w:val="ListBullet"/>
      </w:pPr>
      <w:r>
        <w:t>Under these new arrangements, a GP or OMP can provide a telehealth consultation to patients who do not meet the established clinical relationship requirement, and who have received a positive COVID-19 test result less than or equal to seven days ago, confirmed by either a laboratory testing (PCR) or a COVID-19 rapid antigen self-test (RAT) which has been approved for supply in Australia by the Therapeutic Goods Administration.</w:t>
      </w:r>
    </w:p>
    <w:p w14:paraId="6BA42732" w14:textId="699DA421" w:rsidR="002A79C8" w:rsidRDefault="002A79C8" w:rsidP="002A79C8">
      <w:pPr>
        <w:pStyle w:val="ListBullet"/>
      </w:pPr>
      <w:r>
        <w:t>These changes will enable COVID positive patients to continue to access medical care through telehealth while voluntarily isolating.</w:t>
      </w:r>
    </w:p>
    <w:p w14:paraId="62A3EFE9" w14:textId="77777777" w:rsidR="0090214D" w:rsidRPr="00867595" w:rsidRDefault="0090214D" w:rsidP="0090214D">
      <w:pPr>
        <w:pStyle w:val="Heading2"/>
      </w:pPr>
      <w:r w:rsidRPr="00867595">
        <w:t>Wh</w:t>
      </w:r>
      <w:r>
        <w:t>o is eligible</w:t>
      </w:r>
      <w:r w:rsidRPr="00867595">
        <w:t>?</w:t>
      </w:r>
    </w:p>
    <w:p w14:paraId="19FFD867" w14:textId="6D04CF5B" w:rsidR="004931F0" w:rsidRPr="00867595" w:rsidRDefault="002A79C8" w:rsidP="0090214D">
      <w:pPr>
        <w:rPr>
          <w:szCs w:val="22"/>
        </w:rPr>
      </w:pPr>
      <w:r>
        <w:t xml:space="preserve">From 13 October 2022, the updated exemption for positive COVID-19 patients from the established relationship for telehealth consultations by video and telephone will apply. </w:t>
      </w:r>
    </w:p>
    <w:p w14:paraId="4B2559AC" w14:textId="65C0498F" w:rsidR="00064168" w:rsidRDefault="00064168" w:rsidP="00064168">
      <w:pPr>
        <w:pStyle w:val="Heading2"/>
      </w:pPr>
      <w:r>
        <w:t>What does this mean for providers?</w:t>
      </w:r>
    </w:p>
    <w:p w14:paraId="65028345" w14:textId="77777777" w:rsidR="002A79C8" w:rsidRDefault="002A79C8" w:rsidP="00064168">
      <w:r>
        <w:t xml:space="preserve">Patients with a confirmed COVID-19 diagnosis (verified by an approved PCR or RAT test) will continue to have access to MBS telehealth services. </w:t>
      </w:r>
    </w:p>
    <w:p w14:paraId="7F7DA4F7" w14:textId="77777777" w:rsidR="00064168" w:rsidRDefault="00064168" w:rsidP="00064168">
      <w:pPr>
        <w:pStyle w:val="Heading2"/>
      </w:pPr>
      <w:r>
        <w:t>How will these changes affect patients</w:t>
      </w:r>
      <w:r w:rsidRPr="001A7FB7">
        <w:t>?</w:t>
      </w:r>
    </w:p>
    <w:p w14:paraId="3D56E926" w14:textId="77777777" w:rsidR="002A79C8" w:rsidRDefault="002A79C8" w:rsidP="002A79C8">
      <w:r>
        <w:t xml:space="preserve">Patients with a confirmed COVID-19 diagnosis (verified by an approved PCR or RAT test) will continue to have access to MBS telehealth services. </w:t>
      </w:r>
    </w:p>
    <w:p w14:paraId="5BD9BE80" w14:textId="0312E2A7" w:rsidR="00064168" w:rsidRDefault="002A79C8" w:rsidP="002A79C8">
      <w:pPr>
        <w:pStyle w:val="Heading2"/>
      </w:pPr>
      <w:r>
        <w:lastRenderedPageBreak/>
        <w:t>Who was consulted on the changes?</w:t>
      </w:r>
    </w:p>
    <w:p w14:paraId="44F9B11E" w14:textId="3B33B903" w:rsidR="00251655" w:rsidRPr="00251655" w:rsidRDefault="002A79C8" w:rsidP="00064168">
      <w:pPr>
        <w:rPr>
          <w:szCs w:val="22"/>
        </w:rPr>
      </w:pPr>
      <w:r>
        <w:t>Consultation with stakeholders has informed the refinement of MBS telehealth items.</w:t>
      </w:r>
    </w:p>
    <w:p w14:paraId="32E82B19" w14:textId="77777777" w:rsidR="00064168" w:rsidRDefault="00064168" w:rsidP="00064168">
      <w:pPr>
        <w:pStyle w:val="Heading2"/>
      </w:pPr>
      <w:r w:rsidRPr="001A7FB7">
        <w:t>How will the changes be monitored</w:t>
      </w:r>
      <w:r>
        <w:t xml:space="preserve"> and reviewed</w:t>
      </w:r>
      <w:r w:rsidRPr="001A7FB7">
        <w:t>?</w:t>
      </w:r>
    </w:p>
    <w:p w14:paraId="11D9FA7C" w14:textId="77777777" w:rsidR="002A79C8" w:rsidRDefault="002A79C8" w:rsidP="002A79C8">
      <w:r>
        <w:t>The Department of Health and Aged Care continues to monitor the use of the new MBS items. Use of the items that does not seem to be in accordance with Medicare guidelines and legislation will be actioned appropriately.</w:t>
      </w:r>
    </w:p>
    <w:p w14:paraId="3C63E237" w14:textId="2A68CF00" w:rsidR="00064168" w:rsidRDefault="00064168" w:rsidP="002A79C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03D0CFF6" w14:textId="54EE807C" w:rsidR="00340034"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4CDD3117" w14:textId="77777777" w:rsidR="00340034" w:rsidRDefault="00340034" w:rsidP="00340034">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5CB12ABA" w14:textId="77777777" w:rsidR="00340034" w:rsidRPr="00867595" w:rsidRDefault="00340034" w:rsidP="00340034">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13C10694" w14:textId="77777777" w:rsidR="00340034" w:rsidRDefault="00340034" w:rsidP="00340034">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6F26098B" w14:textId="77777777" w:rsidR="00340034" w:rsidRPr="00867595" w:rsidRDefault="00340034" w:rsidP="00340034">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70FD9F82" w14:textId="77777777" w:rsidR="00340034" w:rsidRDefault="00340034"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6ABAA8F2" w:rsidR="007C31DD" w:rsidRDefault="007C31DD" w:rsidP="007C31DD">
      <w:pPr>
        <w:pStyle w:val="Disclaimer"/>
      </w:pPr>
      <w:r w:rsidRPr="0029176A">
        <w:t xml:space="preserve">This </w:t>
      </w:r>
      <w:r w:rsidR="00340034">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286DDED" w:rsidR="007C31DD" w:rsidRDefault="007C31DD" w:rsidP="00BE3ED5"/>
    <w:p w14:paraId="6C4F842E" w14:textId="77777777" w:rsidR="00833C07" w:rsidRDefault="00833C07" w:rsidP="00BE3ED5"/>
    <w:sectPr w:rsidR="00833C07" w:rsidSect="00C232C0">
      <w:footerReference w:type="default" r:id="rId17"/>
      <w:headerReference w:type="first" r:id="rId18"/>
      <w:footerReference w:type="first" r:id="rId19"/>
      <w:type w:val="continuous"/>
      <w:pgSz w:w="11906" w:h="16838" w:code="9"/>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2677" w14:textId="77777777" w:rsidR="00B76DB3" w:rsidRDefault="00B76DB3" w:rsidP="006B56BB">
      <w:r>
        <w:separator/>
      </w:r>
    </w:p>
    <w:p w14:paraId="79CD53B5" w14:textId="77777777" w:rsidR="00B76DB3" w:rsidRDefault="00B76DB3"/>
  </w:endnote>
  <w:endnote w:type="continuationSeparator" w:id="0">
    <w:p w14:paraId="101BB684" w14:textId="77777777" w:rsidR="00B76DB3" w:rsidRDefault="00B76DB3" w:rsidP="006B56BB">
      <w:r>
        <w:continuationSeparator/>
      </w:r>
    </w:p>
    <w:p w14:paraId="12358CC5" w14:textId="77777777" w:rsidR="00B76DB3" w:rsidRDefault="00B76DB3"/>
  </w:endnote>
  <w:endnote w:type="continuationNotice" w:id="1">
    <w:p w14:paraId="06C652B9" w14:textId="77777777" w:rsidR="00B76DB3" w:rsidRDefault="00B76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D13BE8"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6493565" w:rsidR="00F51321" w:rsidRDefault="00E65D00" w:rsidP="00F51321">
    <w:pPr>
      <w:pStyle w:val="Footer"/>
      <w:tabs>
        <w:tab w:val="clear" w:pos="9026"/>
        <w:tab w:val="right" w:pos="10466"/>
      </w:tabs>
    </w:pPr>
    <w:r>
      <w:rPr>
        <w:b/>
      </w:rPr>
      <w:t>MBS Telehealth Services</w:t>
    </w:r>
    <w:r w:rsidRPr="00E863C4">
      <w:rPr>
        <w:b/>
      </w:rPr>
      <w:t xml:space="preserve"> </w:t>
    </w:r>
    <w:r w:rsidRPr="002A79C8">
      <w:rPr>
        <w:b/>
      </w:rPr>
      <w:t>for COVID-19 positive patients – 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D13BE8" w:rsidP="00F51321">
    <w:pPr>
      <w:pStyle w:val="Footer"/>
      <w:jc w:val="left"/>
      <w:rPr>
        <w:rStyle w:val="Hyperlink"/>
        <w:szCs w:val="18"/>
      </w:rPr>
    </w:pPr>
    <w:hyperlink r:id="rId1" w:history="1">
      <w:r w:rsidR="00F51321" w:rsidRPr="00E863C4">
        <w:rPr>
          <w:rStyle w:val="Hyperlink"/>
          <w:szCs w:val="18"/>
        </w:rPr>
        <w:t>MBS Online</w:t>
      </w:r>
    </w:hyperlink>
  </w:p>
  <w:p w14:paraId="0D093570" w14:textId="0EBCB6A7" w:rsidR="00F51321" w:rsidRPr="009B32BA" w:rsidRDefault="00F51321" w:rsidP="00F51321">
    <w:pPr>
      <w:pStyle w:val="Footer"/>
      <w:jc w:val="left"/>
      <w:rPr>
        <w:szCs w:val="18"/>
      </w:rPr>
    </w:pPr>
    <w:r w:rsidRPr="00E65D00">
      <w:t xml:space="preserve">Last updated – </w:t>
    </w:r>
    <w:r w:rsidR="002A79C8" w:rsidRPr="00E65D00">
      <w:t>20</w:t>
    </w:r>
    <w:r w:rsidR="00AF74C5" w:rsidRPr="00E65D00">
      <w:t xml:space="preserve"> December 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D13BE8"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2B3FEB3" w:rsidR="00064168" w:rsidRDefault="004931F0" w:rsidP="00064168">
    <w:pPr>
      <w:pStyle w:val="Footer"/>
      <w:tabs>
        <w:tab w:val="clear" w:pos="9026"/>
        <w:tab w:val="right" w:pos="10466"/>
      </w:tabs>
    </w:pPr>
    <w:r>
      <w:rPr>
        <w:b/>
      </w:rPr>
      <w:t>MBS Telehealth Services</w:t>
    </w:r>
    <w:r w:rsidR="00064168" w:rsidRPr="00E863C4">
      <w:rPr>
        <w:b/>
      </w:rPr>
      <w:t xml:space="preserve"> </w:t>
    </w:r>
    <w:r w:rsidR="002A79C8" w:rsidRPr="002A79C8">
      <w:rPr>
        <w:b/>
      </w:rPr>
      <w:t>for COVID-19 positive patients – Factsheet</w:t>
    </w:r>
    <w:sdt>
      <w:sdtPr>
        <w:rPr>
          <w:b/>
        </w:rPr>
        <w:id w:val="960607005"/>
        <w:docPartObj>
          <w:docPartGallery w:val="Page Numbers (Bottom of Page)"/>
          <w:docPartUnique/>
        </w:docPartObj>
      </w:sdtPr>
      <w:sdtEndPr/>
      <w:sdtContent>
        <w:r w:rsidR="00064168" w:rsidRPr="002A79C8">
          <w:rPr>
            <w:b/>
          </w:rPr>
          <w:tab/>
        </w:r>
        <w:sdt>
          <w:sdtPr>
            <w:rPr>
              <w:bCs/>
            </w:rPr>
            <w:id w:val="-720741692"/>
            <w:docPartObj>
              <w:docPartGallery w:val="Page Numbers (Bottom of Page)"/>
              <w:docPartUnique/>
            </w:docPartObj>
          </w:sdtPr>
          <w:sdtEndPr/>
          <w:sdtContent>
            <w:sdt>
              <w:sdtPr>
                <w:rPr>
                  <w:bCs/>
                </w:rPr>
                <w:id w:val="1701501531"/>
                <w:docPartObj>
                  <w:docPartGallery w:val="Page Numbers (Top of Page)"/>
                  <w:docPartUnique/>
                </w:docPartObj>
              </w:sdtPr>
              <w:sdtEndPr/>
              <w:sdtContent>
                <w:r w:rsidR="00064168" w:rsidRPr="002A79C8">
                  <w:rPr>
                    <w:bCs/>
                  </w:rPr>
                  <w:t xml:space="preserve">Page </w:t>
                </w:r>
                <w:r w:rsidR="00064168" w:rsidRPr="002A79C8">
                  <w:rPr>
                    <w:bCs/>
                  </w:rPr>
                  <w:fldChar w:fldCharType="begin"/>
                </w:r>
                <w:r w:rsidR="00064168" w:rsidRPr="002A79C8">
                  <w:rPr>
                    <w:bCs/>
                  </w:rPr>
                  <w:instrText xml:space="preserve"> PAGE </w:instrText>
                </w:r>
                <w:r w:rsidR="00064168" w:rsidRPr="002A79C8">
                  <w:rPr>
                    <w:bCs/>
                  </w:rPr>
                  <w:fldChar w:fldCharType="separate"/>
                </w:r>
                <w:r w:rsidR="00064168" w:rsidRPr="002A79C8">
                  <w:rPr>
                    <w:bCs/>
                  </w:rPr>
                  <w:t>1</w:t>
                </w:r>
                <w:r w:rsidR="00064168" w:rsidRPr="002A79C8">
                  <w:rPr>
                    <w:bCs/>
                  </w:rPr>
                  <w:fldChar w:fldCharType="end"/>
                </w:r>
                <w:r w:rsidR="00064168" w:rsidRPr="002A79C8">
                  <w:rPr>
                    <w:bCs/>
                  </w:rPr>
                  <w:t xml:space="preserve"> of </w:t>
                </w:r>
                <w:r w:rsidR="00064168" w:rsidRPr="002A79C8">
                  <w:rPr>
                    <w:bCs/>
                  </w:rPr>
                  <w:fldChar w:fldCharType="begin"/>
                </w:r>
                <w:r w:rsidR="00064168" w:rsidRPr="002A79C8">
                  <w:rPr>
                    <w:bCs/>
                  </w:rPr>
                  <w:instrText xml:space="preserve"> NUMPAGES  </w:instrText>
                </w:r>
                <w:r w:rsidR="00064168" w:rsidRPr="002A79C8">
                  <w:rPr>
                    <w:bCs/>
                  </w:rPr>
                  <w:fldChar w:fldCharType="separate"/>
                </w:r>
                <w:r w:rsidR="00064168" w:rsidRPr="002A79C8">
                  <w:rPr>
                    <w:bCs/>
                  </w:rPr>
                  <w:t>1</w:t>
                </w:r>
                <w:r w:rsidR="00064168" w:rsidRPr="002A79C8">
                  <w:rPr>
                    <w:bCs/>
                  </w:rPr>
                  <w:fldChar w:fldCharType="end"/>
                </w:r>
              </w:sdtContent>
            </w:sdt>
          </w:sdtContent>
        </w:sdt>
        <w:r w:rsidR="00064168" w:rsidRPr="002A79C8">
          <w:rPr>
            <w:b/>
          </w:rPr>
          <w:t xml:space="preserve"> </w:t>
        </w:r>
      </w:sdtContent>
    </w:sdt>
  </w:p>
  <w:p w14:paraId="3821CA3D" w14:textId="77777777" w:rsidR="00064168" w:rsidRDefault="00D13BE8" w:rsidP="00064168">
    <w:pPr>
      <w:pStyle w:val="Footer"/>
      <w:jc w:val="left"/>
      <w:rPr>
        <w:rStyle w:val="Hyperlink"/>
        <w:szCs w:val="18"/>
      </w:rPr>
    </w:pPr>
    <w:hyperlink r:id="rId1" w:history="1">
      <w:r w:rsidR="00064168" w:rsidRPr="00E863C4">
        <w:rPr>
          <w:rStyle w:val="Hyperlink"/>
          <w:szCs w:val="18"/>
        </w:rPr>
        <w:t>MBS Online</w:t>
      </w:r>
    </w:hyperlink>
  </w:p>
  <w:p w14:paraId="03585E81" w14:textId="49FD4765" w:rsidR="00064168" w:rsidRPr="009B32BA" w:rsidRDefault="00064168" w:rsidP="00064168">
    <w:pPr>
      <w:pStyle w:val="Footer"/>
      <w:jc w:val="left"/>
      <w:rPr>
        <w:szCs w:val="18"/>
      </w:rPr>
    </w:pPr>
    <w:r w:rsidRPr="00E65D00">
      <w:t xml:space="preserve">Last updated – </w:t>
    </w:r>
    <w:r w:rsidR="002A79C8" w:rsidRPr="00E65D00">
      <w:t>20</w:t>
    </w:r>
    <w:r w:rsidR="00AF74C5" w:rsidRPr="00E65D00">
      <w:t xml:space="preserve"> December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12E6" w14:textId="77777777" w:rsidR="00B76DB3" w:rsidRDefault="00B76DB3" w:rsidP="006B56BB">
      <w:r>
        <w:separator/>
      </w:r>
    </w:p>
    <w:p w14:paraId="0D30DC99" w14:textId="77777777" w:rsidR="00B76DB3" w:rsidRDefault="00B76DB3"/>
  </w:footnote>
  <w:footnote w:type="continuationSeparator" w:id="0">
    <w:p w14:paraId="50EBFE6D" w14:textId="77777777" w:rsidR="00B76DB3" w:rsidRDefault="00B76DB3" w:rsidP="006B56BB">
      <w:r>
        <w:continuationSeparator/>
      </w:r>
    </w:p>
    <w:p w14:paraId="088C6FD2" w14:textId="77777777" w:rsidR="00B76DB3" w:rsidRDefault="00B76DB3"/>
  </w:footnote>
  <w:footnote w:type="continuationNotice" w:id="1">
    <w:p w14:paraId="3EBF6C03" w14:textId="77777777" w:rsidR="00B76DB3" w:rsidRDefault="00B76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313075"/>
    <w:multiLevelType w:val="hybridMultilevel"/>
    <w:tmpl w:val="5A96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3"/>
  </w:num>
  <w:num w:numId="19">
    <w:abstractNumId w:val="15"/>
  </w:num>
  <w:num w:numId="20">
    <w:abstractNumId w:val="11"/>
  </w:num>
  <w:num w:numId="21">
    <w:abstractNumId w:val="15"/>
  </w:num>
  <w:num w:numId="22">
    <w:abstractNumId w:val="21"/>
  </w:num>
  <w:num w:numId="23">
    <w:abstractNumId w:val="18"/>
  </w:num>
  <w:num w:numId="24">
    <w:abstractNumId w:val="20"/>
  </w:num>
  <w:num w:numId="25">
    <w:abstractNumId w:val="8"/>
  </w:num>
  <w:num w:numId="26">
    <w:abstractNumId w:val="17"/>
  </w:num>
  <w:num w:numId="27">
    <w:abstractNumId w:val="12"/>
  </w:num>
  <w:num w:numId="28">
    <w:abstractNumId w:val="14"/>
  </w:num>
  <w:num w:numId="29">
    <w:abstractNumId w:val="1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433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5848"/>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1655"/>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79C8"/>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0034"/>
    <w:rsid w:val="003415FD"/>
    <w:rsid w:val="003429F0"/>
    <w:rsid w:val="00345A82"/>
    <w:rsid w:val="003469EF"/>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E6486"/>
    <w:rsid w:val="003F0955"/>
    <w:rsid w:val="003F5F4D"/>
    <w:rsid w:val="003F646F"/>
    <w:rsid w:val="00400F00"/>
    <w:rsid w:val="00404F8B"/>
    <w:rsid w:val="00405256"/>
    <w:rsid w:val="00405ADD"/>
    <w:rsid w:val="00410031"/>
    <w:rsid w:val="00415C81"/>
    <w:rsid w:val="004225C4"/>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931F0"/>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836C7"/>
    <w:rsid w:val="006B2286"/>
    <w:rsid w:val="006B56BB"/>
    <w:rsid w:val="006C085B"/>
    <w:rsid w:val="006C77A8"/>
    <w:rsid w:val="006D4098"/>
    <w:rsid w:val="006D7681"/>
    <w:rsid w:val="006D7B2E"/>
    <w:rsid w:val="006E02EA"/>
    <w:rsid w:val="006E0968"/>
    <w:rsid w:val="006E2AF6"/>
    <w:rsid w:val="006F5073"/>
    <w:rsid w:val="00701275"/>
    <w:rsid w:val="0070640F"/>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B2141"/>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3C07"/>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74C46"/>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21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04307"/>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37B6"/>
    <w:rsid w:val="00AA1A95"/>
    <w:rsid w:val="00AA260F"/>
    <w:rsid w:val="00AB1EE7"/>
    <w:rsid w:val="00AB4B37"/>
    <w:rsid w:val="00AB5762"/>
    <w:rsid w:val="00AC2679"/>
    <w:rsid w:val="00AC4BE4"/>
    <w:rsid w:val="00AD05E6"/>
    <w:rsid w:val="00AD0D3F"/>
    <w:rsid w:val="00AE1D7D"/>
    <w:rsid w:val="00AE2A8B"/>
    <w:rsid w:val="00AE3F64"/>
    <w:rsid w:val="00AE51D6"/>
    <w:rsid w:val="00AF7386"/>
    <w:rsid w:val="00AF74C5"/>
    <w:rsid w:val="00AF7934"/>
    <w:rsid w:val="00B00B81"/>
    <w:rsid w:val="00B04580"/>
    <w:rsid w:val="00B04B09"/>
    <w:rsid w:val="00B16A51"/>
    <w:rsid w:val="00B2783E"/>
    <w:rsid w:val="00B32222"/>
    <w:rsid w:val="00B3618D"/>
    <w:rsid w:val="00B36233"/>
    <w:rsid w:val="00B42851"/>
    <w:rsid w:val="00B45350"/>
    <w:rsid w:val="00B45AC7"/>
    <w:rsid w:val="00B5372F"/>
    <w:rsid w:val="00B53987"/>
    <w:rsid w:val="00B540A8"/>
    <w:rsid w:val="00B61129"/>
    <w:rsid w:val="00B67E7F"/>
    <w:rsid w:val="00B76DB3"/>
    <w:rsid w:val="00B839B2"/>
    <w:rsid w:val="00B94252"/>
    <w:rsid w:val="00B9715A"/>
    <w:rsid w:val="00BA14BE"/>
    <w:rsid w:val="00BA2732"/>
    <w:rsid w:val="00BA293D"/>
    <w:rsid w:val="00BA49BC"/>
    <w:rsid w:val="00BA56B7"/>
    <w:rsid w:val="00BA6A7E"/>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2C0"/>
    <w:rsid w:val="00C23430"/>
    <w:rsid w:val="00C27D67"/>
    <w:rsid w:val="00C435AF"/>
    <w:rsid w:val="00C4631F"/>
    <w:rsid w:val="00C47CDE"/>
    <w:rsid w:val="00C50E16"/>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06198"/>
    <w:rsid w:val="00D13BE8"/>
    <w:rsid w:val="00D147EB"/>
    <w:rsid w:val="00D34667"/>
    <w:rsid w:val="00D401E1"/>
    <w:rsid w:val="00D408B4"/>
    <w:rsid w:val="00D44330"/>
    <w:rsid w:val="00D524C8"/>
    <w:rsid w:val="00D70E24"/>
    <w:rsid w:val="00D72B61"/>
    <w:rsid w:val="00D830B3"/>
    <w:rsid w:val="00DA3D1D"/>
    <w:rsid w:val="00DB6286"/>
    <w:rsid w:val="00DB645F"/>
    <w:rsid w:val="00DB76E9"/>
    <w:rsid w:val="00DC0A67"/>
    <w:rsid w:val="00DC1D5E"/>
    <w:rsid w:val="00DC5220"/>
    <w:rsid w:val="00DD2061"/>
    <w:rsid w:val="00DD7DAB"/>
    <w:rsid w:val="00DE3355"/>
    <w:rsid w:val="00DF0C60"/>
    <w:rsid w:val="00DF486F"/>
    <w:rsid w:val="00DF5B5B"/>
    <w:rsid w:val="00DF68A3"/>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65D00"/>
    <w:rsid w:val="00E71492"/>
    <w:rsid w:val="00E7258D"/>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24FF9"/>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uiPriority w:val="34"/>
    <w:qFormat/>
    <w:rsid w:val="003469EF"/>
    <w:pPr>
      <w:ind w:left="720"/>
      <w:contextualSpacing/>
    </w:pPr>
  </w:style>
  <w:style w:type="paragraph" w:styleId="CommentSubject">
    <w:name w:val="annotation subject"/>
    <w:basedOn w:val="CommentText"/>
    <w:next w:val="CommentText"/>
    <w:link w:val="CommentSubjectChar"/>
    <w:uiPriority w:val="99"/>
    <w:semiHidden/>
    <w:unhideWhenUsed/>
    <w:rsid w:val="00F24FF9"/>
    <w:pPr>
      <w:spacing w:before="120" w:after="120"/>
    </w:pPr>
    <w:rPr>
      <w:rFonts w:cs="Calibri"/>
      <w:b/>
      <w:bCs/>
      <w:sz w:val="22"/>
      <w:lang w:eastAsia="en-AU"/>
    </w:rPr>
  </w:style>
  <w:style w:type="character" w:customStyle="1" w:styleId="CommentSubjectChar">
    <w:name w:val="Comment Subject Char"/>
    <w:basedOn w:val="CommentTextChar"/>
    <w:link w:val="CommentSubject"/>
    <w:uiPriority w:val="99"/>
    <w:semiHidden/>
    <w:rsid w:val="00F24FF9"/>
    <w:rPr>
      <w:rFonts w:ascii="Arial" w:eastAsiaTheme="minorEastAsia" w:hAnsi="Arial" w:cs="Calibri"/>
      <w:b/>
      <w:bCs/>
      <w:sz w:val="22"/>
      <w:lang w:eastAsia="en-US"/>
    </w:rPr>
  </w:style>
  <w:style w:type="table" w:styleId="ListTable4-Accent2">
    <w:name w:val="List Table 4 Accent 2"/>
    <w:basedOn w:val="TableNormal"/>
    <w:uiPriority w:val="49"/>
    <w:rsid w:val="00B540A8"/>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tcBorders>
        <w:shd w:val="clear" w:color="auto" w:fill="358189" w:themeFill="accent2"/>
      </w:tcPr>
    </w:tblStylePr>
    <w:tblStylePr w:type="lastRow">
      <w:rPr>
        <w:b/>
        <w:bCs/>
      </w:rPr>
      <w:tblPr/>
      <w:tcPr>
        <w:tcBorders>
          <w:top w:val="double" w:sz="4" w:space="0" w:color="74C1C9" w:themeColor="accent2" w:themeTint="99"/>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bsonline.gov.au/internet/mbsonline/publishing.nsf/Content/Factsheet-telehealth-1July22" TargetMode="Externa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ivatehealth.gov.au/health_insurance/phichanges/index.htm"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2022-12-21T06:06:00Z</dcterms:created>
  <dcterms:modified xsi:type="dcterms:W3CDTF">2022-12-21T06:07:00Z</dcterms:modified>
</cp:coreProperties>
</file>