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677D956A" w:rsidR="00AB53A4" w:rsidRDefault="001C3361" w:rsidP="00AB53A4">
      <w:pPr>
        <w:pStyle w:val="Heading1"/>
      </w:pPr>
      <w:r>
        <w:t xml:space="preserve">New MBS item </w:t>
      </w:r>
      <w:r w:rsidR="00636EFB">
        <w:t xml:space="preserve">30175 </w:t>
      </w:r>
      <w:r>
        <w:t>for abdominoplasty</w:t>
      </w:r>
    </w:p>
    <w:p w14:paraId="5BF4F1B0" w14:textId="41806A8C" w:rsidR="00907B4A" w:rsidRPr="00AB53A4" w:rsidRDefault="00907B4A" w:rsidP="00AB53A4">
      <w:bookmarkStart w:id="0" w:name="_Hlk4568006"/>
      <w:r>
        <w:t xml:space="preserve">Last updated: </w:t>
      </w:r>
      <w:r w:rsidR="001C3361">
        <w:t>29 March 2022</w:t>
      </w:r>
    </w:p>
    <w:bookmarkEnd w:id="0"/>
    <w:p w14:paraId="26FE4559" w14:textId="39E8AE70" w:rsidR="00045810" w:rsidRDefault="00A67765" w:rsidP="009E66EE">
      <w:pPr>
        <w:pStyle w:val="ListParagraph"/>
      </w:pPr>
      <w:r>
        <w:t xml:space="preserve">From 1 July 2022, a new Medicare Benefits Schedule (MBS) item will be created for </w:t>
      </w:r>
      <w:r w:rsidRPr="00A67765">
        <w:t xml:space="preserve">radical abdominoplasty with repair of rectus diastasis (separation of the large abdominal muscles) </w:t>
      </w:r>
      <w:r w:rsidR="00725B08">
        <w:t>where the patient has an abdominal wall defect because of</w:t>
      </w:r>
      <w:r w:rsidRPr="00A67765">
        <w:t xml:space="preserve"> pregnancy.</w:t>
      </w:r>
    </w:p>
    <w:p w14:paraId="35F82154" w14:textId="52D7AF94" w:rsidR="00A40E4B" w:rsidRDefault="00A40E4B" w:rsidP="00045810">
      <w:pPr>
        <w:pStyle w:val="ListParagraph"/>
      </w:pPr>
      <w:r>
        <w:t>This change is relevant for plastic and reconstructive surgeons and general surgeons.</w:t>
      </w:r>
    </w:p>
    <w:p w14:paraId="0E435BD8" w14:textId="12770CED" w:rsidR="00A67765" w:rsidRDefault="00A67765" w:rsidP="00A40E4B">
      <w:pPr>
        <w:pStyle w:val="ListParagraph"/>
      </w:pPr>
      <w:r>
        <w:t>This new item will benefit a small subset of patients who have a diastasis of at least 3cm measured by diagnostic imaging prior to this service</w:t>
      </w:r>
      <w:r w:rsidR="00907B4A">
        <w:t>.</w:t>
      </w:r>
    </w:p>
    <w:p w14:paraId="177AE678" w14:textId="77777777" w:rsidR="0017279A" w:rsidRDefault="00404BEB"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5A9986A4" w:rsidR="00F074CE" w:rsidRDefault="00F074CE" w:rsidP="00AB53A4">
      <w:pPr>
        <w:pStyle w:val="Heading2"/>
      </w:pPr>
      <w:r w:rsidRPr="00AB53A4">
        <w:t>What are the changes</w:t>
      </w:r>
      <w:r w:rsidR="002A3C7C" w:rsidRPr="00AB53A4">
        <w:t>?</w:t>
      </w:r>
    </w:p>
    <w:p w14:paraId="4ECF3438" w14:textId="4BC353CC" w:rsidR="00A67765" w:rsidRPr="00A67765" w:rsidRDefault="00A67765" w:rsidP="00A67765">
      <w:r>
        <w:t xml:space="preserve">From 1 July 2022, there will be a new MBS item </w:t>
      </w:r>
      <w:r w:rsidR="004422E9">
        <w:t xml:space="preserve">(30175) </w:t>
      </w:r>
      <w:r>
        <w:t xml:space="preserve">for </w:t>
      </w:r>
      <w:r w:rsidR="00AD78BF" w:rsidRPr="00A67765">
        <w:t>radical abdominoplasty with repair of rectus diastasis (separation of the large abdominal muscles) following pregnancy.</w:t>
      </w:r>
      <w:r w:rsidR="00AD78BF">
        <w:t xml:space="preserve"> </w:t>
      </w:r>
      <w:r w:rsidR="00A40E4B">
        <w:t>The new item descriptor is on page 2 of this factsheet.</w:t>
      </w:r>
    </w:p>
    <w:p w14:paraId="7152D8A3" w14:textId="77777777" w:rsidR="00135417" w:rsidRDefault="00135417" w:rsidP="00AB53A4">
      <w:pPr>
        <w:pStyle w:val="Heading2"/>
      </w:pPr>
      <w:r>
        <w:t xml:space="preserve">Why </w:t>
      </w:r>
      <w:r w:rsidR="009F52D4">
        <w:t>are the changes being made</w:t>
      </w:r>
      <w:r>
        <w:t>?</w:t>
      </w:r>
    </w:p>
    <w:p w14:paraId="158F59F9" w14:textId="44C2A6CE" w:rsidR="001E6F63" w:rsidRDefault="001E6F63" w:rsidP="00433682">
      <w:bookmarkStart w:id="1" w:name="_Hlk535386664"/>
      <w:r w:rsidRPr="00CE1541">
        <w:t xml:space="preserve">The listing of this service was recommended by the Medical Services Advisory Committee (MSAC) in </w:t>
      </w:r>
      <w:r w:rsidR="00AD78BF">
        <w:t xml:space="preserve">July 2021. </w:t>
      </w:r>
      <w:r w:rsidR="00AD78BF" w:rsidRPr="008435D6">
        <w:t xml:space="preserve">Further details about MSAC applications can be found under </w:t>
      </w:r>
      <w:hyperlink r:id="rId10" w:history="1">
        <w:r w:rsidR="00AD78BF" w:rsidRPr="008435D6">
          <w:rPr>
            <w:rStyle w:val="Hyperlink"/>
            <w:color w:val="auto"/>
          </w:rPr>
          <w:t>MSAC Applications</w:t>
        </w:r>
      </w:hyperlink>
      <w:r w:rsidR="00AD78BF" w:rsidRPr="008435D6">
        <w:t xml:space="preserve"> on the MSAC website (</w:t>
      </w:r>
      <w:hyperlink r:id="rId11" w:history="1">
        <w:r w:rsidR="00AD78BF" w:rsidRPr="008435D6">
          <w:rPr>
            <w:rStyle w:val="Hyperlink"/>
            <w:color w:val="auto"/>
          </w:rPr>
          <w:t>www.msac.gov.au</w:t>
        </w:r>
      </w:hyperlink>
      <w:r w:rsidR="00AD78BF" w:rsidRPr="008435D6">
        <w:t>).</w:t>
      </w:r>
    </w:p>
    <w:bookmarkEnd w:id="1"/>
    <w:p w14:paraId="4AA530A5" w14:textId="51D08987" w:rsidR="00425089" w:rsidRDefault="00425089" w:rsidP="00AB53A4">
      <w:pPr>
        <w:pStyle w:val="Heading2"/>
      </w:pPr>
      <w:r>
        <w:t xml:space="preserve">What does this mean for </w:t>
      </w:r>
      <w:r w:rsidR="00135417">
        <w:t>providers</w:t>
      </w:r>
      <w:r>
        <w:t>?</w:t>
      </w:r>
    </w:p>
    <w:p w14:paraId="4838ED5D" w14:textId="77D6F71E" w:rsidR="00636EFB" w:rsidRPr="00636EFB" w:rsidRDefault="007B3FDB" w:rsidP="00636EFB">
      <w:r>
        <w:t xml:space="preserve">Providers will </w:t>
      </w:r>
      <w:r w:rsidR="00A40E4B">
        <w:t xml:space="preserve">benefit from having access to a new MBS item for patients requiring surgical repair of rectus diastasis </w:t>
      </w:r>
      <w:r w:rsidR="00A40E4B" w:rsidRPr="00A67765">
        <w:t>(separation of the large abdominal muscles) following pregnancy</w:t>
      </w:r>
      <w:r w:rsidR="00A40E4B">
        <w:t xml:space="preserve">. </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3CDB63DB" w14:textId="7F59176C" w:rsidR="007B3FDB" w:rsidRPr="007B3FDB" w:rsidRDefault="007B3FDB" w:rsidP="007B3FDB">
      <w:r w:rsidRPr="007B3FDB">
        <w:t xml:space="preserve">This new item will benefit a small subset of patients who have </w:t>
      </w:r>
      <w:r w:rsidR="00725B08">
        <w:t>a</w:t>
      </w:r>
      <w:r w:rsidRPr="007B3FDB">
        <w:t xml:space="preserve"> diastasis </w:t>
      </w:r>
      <w:r w:rsidR="00725B08">
        <w:t>of at least 3cm measured by diagnostic imaging prior to this service</w:t>
      </w:r>
      <w:r w:rsidRPr="007B3FDB">
        <w:t xml:space="preserve"> with moderate severity of pain or discomfort at the site of the diastasis in the abdominal wall during functional use and/or lower back pain or urinary symptoms and who have failed to respond to non-surgical conservative treatment, including physiotherapy.</w:t>
      </w:r>
    </w:p>
    <w:p w14:paraId="06B86CED" w14:textId="4CAE46B9" w:rsidR="002D2CC5" w:rsidRDefault="007B3FDB" w:rsidP="002D2CC5">
      <w:pPr>
        <w:pStyle w:val="CommentText"/>
      </w:pPr>
      <w:r>
        <w:rPr>
          <w:rFonts w:cs="Arial"/>
          <w:color w:val="222222"/>
        </w:rPr>
        <w:t>This change will provide greater access for patients, leading to improved health outcomes</w:t>
      </w:r>
      <w:r w:rsidR="00A40E4B">
        <w:rPr>
          <w:rFonts w:cs="Arial"/>
          <w:color w:val="222222"/>
        </w:rPr>
        <w:t>,</w:t>
      </w:r>
      <w:r>
        <w:rPr>
          <w:rFonts w:cs="Arial"/>
          <w:color w:val="222222"/>
        </w:rPr>
        <w:t xml:space="preserve"> while providing</w:t>
      </w:r>
      <w:r>
        <w:rPr>
          <w:rFonts w:ascii="Helvetica" w:hAnsi="Helvetica"/>
          <w:color w:val="222222"/>
        </w:rPr>
        <w:t xml:space="preserve"> </w:t>
      </w:r>
      <w:r w:rsidR="002D2CC5">
        <w:rPr>
          <w:rFonts w:ascii="Helvetica" w:hAnsi="Helvetica"/>
          <w:color w:val="222222"/>
        </w:rPr>
        <w:t xml:space="preserve">Medicare rebates for services that are clinically appropriate and reflect modern clinical practice. </w:t>
      </w:r>
    </w:p>
    <w:p w14:paraId="33962168" w14:textId="77777777" w:rsidR="00725B08" w:rsidRDefault="00725B08">
      <w:pPr>
        <w:spacing w:line="259" w:lineRule="auto"/>
        <w:rPr>
          <w:rFonts w:asciiTheme="majorHAnsi" w:hAnsiTheme="majorHAnsi"/>
          <w:color w:val="001A70" w:themeColor="text2"/>
          <w:sz w:val="28"/>
        </w:rPr>
      </w:pPr>
      <w:r>
        <w:br w:type="page"/>
      </w:r>
    </w:p>
    <w:p w14:paraId="4B7905A1" w14:textId="218CDA0E" w:rsidR="00595BBD" w:rsidRDefault="00595BBD" w:rsidP="00AB53A4">
      <w:pPr>
        <w:pStyle w:val="Heading2"/>
      </w:pPr>
      <w:r w:rsidRPr="001A7FB7">
        <w:lastRenderedPageBreak/>
        <w:t>Who was consulted on the changes?</w:t>
      </w:r>
    </w:p>
    <w:p w14:paraId="079EC93F" w14:textId="77777777" w:rsidR="00636EFB" w:rsidRDefault="00636EFB" w:rsidP="00636EFB">
      <w:r>
        <w:t xml:space="preserve">Consultation has been undertaken with key stakeholders, clinical experts and providers, and consumer health representatives as part of the MSAC process. </w:t>
      </w:r>
    </w:p>
    <w:p w14:paraId="2323307D" w14:textId="77777777" w:rsidR="00725B08" w:rsidRDefault="00725B08" w:rsidP="00725B08">
      <w:pPr>
        <w:rPr>
          <w:bCs/>
          <w:iCs/>
          <w:szCs w:val="24"/>
        </w:rPr>
      </w:pPr>
      <w:r>
        <w:rPr>
          <w:szCs w:val="24"/>
        </w:rPr>
        <w:t>The MSAC recommendation to create a new item was endorsed by the Australian Society of Plastic Surgeons and the National Association of Specialist Obstetricians &amp; Gynaecologists.</w:t>
      </w:r>
    </w:p>
    <w:p w14:paraId="18E96197" w14:textId="7D4487A1" w:rsidR="00595BBD" w:rsidRDefault="00595BBD" w:rsidP="00AB53A4">
      <w:pPr>
        <w:pStyle w:val="Heading2"/>
      </w:pPr>
      <w:r w:rsidRPr="001A7FB7">
        <w:t>How will the changes be monitored</w:t>
      </w:r>
      <w:r w:rsidR="000367AA">
        <w:t xml:space="preserve"> and reviewed</w:t>
      </w:r>
      <w:r w:rsidRPr="001A7FB7">
        <w:t>?</w:t>
      </w:r>
    </w:p>
    <w:p w14:paraId="4C5195FA" w14:textId="3F236A35" w:rsidR="00C13ABA" w:rsidRDefault="00636EFB" w:rsidP="00155BD4">
      <w:r>
        <w:t xml:space="preserve">MBS item 30175 will continue to be </w:t>
      </w:r>
      <w:r w:rsidRPr="00F87D0F">
        <w:t xml:space="preserve">subject to </w:t>
      </w:r>
      <w:r w:rsidR="00A40E4B">
        <w:t xml:space="preserve">MBS </w:t>
      </w:r>
      <w:r w:rsidRPr="00F87D0F">
        <w:t>compliance processes and activities, including random and targeted audits which may require a provider to submit information about the services claimed.</w:t>
      </w:r>
    </w:p>
    <w:p w14:paraId="706EE625" w14:textId="77777777" w:rsidR="007B3FDB" w:rsidRPr="00CB2C44" w:rsidRDefault="007B3FDB" w:rsidP="007B3FDB">
      <w:pPr>
        <w:pStyle w:val="Heading2"/>
        <w:rPr>
          <w:rFonts w:ascii="Arial" w:hAnsi="Arial" w:cs="Arial"/>
          <w:color w:val="002060"/>
        </w:rPr>
      </w:pPr>
      <w:r w:rsidRPr="00645737">
        <w:rPr>
          <w:rFonts w:ascii="Arial" w:hAnsi="Arial" w:cs="Arial"/>
          <w:color w:val="002060"/>
        </w:rPr>
        <w:t>Item Descriptor</w:t>
      </w:r>
    </w:p>
    <w:tbl>
      <w:tblPr>
        <w:tblStyle w:val="TableGrid"/>
        <w:tblW w:w="9385" w:type="dxa"/>
        <w:tblInd w:w="108" w:type="dxa"/>
        <w:tblLayout w:type="fixed"/>
        <w:tblLook w:val="01E0" w:firstRow="1" w:lastRow="1" w:firstColumn="1" w:lastColumn="1" w:noHBand="0" w:noVBand="0"/>
      </w:tblPr>
      <w:tblGrid>
        <w:gridCol w:w="1560"/>
        <w:gridCol w:w="7825"/>
      </w:tblGrid>
      <w:tr w:rsidR="007B3FDB" w:rsidRPr="003357BC" w14:paraId="28B16EDA" w14:textId="77777777" w:rsidTr="0060657F">
        <w:tc>
          <w:tcPr>
            <w:tcW w:w="1560" w:type="dxa"/>
          </w:tcPr>
          <w:p w14:paraId="69801C44" w14:textId="53B055DD" w:rsidR="007B3FDB" w:rsidRPr="004A59C1" w:rsidRDefault="007B3FDB" w:rsidP="0060657F">
            <w:pPr>
              <w:rPr>
                <w:rFonts w:eastAsia="Times New Roman"/>
              </w:rPr>
            </w:pPr>
            <w:r>
              <w:rPr>
                <w:rFonts w:eastAsia="Times New Roman"/>
              </w:rPr>
              <w:t>30175</w:t>
            </w:r>
          </w:p>
        </w:tc>
        <w:tc>
          <w:tcPr>
            <w:tcW w:w="7825" w:type="dxa"/>
          </w:tcPr>
          <w:p w14:paraId="6068763C" w14:textId="77777777" w:rsidR="00725B08" w:rsidRDefault="00725B08" w:rsidP="00725B08">
            <w:pPr>
              <w:spacing w:line="252" w:lineRule="auto"/>
              <w:rPr>
                <w:rFonts w:ascii="Times New Roman" w:eastAsiaTheme="minorHAnsi" w:hAnsi="Times New Roman"/>
                <w:color w:val="000000"/>
                <w:szCs w:val="20"/>
              </w:rPr>
            </w:pPr>
            <w:r>
              <w:rPr>
                <w:color w:val="000000"/>
              </w:rPr>
              <w:t>Radical abdominoplasty, with repair of rectus diastasis, excision of skin and subcutaneous tissue, and transposition of umbilicus, not being a laparoscopic procedure, where the patient has an abdominal wall defect as a consequence of pregnancy, if:</w:t>
            </w:r>
          </w:p>
          <w:p w14:paraId="228CC36D" w14:textId="77777777" w:rsidR="00725B08" w:rsidRDefault="00725B08" w:rsidP="00725B08">
            <w:pPr>
              <w:pStyle w:val="ListParagraph"/>
              <w:numPr>
                <w:ilvl w:val="8"/>
                <w:numId w:val="15"/>
              </w:numPr>
              <w:spacing w:after="0" w:line="252" w:lineRule="auto"/>
              <w:contextualSpacing/>
              <w:rPr>
                <w:color w:val="000000"/>
              </w:rPr>
            </w:pPr>
            <w:r>
              <w:rPr>
                <w:color w:val="000000"/>
              </w:rPr>
              <w:t>the patient:</w:t>
            </w:r>
          </w:p>
          <w:p w14:paraId="0D31E818" w14:textId="77777777" w:rsidR="00725B08" w:rsidRDefault="00725B08" w:rsidP="00725B08">
            <w:pPr>
              <w:pStyle w:val="ListParagraph"/>
              <w:numPr>
                <w:ilvl w:val="0"/>
                <w:numId w:val="16"/>
              </w:numPr>
              <w:spacing w:after="0" w:line="252" w:lineRule="auto"/>
              <w:contextualSpacing/>
              <w:rPr>
                <w:color w:val="000000"/>
              </w:rPr>
            </w:pPr>
            <w:r>
              <w:rPr>
                <w:color w:val="000000"/>
                <w:shd w:val="clear" w:color="auto" w:fill="FFFFFF"/>
              </w:rPr>
              <w:t xml:space="preserve">has </w:t>
            </w:r>
            <w:r>
              <w:rPr>
                <w:color w:val="000000"/>
              </w:rPr>
              <w:t>a diastasis of at least 3cm measured by diagnostic imaging prior to this service; and</w:t>
            </w:r>
          </w:p>
          <w:p w14:paraId="4EA19CBC" w14:textId="69E139B0" w:rsidR="00725B08" w:rsidRDefault="00725B08" w:rsidP="00725B08">
            <w:pPr>
              <w:pStyle w:val="ListParagraph"/>
              <w:numPr>
                <w:ilvl w:val="0"/>
                <w:numId w:val="17"/>
              </w:numPr>
              <w:spacing w:after="0" w:line="252" w:lineRule="auto"/>
              <w:contextualSpacing/>
              <w:rPr>
                <w:color w:val="000000"/>
              </w:rPr>
            </w:pPr>
            <w:r>
              <w:rPr>
                <w:color w:val="000000"/>
              </w:rPr>
              <w:t>has symptoms of at least moderate severity of pain or discomfort at the site of the diastasis in the abdominal wall during functional use and/or low back pain or urinary symptoms likely due to rectus diastasis that have been documented in the patient’s records by the practitioner providing this service; and</w:t>
            </w:r>
          </w:p>
          <w:p w14:paraId="2906C518" w14:textId="77777777" w:rsidR="00725B08" w:rsidRDefault="00725B08" w:rsidP="00725B08">
            <w:pPr>
              <w:pStyle w:val="ListParagraph"/>
              <w:numPr>
                <w:ilvl w:val="0"/>
                <w:numId w:val="18"/>
              </w:numPr>
              <w:spacing w:after="0" w:line="252" w:lineRule="auto"/>
              <w:contextualSpacing/>
              <w:rPr>
                <w:color w:val="000000"/>
              </w:rPr>
            </w:pPr>
            <w:r>
              <w:rPr>
                <w:color w:val="000000"/>
              </w:rPr>
              <w:t>has failed to respond to non-surgical conservative treatment including physiotherapy; and</w:t>
            </w:r>
          </w:p>
          <w:p w14:paraId="03C3F9AC" w14:textId="77777777" w:rsidR="00725B08" w:rsidRDefault="00725B08" w:rsidP="00725B08">
            <w:pPr>
              <w:spacing w:line="252" w:lineRule="auto"/>
              <w:ind w:left="642" w:hanging="282"/>
              <w:rPr>
                <w:color w:val="000000"/>
              </w:rPr>
            </w:pPr>
            <w:r>
              <w:rPr>
                <w:color w:val="000000"/>
                <w:shd w:val="clear" w:color="auto" w:fill="FFFFFF"/>
              </w:rPr>
              <w:t>(iv) has not been pregnant in the last 12 months</w:t>
            </w:r>
          </w:p>
          <w:p w14:paraId="104DE7B2" w14:textId="77777777" w:rsidR="00725B08" w:rsidRDefault="00725B08" w:rsidP="00725B08">
            <w:pPr>
              <w:pStyle w:val="ListParagraph"/>
              <w:numPr>
                <w:ilvl w:val="2"/>
                <w:numId w:val="15"/>
              </w:numPr>
              <w:tabs>
                <w:tab w:val="num" w:pos="970"/>
              </w:tabs>
              <w:spacing w:line="252" w:lineRule="auto"/>
              <w:ind w:left="358" w:hanging="358"/>
              <w:contextualSpacing/>
              <w:rPr>
                <w:color w:val="000000"/>
              </w:rPr>
            </w:pPr>
            <w:r>
              <w:rPr>
                <w:color w:val="000000"/>
                <w:shd w:val="clear" w:color="auto" w:fill="FFFFFF"/>
              </w:rPr>
              <w:t xml:space="preserve">the service is not a service </w:t>
            </w:r>
            <w:r>
              <w:rPr>
                <w:color w:val="000000"/>
              </w:rPr>
              <w:t>associated with a service to which item 30165, 30651, 30655, 30168, 30171, 30172, 30176, 30177, 30179, 45530, 45564 or 45565 applies</w:t>
            </w:r>
          </w:p>
          <w:p w14:paraId="17BE5196" w14:textId="006F04F6" w:rsidR="00725B08" w:rsidRDefault="00725B08" w:rsidP="00725B08">
            <w:pPr>
              <w:spacing w:line="252" w:lineRule="auto"/>
              <w:rPr>
                <w:color w:val="000000"/>
              </w:rPr>
            </w:pPr>
            <w:r>
              <w:rPr>
                <w:color w:val="000000"/>
              </w:rPr>
              <w:t>Applicable once per lifetime</w:t>
            </w:r>
          </w:p>
          <w:p w14:paraId="7B4CAAA0" w14:textId="77777777" w:rsidR="00725B08" w:rsidRDefault="00725B08" w:rsidP="00725B08">
            <w:pPr>
              <w:spacing w:line="240" w:lineRule="auto"/>
              <w:rPr>
                <w:rFonts w:cs="Times New Roman"/>
                <w:sz w:val="24"/>
                <w:szCs w:val="24"/>
              </w:rPr>
            </w:pPr>
            <w:r>
              <w:rPr>
                <w:color w:val="000000"/>
              </w:rPr>
              <w:t>(H) (</w:t>
            </w:r>
            <w:proofErr w:type="spellStart"/>
            <w:r>
              <w:rPr>
                <w:color w:val="000000"/>
              </w:rPr>
              <w:t>Anaes</w:t>
            </w:r>
            <w:proofErr w:type="spellEnd"/>
            <w:r>
              <w:rPr>
                <w:color w:val="000000"/>
              </w:rPr>
              <w:t>.) (Assist.)</w:t>
            </w:r>
            <w:r>
              <w:rPr>
                <w:rFonts w:cs="Times New Roman"/>
                <w:sz w:val="24"/>
                <w:szCs w:val="24"/>
              </w:rPr>
              <w:t xml:space="preserve"> </w:t>
            </w:r>
          </w:p>
          <w:p w14:paraId="2D18BA57" w14:textId="42D491FD" w:rsidR="007B3FDB" w:rsidRPr="00663F83" w:rsidRDefault="00725B08" w:rsidP="0060657F">
            <w:pPr>
              <w:rPr>
                <w:rFonts w:eastAsia="Times New Roman"/>
              </w:rPr>
            </w:pPr>
            <w:r>
              <w:rPr>
                <w:rFonts w:eastAsia="Times New Roman"/>
              </w:rPr>
              <w:t>Fee: $1</w:t>
            </w:r>
            <w:r w:rsidR="00761B63">
              <w:rPr>
                <w:rFonts w:eastAsia="Times New Roman"/>
              </w:rPr>
              <w:t xml:space="preserve">025.60 </w:t>
            </w:r>
            <w:r>
              <w:rPr>
                <w:rFonts w:eastAsia="Times New Roman"/>
              </w:rPr>
              <w:t>Benefit: 75% =</w:t>
            </w:r>
            <w:r w:rsidR="00761B63">
              <w:rPr>
                <w:rFonts w:eastAsia="Times New Roman"/>
              </w:rPr>
              <w:t xml:space="preserve"> $769.20</w:t>
            </w:r>
          </w:p>
        </w:tc>
      </w:tr>
    </w:tbl>
    <w:p w14:paraId="1ED9E6E9" w14:textId="77777777" w:rsidR="00F93F71" w:rsidRDefault="00F93F71" w:rsidP="00AB53A4">
      <w:pPr>
        <w:pStyle w:val="Heading2"/>
      </w:pPr>
      <w:r>
        <w:t>Where can I find more information?</w:t>
      </w:r>
    </w:p>
    <w:p w14:paraId="633C9F35" w14:textId="087F5155" w:rsidR="007B3FDB" w:rsidRDefault="007B3FDB" w:rsidP="007B3FDB">
      <w:r>
        <w:t>The full item descriptor(s) and</w:t>
      </w:r>
      <w:r w:rsidRPr="007E14C4">
        <w:t xml:space="preserve"> information on other changes to the MBS</w:t>
      </w:r>
      <w:r>
        <w:t xml:space="preserve"> can be found on the </w:t>
      </w:r>
      <w:r w:rsidRPr="003122B4">
        <w:t>MBS Online</w:t>
      </w:r>
      <w:r>
        <w:t xml:space="preserve"> website at </w:t>
      </w:r>
      <w:hyperlink r:id="rId12" w:history="1">
        <w:r>
          <w:rPr>
            <w:rStyle w:val="Hyperlink"/>
          </w:rPr>
          <w:t>Medicare Benefits Schedule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27B48D6C" w14:textId="77777777" w:rsidR="007B3FDB" w:rsidRDefault="007B3FDB" w:rsidP="007B3FDB">
      <w:r>
        <w:lastRenderedPageBreak/>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AF4D21">
          <w:rPr>
            <w:rStyle w:val="Hyperlink"/>
          </w:rPr>
          <w:t>askMBS@health.gov.au</w:t>
        </w:r>
      </w:hyperlink>
      <w:r>
        <w:t>.</w:t>
      </w:r>
    </w:p>
    <w:p w14:paraId="54A22D05" w14:textId="77777777" w:rsidR="007B3FDB" w:rsidRDefault="007B3FDB" w:rsidP="007B3FDB">
      <w:r>
        <w:t>Subscribe to ‘</w:t>
      </w:r>
      <w:hyperlink r:id="rId15" w:history="1">
        <w:r w:rsidRPr="00B378D4">
          <w:rPr>
            <w:rStyle w:val="Hyperlink"/>
          </w:rPr>
          <w:t>News for Health Professionals</w:t>
        </w:r>
      </w:hyperlink>
      <w:r>
        <w:t>’ on the Services Australia website and you will receive regular news highlights.</w:t>
      </w:r>
    </w:p>
    <w:p w14:paraId="6CA5E8EA" w14:textId="77777777" w:rsidR="007B3FDB" w:rsidRDefault="007B3FDB" w:rsidP="007B3FDB">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the Services Australia on the Provider Enquiry Line – 13 21 50. </w:t>
      </w:r>
    </w:p>
    <w:p w14:paraId="33E53984" w14:textId="027ED5F6" w:rsidR="007B3FDB" w:rsidRDefault="007B3FDB" w:rsidP="007B3FDB">
      <w:r>
        <w:t xml:space="preserve">The data file for software vendors </w:t>
      </w:r>
      <w:r w:rsidR="00DC2C88">
        <w:t>is</w:t>
      </w:r>
      <w:r>
        <w:t xml:space="preserve"> </w:t>
      </w:r>
      <w:r w:rsidRPr="00740E85">
        <w:t>available</w:t>
      </w:r>
      <w:r>
        <w:t xml:space="preserve"> </w:t>
      </w:r>
      <w:r w:rsidRPr="00E16675">
        <w:t>and</w:t>
      </w:r>
      <w:r>
        <w:t xml:space="preserve"> can be accessed via the MBS Online website under the </w:t>
      </w:r>
      <w:hyperlink r:id="rId16" w:history="1">
        <w:r w:rsidRPr="002427E0">
          <w:rPr>
            <w:rStyle w:val="Hyperlink"/>
          </w:rPr>
          <w:t>Downloads</w:t>
        </w:r>
      </w:hyperlink>
      <w:r>
        <w:t xml:space="preserve"> page.</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5C0D" w14:textId="77777777" w:rsidR="006F55C1" w:rsidRDefault="006F55C1" w:rsidP="006D1088">
      <w:pPr>
        <w:spacing w:after="0" w:line="240" w:lineRule="auto"/>
      </w:pPr>
      <w:r>
        <w:separator/>
      </w:r>
    </w:p>
  </w:endnote>
  <w:endnote w:type="continuationSeparator" w:id="0">
    <w:p w14:paraId="44757556" w14:textId="77777777" w:rsidR="006F55C1" w:rsidRDefault="006F55C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404BEB"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0D56AE92" w:rsidR="009B32BA" w:rsidRDefault="00761B63" w:rsidP="009B32BA">
    <w:pPr>
      <w:pStyle w:val="Footer"/>
      <w:tabs>
        <w:tab w:val="clear" w:pos="9026"/>
        <w:tab w:val="right" w:pos="10466"/>
      </w:tabs>
    </w:pPr>
    <w:r>
      <w:rPr>
        <w:b/>
      </w:rPr>
      <w:t xml:space="preserve">New MBS item 30175 for abdominoplasty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404BEB">
    <w:pPr>
      <w:pStyle w:val="Footer"/>
      <w:rPr>
        <w:rStyle w:val="Hyperlink"/>
        <w:szCs w:val="18"/>
      </w:rPr>
    </w:pPr>
    <w:hyperlink r:id="rId1" w:history="1">
      <w:r w:rsidR="009B32BA" w:rsidRPr="00E863C4">
        <w:rPr>
          <w:rStyle w:val="Hyperlink"/>
          <w:szCs w:val="18"/>
        </w:rPr>
        <w:t>MBS Online</w:t>
      </w:r>
    </w:hyperlink>
  </w:p>
  <w:p w14:paraId="300F6065" w14:textId="6CB7EC68" w:rsidR="00570B62" w:rsidRPr="009B32BA" w:rsidRDefault="00570B62">
    <w:pPr>
      <w:pStyle w:val="Footer"/>
      <w:rPr>
        <w:szCs w:val="18"/>
      </w:rPr>
    </w:pPr>
    <w:r w:rsidRPr="00870B05">
      <w:t>Last updated</w:t>
    </w:r>
    <w:r>
      <w:t xml:space="preserve"> – </w:t>
    </w:r>
    <w:r w:rsidR="00761B63">
      <w:t>29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7F532" w14:textId="77777777" w:rsidR="006F55C1" w:rsidRDefault="006F55C1" w:rsidP="006D1088">
      <w:pPr>
        <w:spacing w:after="0" w:line="240" w:lineRule="auto"/>
      </w:pPr>
      <w:r>
        <w:separator/>
      </w:r>
    </w:p>
  </w:footnote>
  <w:footnote w:type="continuationSeparator" w:id="0">
    <w:p w14:paraId="464F8D2E" w14:textId="77777777" w:rsidR="006F55C1" w:rsidRDefault="006F55C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D3D31"/>
    <w:multiLevelType w:val="hybridMultilevel"/>
    <w:tmpl w:val="9D902BF4"/>
    <w:lvl w:ilvl="0" w:tplc="17846D1C">
      <w:start w:val="6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130879"/>
    <w:multiLevelType w:val="hybridMultilevel"/>
    <w:tmpl w:val="8D2A04C0"/>
    <w:lvl w:ilvl="0" w:tplc="3BE2A436">
      <w:start w:val="9"/>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9110445"/>
    <w:multiLevelType w:val="multilevel"/>
    <w:tmpl w:val="03308634"/>
    <w:lvl w:ilvl="0">
      <w:start w:val="1"/>
      <w:numFmt w:val="decimal"/>
      <w:lvlText w:val="%1."/>
      <w:lvlJc w:val="left"/>
      <w:pPr>
        <w:tabs>
          <w:tab w:val="num" w:pos="970"/>
        </w:tabs>
        <w:ind w:left="970" w:hanging="850"/>
      </w:pPr>
      <w:rPr>
        <w:i w:val="0"/>
        <w:sz w:val="24"/>
        <w:szCs w:val="24"/>
      </w:rPr>
    </w:lvl>
    <w:lvl w:ilvl="1">
      <w:start w:val="1"/>
      <w:numFmt w:val="upperLetter"/>
      <w:lvlText w:val="%1%2"/>
      <w:lvlJc w:val="left"/>
      <w:pPr>
        <w:tabs>
          <w:tab w:val="num" w:pos="970"/>
        </w:tabs>
        <w:ind w:left="970" w:hanging="850"/>
      </w:pPr>
    </w:lvl>
    <w:lvl w:ilvl="2">
      <w:start w:val="1"/>
      <w:numFmt w:val="lowerLetter"/>
      <w:lvlRestart w:val="0"/>
      <w:lvlText w:val="(%3)"/>
      <w:lvlJc w:val="left"/>
      <w:pPr>
        <w:tabs>
          <w:tab w:val="num" w:pos="1821"/>
        </w:tabs>
        <w:ind w:left="1821" w:hanging="851"/>
      </w:pPr>
    </w:lvl>
    <w:lvl w:ilvl="3">
      <w:start w:val="1"/>
      <w:numFmt w:val="lowerRoman"/>
      <w:lvlText w:val="(%4)"/>
      <w:lvlJc w:val="left"/>
      <w:pPr>
        <w:tabs>
          <w:tab w:val="num" w:pos="2671"/>
        </w:tabs>
        <w:ind w:left="2671" w:hanging="850"/>
      </w:pPr>
    </w:lvl>
    <w:lvl w:ilvl="4">
      <w:start w:val="1"/>
      <w:numFmt w:val="upperLetter"/>
      <w:lvlText w:val="(%5)"/>
      <w:lvlJc w:val="left"/>
      <w:pPr>
        <w:tabs>
          <w:tab w:val="num" w:pos="3522"/>
        </w:tabs>
        <w:ind w:left="3522" w:hanging="851"/>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lowerLetter"/>
      <w:lvlText w:val="(%9)"/>
      <w:lvlJc w:val="left"/>
      <w:pPr>
        <w:ind w:left="360" w:hanging="360"/>
      </w:pPr>
    </w:lvl>
  </w:abstractNum>
  <w:abstractNum w:abstractNumId="14" w15:restartNumberingAfterBreak="0">
    <w:nsid w:val="395114A9"/>
    <w:multiLevelType w:val="hybridMultilevel"/>
    <w:tmpl w:val="057260C2"/>
    <w:lvl w:ilvl="0" w:tplc="38B845E2">
      <w:start w:val="35"/>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1"/>
    </w:lvlOverride>
  </w:num>
  <w:num w:numId="1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4AFC"/>
    <w:rsid w:val="001A6FE6"/>
    <w:rsid w:val="001A7FB7"/>
    <w:rsid w:val="001C3361"/>
    <w:rsid w:val="001C5C56"/>
    <w:rsid w:val="001C7BC5"/>
    <w:rsid w:val="001E6F63"/>
    <w:rsid w:val="001F49E8"/>
    <w:rsid w:val="00200902"/>
    <w:rsid w:val="00203F3E"/>
    <w:rsid w:val="00221334"/>
    <w:rsid w:val="002427E0"/>
    <w:rsid w:val="00243D1C"/>
    <w:rsid w:val="0026502E"/>
    <w:rsid w:val="00276A29"/>
    <w:rsid w:val="00281820"/>
    <w:rsid w:val="00291041"/>
    <w:rsid w:val="002A3C7C"/>
    <w:rsid w:val="002A5A70"/>
    <w:rsid w:val="002B3FCB"/>
    <w:rsid w:val="002B70AC"/>
    <w:rsid w:val="002D2CC5"/>
    <w:rsid w:val="002E6682"/>
    <w:rsid w:val="003122B4"/>
    <w:rsid w:val="00337919"/>
    <w:rsid w:val="003402B3"/>
    <w:rsid w:val="00345DC5"/>
    <w:rsid w:val="00352174"/>
    <w:rsid w:val="00355E8A"/>
    <w:rsid w:val="00363819"/>
    <w:rsid w:val="00374AE3"/>
    <w:rsid w:val="003A52BA"/>
    <w:rsid w:val="003B56AD"/>
    <w:rsid w:val="003D5CEF"/>
    <w:rsid w:val="003E0945"/>
    <w:rsid w:val="003E6457"/>
    <w:rsid w:val="003F6682"/>
    <w:rsid w:val="00404BEB"/>
    <w:rsid w:val="00405506"/>
    <w:rsid w:val="00420023"/>
    <w:rsid w:val="00425089"/>
    <w:rsid w:val="00427D7F"/>
    <w:rsid w:val="004324B6"/>
    <w:rsid w:val="00433682"/>
    <w:rsid w:val="0043744D"/>
    <w:rsid w:val="004422E9"/>
    <w:rsid w:val="00445086"/>
    <w:rsid w:val="004511F2"/>
    <w:rsid w:val="004933FA"/>
    <w:rsid w:val="00494B72"/>
    <w:rsid w:val="00496081"/>
    <w:rsid w:val="004A1348"/>
    <w:rsid w:val="004B243F"/>
    <w:rsid w:val="004C2B08"/>
    <w:rsid w:val="004D2C7C"/>
    <w:rsid w:val="004D71C4"/>
    <w:rsid w:val="004E52A2"/>
    <w:rsid w:val="004F0AA6"/>
    <w:rsid w:val="00510063"/>
    <w:rsid w:val="005261D0"/>
    <w:rsid w:val="0054114E"/>
    <w:rsid w:val="0054242B"/>
    <w:rsid w:val="00542F07"/>
    <w:rsid w:val="00543427"/>
    <w:rsid w:val="00550525"/>
    <w:rsid w:val="00570B62"/>
    <w:rsid w:val="00573812"/>
    <w:rsid w:val="00595BBD"/>
    <w:rsid w:val="0059641E"/>
    <w:rsid w:val="005E1472"/>
    <w:rsid w:val="005F226C"/>
    <w:rsid w:val="006173AC"/>
    <w:rsid w:val="0062100F"/>
    <w:rsid w:val="00634880"/>
    <w:rsid w:val="00636EFB"/>
    <w:rsid w:val="006425BA"/>
    <w:rsid w:val="00650B9A"/>
    <w:rsid w:val="00653345"/>
    <w:rsid w:val="00655D74"/>
    <w:rsid w:val="00656F11"/>
    <w:rsid w:val="00684D37"/>
    <w:rsid w:val="00694030"/>
    <w:rsid w:val="006961D6"/>
    <w:rsid w:val="006A175B"/>
    <w:rsid w:val="006D04CC"/>
    <w:rsid w:val="006D1088"/>
    <w:rsid w:val="006D2A35"/>
    <w:rsid w:val="006F55C1"/>
    <w:rsid w:val="006F5785"/>
    <w:rsid w:val="00720332"/>
    <w:rsid w:val="00725B08"/>
    <w:rsid w:val="00726103"/>
    <w:rsid w:val="00727F4C"/>
    <w:rsid w:val="00734F6B"/>
    <w:rsid w:val="00736D31"/>
    <w:rsid w:val="00761B63"/>
    <w:rsid w:val="0077741D"/>
    <w:rsid w:val="00781867"/>
    <w:rsid w:val="00787CD1"/>
    <w:rsid w:val="007B3FDB"/>
    <w:rsid w:val="007D1D3A"/>
    <w:rsid w:val="007E2604"/>
    <w:rsid w:val="007E33D2"/>
    <w:rsid w:val="00814F52"/>
    <w:rsid w:val="00834903"/>
    <w:rsid w:val="008352AC"/>
    <w:rsid w:val="00852651"/>
    <w:rsid w:val="008553F7"/>
    <w:rsid w:val="00864E28"/>
    <w:rsid w:val="008766AD"/>
    <w:rsid w:val="00876A59"/>
    <w:rsid w:val="00881219"/>
    <w:rsid w:val="00887523"/>
    <w:rsid w:val="008957B9"/>
    <w:rsid w:val="008A6F4F"/>
    <w:rsid w:val="008B25F2"/>
    <w:rsid w:val="008C0D8A"/>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0901"/>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40E4B"/>
    <w:rsid w:val="00A51FC5"/>
    <w:rsid w:val="00A5641C"/>
    <w:rsid w:val="00A60FB7"/>
    <w:rsid w:val="00A64177"/>
    <w:rsid w:val="00A67765"/>
    <w:rsid w:val="00A7172E"/>
    <w:rsid w:val="00A8029D"/>
    <w:rsid w:val="00A91196"/>
    <w:rsid w:val="00AA41CD"/>
    <w:rsid w:val="00AA5232"/>
    <w:rsid w:val="00AA69A9"/>
    <w:rsid w:val="00AB53A4"/>
    <w:rsid w:val="00AD78BF"/>
    <w:rsid w:val="00AE2F7E"/>
    <w:rsid w:val="00AE53A3"/>
    <w:rsid w:val="00B06E28"/>
    <w:rsid w:val="00B15CE8"/>
    <w:rsid w:val="00B2044B"/>
    <w:rsid w:val="00B23A4C"/>
    <w:rsid w:val="00B31FB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81D8D"/>
    <w:rsid w:val="00DA50D6"/>
    <w:rsid w:val="00DB54A4"/>
    <w:rsid w:val="00DC127A"/>
    <w:rsid w:val="00DC2C88"/>
    <w:rsid w:val="00DC356C"/>
    <w:rsid w:val="00DE22E2"/>
    <w:rsid w:val="00DF7606"/>
    <w:rsid w:val="00DF7C32"/>
    <w:rsid w:val="00E43F82"/>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semiHidden/>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rsid w:val="007B3FDB"/>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 w:id="21333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bsonline.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sac.gov.au/internet/msac/publishing.nsf/Content/application-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8DE9C-2A77-4F72-9783-D3BBEDF7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2022-04-19T05:28:00Z</dcterms:created>
  <dcterms:modified xsi:type="dcterms:W3CDTF">2022-04-19T05:29:00Z</dcterms:modified>
</cp:coreProperties>
</file>