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D8786" w14:textId="4E0A6704" w:rsidR="00AB53A4" w:rsidRDefault="00297253" w:rsidP="00AB53A4">
      <w:pPr>
        <w:pStyle w:val="Heading1"/>
      </w:pPr>
      <w:r>
        <w:t>Eating Disorders</w:t>
      </w:r>
      <w:r w:rsidR="00AB53A4">
        <w:t xml:space="preserve"> factsheet</w:t>
      </w:r>
    </w:p>
    <w:p w14:paraId="05350B35" w14:textId="06323CA7" w:rsidR="00907B4A" w:rsidRPr="00AB53A4" w:rsidRDefault="00907B4A" w:rsidP="00AB53A4">
      <w:bookmarkStart w:id="0" w:name="_Hlk4568006"/>
      <w:r>
        <w:t xml:space="preserve">Last updated: </w:t>
      </w:r>
      <w:r w:rsidR="00CC0AC2">
        <w:t>8</w:t>
      </w:r>
      <w:bookmarkStart w:id="1" w:name="_GoBack"/>
      <w:bookmarkEnd w:id="1"/>
      <w:r w:rsidR="000F4701">
        <w:t xml:space="preserve"> October</w:t>
      </w:r>
      <w:r w:rsidR="00297253">
        <w:t xml:space="preserve"> 2019</w:t>
      </w:r>
    </w:p>
    <w:bookmarkEnd w:id="0"/>
    <w:p w14:paraId="74CB255D" w14:textId="4101F356" w:rsidR="00045810" w:rsidRDefault="00045810" w:rsidP="009E66EE">
      <w:pPr>
        <w:pStyle w:val="ListParagraph"/>
      </w:pPr>
      <w:r>
        <w:t>What</w:t>
      </w:r>
      <w:r w:rsidR="001A6FE6">
        <w:t>?</w:t>
      </w:r>
      <w:r>
        <w:t xml:space="preserve"> </w:t>
      </w:r>
      <w:r w:rsidR="00297253">
        <w:t>From 1 November 2019</w:t>
      </w:r>
      <w:r w:rsidR="009E66EE" w:rsidRPr="009E66EE">
        <w:t xml:space="preserve">, </w:t>
      </w:r>
      <w:r w:rsidR="00297253">
        <w:t>a suite of new Eating Disorder items are being introduced</w:t>
      </w:r>
      <w:r w:rsidR="00B714E8">
        <w:t xml:space="preserve"> </w:t>
      </w:r>
      <w:r w:rsidR="00297253" w:rsidRPr="00297253">
        <w:t>to support a model of best practice evidence based care for patients with anorexia nervosa and other eligible patients with eating disorders.</w:t>
      </w:r>
    </w:p>
    <w:p w14:paraId="30655CF1" w14:textId="314F4EF7" w:rsidR="00045810" w:rsidRDefault="00045810" w:rsidP="00B3670C">
      <w:pPr>
        <w:pStyle w:val="ListParagraph"/>
      </w:pPr>
      <w:r>
        <w:t>Who</w:t>
      </w:r>
      <w:r w:rsidR="001A6FE6">
        <w:t>?</w:t>
      </w:r>
      <w:r>
        <w:t xml:space="preserve"> </w:t>
      </w:r>
      <w:r w:rsidR="00907B4A">
        <w:t>These changes are relevant for</w:t>
      </w:r>
      <w:r w:rsidR="00297253">
        <w:t xml:space="preserve"> </w:t>
      </w:r>
      <w:r w:rsidR="00B3670C" w:rsidRPr="000602FF">
        <w:t>medical practitioner</w:t>
      </w:r>
      <w:r w:rsidR="003C2916">
        <w:t>s</w:t>
      </w:r>
      <w:r w:rsidR="00B3670C" w:rsidRPr="000602FF">
        <w:t xml:space="preserve"> (including a GP a psychiatrist or paediatrician)</w:t>
      </w:r>
      <w:r w:rsidR="00B3670C">
        <w:t xml:space="preserve">, </w:t>
      </w:r>
      <w:r w:rsidR="00160BB3">
        <w:t xml:space="preserve">and eligible </w:t>
      </w:r>
      <w:r w:rsidR="00B3670C">
        <w:t>Clinical Psychologist</w:t>
      </w:r>
      <w:r w:rsidR="00160BB3">
        <w:t>s</w:t>
      </w:r>
      <w:r w:rsidR="00B3670C">
        <w:t xml:space="preserve"> and Psychologist</w:t>
      </w:r>
      <w:r w:rsidR="00160BB3">
        <w:t>s</w:t>
      </w:r>
      <w:r w:rsidR="008B505E">
        <w:t>, Occupational T</w:t>
      </w:r>
      <w:r w:rsidR="00B3670C">
        <w:t>herapist</w:t>
      </w:r>
      <w:r w:rsidR="00160BB3">
        <w:t>s</w:t>
      </w:r>
      <w:r w:rsidR="00B3670C">
        <w:t>, Social Worker</w:t>
      </w:r>
      <w:r w:rsidR="00160BB3">
        <w:t>s and Dietitians.</w:t>
      </w:r>
    </w:p>
    <w:p w14:paraId="38F4064B" w14:textId="77777777" w:rsidR="0017279A" w:rsidRDefault="00CC0AC2"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1CD5E5F5">
          <v:rect id="_x0000_i1026" style="width:500.25pt;height:1.35pt" o:hrpct="990" o:hralign="center" o:hrstd="t" o:hr="t" fillcolor="#a0a0a0" stroked="f"/>
        </w:pict>
      </w:r>
    </w:p>
    <w:p w14:paraId="04A2477D" w14:textId="77777777" w:rsidR="00F074CE" w:rsidRPr="00AB53A4" w:rsidRDefault="00F074CE" w:rsidP="00AB53A4">
      <w:pPr>
        <w:pStyle w:val="Heading2"/>
      </w:pPr>
      <w:r w:rsidRPr="00AB53A4">
        <w:t>What are the changes</w:t>
      </w:r>
      <w:r w:rsidR="002A3C7C" w:rsidRPr="00AB53A4">
        <w:t>?</w:t>
      </w:r>
    </w:p>
    <w:p w14:paraId="609D2A86" w14:textId="1ACAE094" w:rsidR="00BD1C20" w:rsidRDefault="00160BB3" w:rsidP="00B23A4C">
      <w:r>
        <w:t xml:space="preserve">From 1 November 2019, </w:t>
      </w:r>
      <w:r w:rsidR="009E66EE">
        <w:t xml:space="preserve">there </w:t>
      </w:r>
      <w:bookmarkStart w:id="2" w:name="_Hlk535507068"/>
      <w:r w:rsidR="009E66EE">
        <w:t>will be</w:t>
      </w:r>
      <w:bookmarkEnd w:id="2"/>
      <w:r w:rsidR="00F44760">
        <w:t xml:space="preserve"> </w:t>
      </w:r>
      <w:r w:rsidR="00F16795">
        <w:t>64</w:t>
      </w:r>
      <w:r w:rsidR="00AA3A90">
        <w:t xml:space="preserve"> </w:t>
      </w:r>
      <w:r w:rsidR="00F44760">
        <w:t>new</w:t>
      </w:r>
      <w:r w:rsidR="00DC127A">
        <w:t xml:space="preserve"> </w:t>
      </w:r>
      <w:r w:rsidR="00135417">
        <w:t>items for</w:t>
      </w:r>
      <w:r>
        <w:t xml:space="preserve"> Eating Disorders</w:t>
      </w:r>
      <w:r w:rsidR="009E66EE">
        <w:t xml:space="preserve">. </w:t>
      </w:r>
      <w:r w:rsidR="00135417">
        <w:t xml:space="preserve">The new </w:t>
      </w:r>
      <w:r w:rsidR="00F44760">
        <w:t xml:space="preserve">item </w:t>
      </w:r>
      <w:r w:rsidR="00135417">
        <w:t>structure includes</w:t>
      </w:r>
      <w:r w:rsidR="009E66EE">
        <w:t>:</w:t>
      </w:r>
    </w:p>
    <w:p w14:paraId="087545A7" w14:textId="1B5B854A" w:rsidR="00135417" w:rsidRDefault="00B337C1" w:rsidP="00AA3A90">
      <w:pPr>
        <w:pStyle w:val="ListParagraph"/>
        <w:spacing w:after="120"/>
        <w:ind w:left="357" w:hanging="357"/>
      </w:pPr>
      <w:r>
        <w:t>1</w:t>
      </w:r>
      <w:r w:rsidR="00984036">
        <w:t>2</w:t>
      </w:r>
      <w:r w:rsidR="00135417">
        <w:t xml:space="preserve"> new items </w:t>
      </w:r>
      <w:r w:rsidR="001F03B0">
        <w:t>(</w:t>
      </w:r>
      <w:r w:rsidR="001F03B0">
        <w:rPr>
          <w:rStyle w:val="NEWItemNumber"/>
        </w:rPr>
        <w:t>90250-90257</w:t>
      </w:r>
      <w:r>
        <w:rPr>
          <w:rStyle w:val="NEWItemNumber"/>
        </w:rPr>
        <w:t xml:space="preserve"> and 90260-9026</w:t>
      </w:r>
      <w:r w:rsidR="00984036">
        <w:rPr>
          <w:rStyle w:val="NEWItemNumber"/>
        </w:rPr>
        <w:t>3</w:t>
      </w:r>
      <w:r w:rsidR="00135417">
        <w:t xml:space="preserve">) for </w:t>
      </w:r>
      <w:r w:rsidR="001F03B0" w:rsidRPr="001F03B0">
        <w:t>GP</w:t>
      </w:r>
      <w:r w:rsidR="003C2916">
        <w:t>s</w:t>
      </w:r>
      <w:r>
        <w:t>,</w:t>
      </w:r>
      <w:r w:rsidR="001F03B0" w:rsidRPr="001F03B0">
        <w:t xml:space="preserve"> medical practitioner</w:t>
      </w:r>
      <w:r w:rsidR="003C2916">
        <w:t>s</w:t>
      </w:r>
      <w:r>
        <w:t>, c</w:t>
      </w:r>
      <w:r w:rsidRPr="001F03B0">
        <w:t>onsultant psychiatrist</w:t>
      </w:r>
      <w:r w:rsidR="003C2916">
        <w:t>s</w:t>
      </w:r>
      <w:r w:rsidRPr="001F03B0">
        <w:t xml:space="preserve"> and paediatrician</w:t>
      </w:r>
      <w:r w:rsidR="003C2916">
        <w:t>s</w:t>
      </w:r>
      <w:r w:rsidR="001F03B0" w:rsidRPr="001F03B0">
        <w:t xml:space="preserve"> </w:t>
      </w:r>
      <w:r w:rsidR="001F03B0" w:rsidRPr="00AA3A90">
        <w:rPr>
          <w:b/>
        </w:rPr>
        <w:t>preparation of eating disorders treatment and management plans</w:t>
      </w:r>
      <w:r w:rsidR="001F03B0">
        <w:t>.</w:t>
      </w:r>
      <w:r w:rsidR="001F03B0" w:rsidRPr="001F03B0">
        <w:t xml:space="preserve"> </w:t>
      </w:r>
    </w:p>
    <w:p w14:paraId="5620F176" w14:textId="18C72F7F" w:rsidR="00B337C1" w:rsidRDefault="001A7917" w:rsidP="00AA3A90">
      <w:pPr>
        <w:pStyle w:val="ListParagraph"/>
        <w:spacing w:after="120"/>
        <w:ind w:left="357" w:hanging="357"/>
      </w:pPr>
      <w:r>
        <w:t>6</w:t>
      </w:r>
      <w:r w:rsidR="00984036">
        <w:t xml:space="preserve"> </w:t>
      </w:r>
      <w:r w:rsidR="001F03B0">
        <w:t>new items (</w:t>
      </w:r>
      <w:r w:rsidR="001F03B0">
        <w:rPr>
          <w:rStyle w:val="NEWItemNumber"/>
        </w:rPr>
        <w:t>9</w:t>
      </w:r>
      <w:r w:rsidR="00B337C1">
        <w:rPr>
          <w:rStyle w:val="NEWItemNumber"/>
        </w:rPr>
        <w:t>0264</w:t>
      </w:r>
      <w:r w:rsidR="001F03B0">
        <w:rPr>
          <w:rStyle w:val="NEWItemNumber"/>
        </w:rPr>
        <w:t>-902</w:t>
      </w:r>
      <w:r w:rsidR="0056557C">
        <w:rPr>
          <w:rStyle w:val="NEWItemNumber"/>
        </w:rPr>
        <w:t>69</w:t>
      </w:r>
      <w:r w:rsidR="001F03B0">
        <w:t xml:space="preserve">) </w:t>
      </w:r>
      <w:r w:rsidR="00B337C1">
        <w:t xml:space="preserve">for </w:t>
      </w:r>
      <w:r w:rsidR="00B337C1" w:rsidRPr="001F03B0">
        <w:t>GP</w:t>
      </w:r>
      <w:r w:rsidR="003C2916">
        <w:t>s</w:t>
      </w:r>
      <w:r w:rsidR="00B337C1">
        <w:t>,</w:t>
      </w:r>
      <w:r w:rsidR="00B337C1" w:rsidRPr="001F03B0">
        <w:t xml:space="preserve"> medical practitioner</w:t>
      </w:r>
      <w:r w:rsidR="003C2916">
        <w:t>s</w:t>
      </w:r>
      <w:r w:rsidR="00B337C1">
        <w:t>, c</w:t>
      </w:r>
      <w:r w:rsidR="00B337C1" w:rsidRPr="001F03B0">
        <w:t>onsultant psychiatrist</w:t>
      </w:r>
      <w:r w:rsidR="003C2916">
        <w:t>s</w:t>
      </w:r>
      <w:r w:rsidR="00B337C1" w:rsidRPr="001F03B0">
        <w:t xml:space="preserve"> and paediatrician</w:t>
      </w:r>
      <w:r w:rsidR="003C2916">
        <w:t>s</w:t>
      </w:r>
      <w:r w:rsidR="00B337C1" w:rsidRPr="001F03B0">
        <w:t xml:space="preserve"> </w:t>
      </w:r>
      <w:r w:rsidR="00B337C1" w:rsidRPr="00AA3A90">
        <w:rPr>
          <w:b/>
        </w:rPr>
        <w:t>review of eating disorders treatment and management plans</w:t>
      </w:r>
      <w:r w:rsidR="00B337C1">
        <w:t>.</w:t>
      </w:r>
      <w:r w:rsidR="00B337C1" w:rsidRPr="001F03B0">
        <w:t xml:space="preserve"> </w:t>
      </w:r>
    </w:p>
    <w:p w14:paraId="7BF36982" w14:textId="1D42A4ED" w:rsidR="00984036" w:rsidRDefault="00984036" w:rsidP="00AA3A90">
      <w:pPr>
        <w:pStyle w:val="ListParagraph"/>
        <w:spacing w:after="120"/>
        <w:ind w:left="357" w:hanging="357"/>
      </w:pPr>
      <w:r>
        <w:t xml:space="preserve">12 </w:t>
      </w:r>
      <w:r w:rsidR="001F03B0">
        <w:t>new items (</w:t>
      </w:r>
      <w:r w:rsidR="001F03B0">
        <w:rPr>
          <w:rStyle w:val="NEWItemNumber"/>
        </w:rPr>
        <w:t>9</w:t>
      </w:r>
      <w:r>
        <w:rPr>
          <w:rStyle w:val="NEWItemNumber"/>
        </w:rPr>
        <w:t>0271-90282</w:t>
      </w:r>
      <w:r w:rsidR="001F03B0">
        <w:t xml:space="preserve">) </w:t>
      </w:r>
      <w:r>
        <w:t xml:space="preserve">for </w:t>
      </w:r>
      <w:r w:rsidRPr="001F03B0">
        <w:t>GP</w:t>
      </w:r>
      <w:r w:rsidR="003C2916">
        <w:t>s</w:t>
      </w:r>
      <w:r>
        <w:t>,</w:t>
      </w:r>
      <w:r w:rsidRPr="001F03B0">
        <w:t xml:space="preserve"> medical practitioner</w:t>
      </w:r>
      <w:r w:rsidR="003C2916">
        <w:t>s</w:t>
      </w:r>
      <w:r>
        <w:t>, c</w:t>
      </w:r>
      <w:r w:rsidRPr="001F03B0">
        <w:t>onsultant psychiatrist</w:t>
      </w:r>
      <w:r w:rsidR="003C2916">
        <w:t>s</w:t>
      </w:r>
      <w:r w:rsidRPr="001F03B0">
        <w:t xml:space="preserve"> and paediatrician</w:t>
      </w:r>
      <w:r w:rsidR="003C2916">
        <w:t>s</w:t>
      </w:r>
      <w:r w:rsidRPr="001F03B0">
        <w:t xml:space="preserve"> </w:t>
      </w:r>
      <w:r w:rsidR="00AA3A90" w:rsidRPr="00AA3A90">
        <w:rPr>
          <w:b/>
        </w:rPr>
        <w:t xml:space="preserve">provision of </w:t>
      </w:r>
      <w:r w:rsidRPr="00AA3A90">
        <w:rPr>
          <w:b/>
        </w:rPr>
        <w:t>psychological treatment</w:t>
      </w:r>
      <w:r>
        <w:rPr>
          <w:b/>
        </w:rPr>
        <w:t xml:space="preserve"> services</w:t>
      </w:r>
      <w:r>
        <w:t>.</w:t>
      </w:r>
      <w:r w:rsidRPr="001F03B0">
        <w:t xml:space="preserve"> </w:t>
      </w:r>
    </w:p>
    <w:p w14:paraId="3C7CE9E7" w14:textId="13A2FC5C" w:rsidR="00E8389A" w:rsidRDefault="00E8389A" w:rsidP="00AA3A90">
      <w:pPr>
        <w:pStyle w:val="ListParagraph"/>
        <w:spacing w:after="120"/>
        <w:ind w:left="357" w:hanging="357"/>
      </w:pPr>
      <w:r>
        <w:t xml:space="preserve">2 </w:t>
      </w:r>
      <w:r w:rsidR="001F03B0">
        <w:t>new items (</w:t>
      </w:r>
      <w:r>
        <w:rPr>
          <w:rStyle w:val="NEWItemNumber"/>
        </w:rPr>
        <w:t>82350-8235</w:t>
      </w:r>
      <w:r w:rsidR="001B5C9A">
        <w:rPr>
          <w:rStyle w:val="NEWItemNumber"/>
        </w:rPr>
        <w:t>1</w:t>
      </w:r>
      <w:r w:rsidR="001F03B0">
        <w:t xml:space="preserve">) </w:t>
      </w:r>
      <w:r>
        <w:t xml:space="preserve">for </w:t>
      </w:r>
      <w:r w:rsidR="001B5C9A" w:rsidRPr="001B5C9A">
        <w:t>D</w:t>
      </w:r>
      <w:r w:rsidRPr="001B5C9A">
        <w:t>ietitian</w:t>
      </w:r>
      <w:r w:rsidR="003C2916">
        <w:t>s</w:t>
      </w:r>
      <w:r>
        <w:t xml:space="preserve"> </w:t>
      </w:r>
      <w:r w:rsidR="001B5C9A" w:rsidRPr="00AA3A90">
        <w:rPr>
          <w:b/>
        </w:rPr>
        <w:t>provision of eating disorders</w:t>
      </w:r>
      <w:r w:rsidR="001B5C9A" w:rsidRPr="00AA3A90">
        <w:rPr>
          <w:rFonts w:eastAsia="Helvetica"/>
          <w:b/>
          <w:bCs/>
          <w:szCs w:val="20"/>
        </w:rPr>
        <w:t xml:space="preserve"> dietitian </w:t>
      </w:r>
      <w:r w:rsidRPr="00AA3A90">
        <w:rPr>
          <w:rFonts w:eastAsia="Helvetica"/>
          <w:b/>
          <w:bCs/>
          <w:szCs w:val="20"/>
        </w:rPr>
        <w:t>health service</w:t>
      </w:r>
      <w:r w:rsidR="001B5C9A" w:rsidRPr="00AA3A90">
        <w:rPr>
          <w:rFonts w:eastAsia="Helvetica"/>
          <w:b/>
          <w:bCs/>
          <w:szCs w:val="20"/>
        </w:rPr>
        <w:t>s</w:t>
      </w:r>
      <w:r w:rsidR="001F03B0">
        <w:t>.</w:t>
      </w:r>
    </w:p>
    <w:p w14:paraId="051AE7E3" w14:textId="38D90B30" w:rsidR="001F03B0" w:rsidRDefault="00AA3A90" w:rsidP="00AA3A90">
      <w:pPr>
        <w:pStyle w:val="ListParagraph"/>
        <w:spacing w:after="120"/>
        <w:ind w:left="357" w:hanging="357"/>
      </w:pPr>
      <w:r>
        <w:t>32</w:t>
      </w:r>
      <w:r w:rsidR="00E8389A">
        <w:t xml:space="preserve"> new items (</w:t>
      </w:r>
      <w:r w:rsidR="00E8389A">
        <w:rPr>
          <w:rStyle w:val="NEWItemNumber"/>
        </w:rPr>
        <w:t>82352-823</w:t>
      </w:r>
      <w:r>
        <w:rPr>
          <w:rStyle w:val="NEWItemNumber"/>
        </w:rPr>
        <w:t>83</w:t>
      </w:r>
      <w:r w:rsidR="00E8389A">
        <w:t xml:space="preserve">) for </w:t>
      </w:r>
      <w:r>
        <w:t>C</w:t>
      </w:r>
      <w:r w:rsidR="00E8389A">
        <w:t xml:space="preserve">linical </w:t>
      </w:r>
      <w:r>
        <w:t>P</w:t>
      </w:r>
      <w:r w:rsidR="00F44760">
        <w:t>sychologist</w:t>
      </w:r>
      <w:r w:rsidR="003C2916">
        <w:t>s</w:t>
      </w:r>
      <w:r w:rsidR="001B5C9A">
        <w:t xml:space="preserve"> and </w:t>
      </w:r>
      <w:r>
        <w:t>P</w:t>
      </w:r>
      <w:r w:rsidR="00F44760">
        <w:t>sychologist</w:t>
      </w:r>
      <w:r w:rsidR="003C2916">
        <w:t>s</w:t>
      </w:r>
      <w:r w:rsidR="00E8389A">
        <w:t>,</w:t>
      </w:r>
      <w:r>
        <w:t xml:space="preserve"> </w:t>
      </w:r>
      <w:r w:rsidRPr="00AA3A90">
        <w:t>Occupational Therapists and Social Workers</w:t>
      </w:r>
      <w:r w:rsidR="00E8389A">
        <w:t xml:space="preserve"> </w:t>
      </w:r>
      <w:r w:rsidR="00E8389A" w:rsidRPr="00AA3A90">
        <w:rPr>
          <w:b/>
        </w:rPr>
        <w:t>provision of e</w:t>
      </w:r>
      <w:r w:rsidR="00E8389A" w:rsidRPr="00AA3A90">
        <w:rPr>
          <w:b/>
          <w:szCs w:val="20"/>
        </w:rPr>
        <w:t>ating disorder psychological treatment services</w:t>
      </w:r>
      <w:r w:rsidR="00E8389A">
        <w:t>.</w:t>
      </w:r>
    </w:p>
    <w:p w14:paraId="41873FC0" w14:textId="44B7A5E0" w:rsidR="009B5206" w:rsidRPr="00E919AD" w:rsidRDefault="0091706C" w:rsidP="00FE50B6">
      <w:pPr>
        <w:rPr>
          <w:color w:val="FF0000"/>
        </w:rPr>
      </w:pPr>
      <w:r w:rsidRPr="00E919AD">
        <w:rPr>
          <w:color w:val="FF0000"/>
        </w:rPr>
        <w:t>‘</w:t>
      </w:r>
      <w:r w:rsidR="00C11326" w:rsidRPr="00E919AD">
        <w:rPr>
          <w:color w:val="FF0000"/>
        </w:rPr>
        <w:t xml:space="preserve">To learn more about the </w:t>
      </w:r>
      <w:r w:rsidR="00E919AD" w:rsidRPr="00E919AD">
        <w:rPr>
          <w:color w:val="FF0000"/>
        </w:rPr>
        <w:t>new eating disorders</w:t>
      </w:r>
      <w:r w:rsidR="00C11326" w:rsidRPr="00E919AD">
        <w:rPr>
          <w:color w:val="FF0000"/>
        </w:rPr>
        <w:t xml:space="preserve"> service</w:t>
      </w:r>
      <w:r w:rsidR="00E919AD" w:rsidRPr="00E919AD">
        <w:rPr>
          <w:color w:val="FF0000"/>
        </w:rPr>
        <w:t>s</w:t>
      </w:r>
      <w:r w:rsidR="00C11326" w:rsidRPr="00E919AD">
        <w:rPr>
          <w:color w:val="FF0000"/>
        </w:rPr>
        <w:t>, please see [</w:t>
      </w:r>
      <w:r w:rsidR="00135417" w:rsidRPr="00E919AD">
        <w:rPr>
          <w:color w:val="FF0000"/>
        </w:rPr>
        <w:t>h</w:t>
      </w:r>
      <w:r w:rsidR="00550525" w:rsidRPr="00E919AD">
        <w:rPr>
          <w:color w:val="FF0000"/>
        </w:rPr>
        <w:t>yperlink</w:t>
      </w:r>
      <w:r w:rsidR="009E66EE" w:rsidRPr="00E919AD">
        <w:rPr>
          <w:color w:val="FF0000"/>
        </w:rPr>
        <w:t xml:space="preserve"> to </w:t>
      </w:r>
      <w:r w:rsidR="00550525" w:rsidRPr="00E919AD">
        <w:rPr>
          <w:color w:val="FF0000"/>
        </w:rPr>
        <w:t xml:space="preserve">the </w:t>
      </w:r>
      <w:r w:rsidR="00BE2018" w:rsidRPr="00E919AD">
        <w:rPr>
          <w:color w:val="FF0000"/>
        </w:rPr>
        <w:t xml:space="preserve">quick </w:t>
      </w:r>
      <w:r w:rsidRPr="00E919AD">
        <w:rPr>
          <w:color w:val="FF0000"/>
        </w:rPr>
        <w:t xml:space="preserve">reference guide, claiming examples </w:t>
      </w:r>
      <w:r w:rsidR="00BE2018" w:rsidRPr="00E919AD">
        <w:rPr>
          <w:color w:val="FF0000"/>
        </w:rPr>
        <w:t xml:space="preserve">sheet </w:t>
      </w:r>
      <w:r w:rsidRPr="00E919AD">
        <w:rPr>
          <w:color w:val="FF0000"/>
        </w:rPr>
        <w:t>or other relevant information</w:t>
      </w:r>
      <w:r w:rsidR="00BE2018" w:rsidRPr="00E919AD">
        <w:rPr>
          <w:color w:val="FF0000"/>
        </w:rPr>
        <w:t>/sheets</w:t>
      </w:r>
      <w:r w:rsidR="009B5206" w:rsidRPr="00E919AD">
        <w:rPr>
          <w:color w:val="FF0000"/>
        </w:rPr>
        <w:t>]</w:t>
      </w:r>
      <w:r w:rsidR="00B23A4C" w:rsidRPr="00E919AD">
        <w:rPr>
          <w:color w:val="FF0000"/>
        </w:rPr>
        <w:t>.</w:t>
      </w:r>
      <w:r w:rsidR="00BE2018" w:rsidRPr="00E919AD">
        <w:rPr>
          <w:color w:val="FF0000"/>
        </w:rPr>
        <w:t>’</w:t>
      </w:r>
      <w:r w:rsidR="00B06E28" w:rsidRPr="00E919AD">
        <w:rPr>
          <w:color w:val="FF0000"/>
        </w:rPr>
        <w:t xml:space="preserve"> </w:t>
      </w:r>
    </w:p>
    <w:p w14:paraId="744AAFA1" w14:textId="77777777" w:rsidR="00135417" w:rsidRDefault="00135417" w:rsidP="00AB53A4">
      <w:pPr>
        <w:pStyle w:val="Heading2"/>
      </w:pPr>
      <w:r>
        <w:t xml:space="preserve">Why </w:t>
      </w:r>
      <w:r w:rsidR="009F52D4">
        <w:t>are the changes being made</w:t>
      </w:r>
      <w:r>
        <w:t>?</w:t>
      </w:r>
    </w:p>
    <w:p w14:paraId="6D23565A" w14:textId="4E695E0F" w:rsidR="00507EB9" w:rsidRPr="00507EB9" w:rsidRDefault="005F317A" w:rsidP="00507EB9">
      <w:r>
        <w:t xml:space="preserve">The listing of these </w:t>
      </w:r>
      <w:r w:rsidRPr="00721A54">
        <w:t xml:space="preserve">new items </w:t>
      </w:r>
      <w:r>
        <w:t xml:space="preserve">is a result of </w:t>
      </w:r>
      <w:r w:rsidR="00507EB9">
        <w:t xml:space="preserve">the Australian Government’s response to </w:t>
      </w:r>
      <w:r w:rsidRPr="00721A54">
        <w:t>recommend</w:t>
      </w:r>
      <w:r>
        <w:t>ations</w:t>
      </w:r>
      <w:r w:rsidRPr="00721A54">
        <w:t xml:space="preserve"> in 2018 by the independent clinician-led Medical Benefits </w:t>
      </w:r>
      <w:r>
        <w:t>Schedule (MBS) Review Taskforce.</w:t>
      </w:r>
      <w:bookmarkStart w:id="3" w:name="_Hlk535386664"/>
      <w:r w:rsidR="00507EB9">
        <w:t xml:space="preserve"> The changes were recommended by the MBS Review Taskforce following an extensive period of consultation with key stakeholders. </w:t>
      </w:r>
    </w:p>
    <w:p w14:paraId="20DB3DC9" w14:textId="48194CF0" w:rsidR="001E6F63" w:rsidRDefault="00507EB9" w:rsidP="00433682">
      <w:r>
        <w:t xml:space="preserve">The Taskforce is conducting a clinical-led review, and makes recommendations to the Government on how the MBS can be modernised to improve patient safety, support equity of access and reduce low-value care. </w:t>
      </w:r>
      <w:r w:rsidR="001E6F63">
        <w:t xml:space="preserve">More information about the Taskforce and associated Committees is available </w:t>
      </w:r>
      <w:r w:rsidR="00C221AF">
        <w:t>at</w:t>
      </w:r>
      <w:r w:rsidR="00FE50B6">
        <w:t xml:space="preserve"> </w:t>
      </w:r>
      <w:hyperlink r:id="rId13" w:history="1">
        <w:r w:rsidR="00FE50B6" w:rsidRPr="00FE50B6">
          <w:rPr>
            <w:rStyle w:val="Hyperlink"/>
          </w:rPr>
          <w:t>Medicare Benefits Schedule Review</w:t>
        </w:r>
      </w:hyperlink>
      <w:r w:rsidR="00FE50B6">
        <w:t xml:space="preserve"> in the consumer section of the Department of Health website </w:t>
      </w:r>
      <w:r w:rsidR="00FE50B6">
        <w:rPr>
          <w:rStyle w:val="Hyperlink"/>
        </w:rPr>
        <w:t>(</w:t>
      </w:r>
      <w:hyperlink r:id="rId14" w:history="1">
        <w:r w:rsidR="00FE50B6" w:rsidRPr="007E7EB0">
          <w:rPr>
            <w:rStyle w:val="Hyperlink"/>
          </w:rPr>
          <w:t>www.health.gov.au</w:t>
        </w:r>
      </w:hyperlink>
      <w:r w:rsidR="00FE50B6">
        <w:rPr>
          <w:rStyle w:val="Hyperlink"/>
        </w:rPr>
        <w:t>)</w:t>
      </w:r>
      <w:r w:rsidR="001E6F63">
        <w:t xml:space="preserve">. </w:t>
      </w:r>
    </w:p>
    <w:p w14:paraId="15DE1712" w14:textId="5056D873" w:rsidR="001E6F63" w:rsidRPr="00135417" w:rsidRDefault="00B1784A" w:rsidP="00A3287F">
      <w:r>
        <w:t>A full copy of the Eating Disorders</w:t>
      </w:r>
      <w:r w:rsidR="001E6F63">
        <w:t xml:space="preserve"> </w:t>
      </w:r>
      <w:r>
        <w:t xml:space="preserve">Working Group’s </w:t>
      </w:r>
      <w:r w:rsidR="001E6F63">
        <w:t xml:space="preserve">final report can be found </w:t>
      </w:r>
      <w:r w:rsidR="00C221AF">
        <w:t>at</w:t>
      </w:r>
      <w:r w:rsidR="001E6F63">
        <w:rPr>
          <w:rStyle w:val="Strong"/>
        </w:rPr>
        <w:t xml:space="preserve"> </w:t>
      </w:r>
      <w:hyperlink r:id="rId15" w:history="1">
        <w:r w:rsidR="00C221AF">
          <w:rPr>
            <w:rStyle w:val="Hyperlink"/>
          </w:rPr>
          <w:t>Closed Consultation - Medicare Benefits Schedule (MBS) Review Taskforce reports</w:t>
        </w:r>
      </w:hyperlink>
      <w:r w:rsidR="00C221AF">
        <w:t xml:space="preserve"> </w:t>
      </w:r>
      <w:r w:rsidR="00A3287F" w:rsidRPr="00A3287F">
        <w:t>section of the Department of Health website</w:t>
      </w:r>
      <w:r w:rsidR="00A3287F">
        <w:rPr>
          <w:rStyle w:val="Hyperlink"/>
        </w:rPr>
        <w:t xml:space="preserve"> (</w:t>
      </w:r>
      <w:hyperlink r:id="rId16" w:history="1">
        <w:r w:rsidR="00A3287F" w:rsidRPr="007E7EB0">
          <w:rPr>
            <w:rStyle w:val="Hyperlink"/>
          </w:rPr>
          <w:t>www.health.gov.au</w:t>
        </w:r>
      </w:hyperlink>
      <w:r w:rsidR="00A3287F">
        <w:rPr>
          <w:rStyle w:val="Hyperlink"/>
        </w:rPr>
        <w:t>)</w:t>
      </w:r>
      <w:bookmarkEnd w:id="3"/>
    </w:p>
    <w:p w14:paraId="7B34483A" w14:textId="77777777" w:rsidR="00B1784A" w:rsidRDefault="00B1784A" w:rsidP="00AB53A4">
      <w:pPr>
        <w:pStyle w:val="Heading2"/>
      </w:pPr>
    </w:p>
    <w:p w14:paraId="0427D938" w14:textId="4B33D5C2" w:rsidR="00425089" w:rsidRDefault="00425089" w:rsidP="00AB53A4">
      <w:pPr>
        <w:pStyle w:val="Heading2"/>
      </w:pPr>
      <w:r>
        <w:t xml:space="preserve">What does this mean for </w:t>
      </w:r>
      <w:r w:rsidR="00135417">
        <w:t>providers</w:t>
      </w:r>
      <w:r>
        <w:t>?</w:t>
      </w:r>
    </w:p>
    <w:p w14:paraId="249D1732" w14:textId="795E7135" w:rsidR="00B1784A" w:rsidRPr="006C100D" w:rsidRDefault="00B1784A" w:rsidP="00B1784A">
      <w:r w:rsidRPr="006C100D">
        <w:t xml:space="preserve">Providers will need to familiarise themselves with the new structure of </w:t>
      </w:r>
      <w:r>
        <w:t>eating disorders items</w:t>
      </w:r>
      <w:r w:rsidRPr="006C100D">
        <w:t>, and associated rules and explanatory notes.</w:t>
      </w:r>
      <w:r w:rsidR="00342EF9">
        <w:t xml:space="preserve"> General Medical Services Eating Disorders items (</w:t>
      </w:r>
      <w:r w:rsidR="00342EF9">
        <w:rPr>
          <w:rStyle w:val="NEWItemNumber"/>
        </w:rPr>
        <w:t>90250-90257 and 90260-</w:t>
      </w:r>
      <w:r w:rsidR="00550655">
        <w:rPr>
          <w:rStyle w:val="NEWItemNumber"/>
        </w:rPr>
        <w:t>90269 and 90271-</w:t>
      </w:r>
      <w:r w:rsidR="00342EF9">
        <w:rPr>
          <w:rStyle w:val="NEWItemNumber"/>
        </w:rPr>
        <w:t>90282</w:t>
      </w:r>
      <w:r w:rsidR="00342EF9">
        <w:t xml:space="preserve">) </w:t>
      </w:r>
      <w:r w:rsidR="007F418E">
        <w:t xml:space="preserve">will be </w:t>
      </w:r>
      <w:r w:rsidR="00342EF9">
        <w:t xml:space="preserve">located in </w:t>
      </w:r>
      <w:r w:rsidR="00342EF9" w:rsidRPr="007F418E">
        <w:rPr>
          <w:i/>
        </w:rPr>
        <w:t xml:space="preserve">Category 1 </w:t>
      </w:r>
      <w:r w:rsidR="00F44760" w:rsidRPr="007F418E">
        <w:rPr>
          <w:i/>
        </w:rPr>
        <w:t>Professional</w:t>
      </w:r>
      <w:r w:rsidR="00342EF9" w:rsidRPr="007F418E">
        <w:rPr>
          <w:i/>
        </w:rPr>
        <w:t xml:space="preserve"> attendances – Group A36 Eating Disorders Services</w:t>
      </w:r>
      <w:r w:rsidR="00342EF9">
        <w:t>. Allied Health services eating disorders items (</w:t>
      </w:r>
      <w:r w:rsidR="00342EF9">
        <w:rPr>
          <w:rStyle w:val="NEWItemNumber"/>
        </w:rPr>
        <w:t>82350-82383</w:t>
      </w:r>
      <w:r w:rsidR="00342EF9">
        <w:t xml:space="preserve">) </w:t>
      </w:r>
      <w:r w:rsidR="007F418E">
        <w:t xml:space="preserve">will be </w:t>
      </w:r>
      <w:r w:rsidR="00342EF9">
        <w:t xml:space="preserve">located in </w:t>
      </w:r>
      <w:r w:rsidR="00301CFA" w:rsidRPr="007F418E">
        <w:rPr>
          <w:i/>
        </w:rPr>
        <w:t>Category 8 Miscellaneous Services – Group M16 Eating Disorders</w:t>
      </w:r>
      <w:r w:rsidR="00301CFA">
        <w:t>.</w:t>
      </w:r>
    </w:p>
    <w:p w14:paraId="398FAAB0" w14:textId="24E4EFF5" w:rsidR="00B1784A" w:rsidRDefault="00B1784A" w:rsidP="00B1784A">
      <w:r w:rsidRPr="006C100D">
        <w:t xml:space="preserve">Providers have a responsibility to ensure that any services they bill to Medicare meet the eligibility requirements outlined in the legislation. </w:t>
      </w:r>
    </w:p>
    <w:p w14:paraId="62E13B26" w14:textId="77777777" w:rsidR="00BF00A9" w:rsidRDefault="008766AD" w:rsidP="00AB53A4">
      <w:pPr>
        <w:pStyle w:val="Heading2"/>
      </w:pPr>
      <w:r>
        <w:t>How will</w:t>
      </w:r>
      <w:r w:rsidR="009F52D4">
        <w:t xml:space="preserve"> these changes affect patients</w:t>
      </w:r>
      <w:r w:rsidR="00BF00A9" w:rsidRPr="001A7FB7">
        <w:t>?</w:t>
      </w:r>
    </w:p>
    <w:p w14:paraId="2F0DF535" w14:textId="555251BD" w:rsidR="00301CFA" w:rsidRPr="00301CFA" w:rsidRDefault="00301CFA" w:rsidP="00301CFA">
      <w:r w:rsidRPr="00301CFA">
        <w:t>From 1 November 2019, eligible patients will be able t</w:t>
      </w:r>
      <w:r w:rsidR="00C221AF">
        <w:t>o receive a Medicare rebate for</w:t>
      </w:r>
      <w:r w:rsidRPr="00301CFA">
        <w:t xml:space="preserve"> the development of a treatment and management plan by a medical practitioner (including a GP a psychiatrist or paediatrician), regular GP reviews of their progress against the treatment plan, a formal specialist review and receive access to a course of evidence based eating disorder psychological treatment</w:t>
      </w:r>
      <w:r w:rsidR="007F418E">
        <w:t>,</w:t>
      </w:r>
      <w:r w:rsidRPr="00301CFA">
        <w:t xml:space="preserve"> up to 40 services in a 12 month period</w:t>
      </w:r>
      <w:r w:rsidR="007F418E">
        <w:t>,</w:t>
      </w:r>
      <w:r w:rsidRPr="00301CFA">
        <w:t xml:space="preserve"> and access </w:t>
      </w:r>
      <w:r w:rsidR="007F418E">
        <w:t xml:space="preserve">up </w:t>
      </w:r>
      <w:r w:rsidRPr="00301CFA">
        <w:t>to 20 dietetic services,</w:t>
      </w:r>
      <w:r w:rsidR="007F418E">
        <w:t xml:space="preserve"> in a 12 month period,</w:t>
      </w:r>
      <w:r w:rsidRPr="00301CFA">
        <w:t xml:space="preserve"> depending on their treatment needs.</w:t>
      </w:r>
    </w:p>
    <w:p w14:paraId="185D4599" w14:textId="77777777" w:rsidR="00595BBD" w:rsidRDefault="00595BBD" w:rsidP="00AB53A4">
      <w:pPr>
        <w:pStyle w:val="Heading2"/>
      </w:pPr>
      <w:r w:rsidRPr="001A7FB7">
        <w:t>Who was consulted on the changes?</w:t>
      </w:r>
    </w:p>
    <w:p w14:paraId="78DB671B" w14:textId="6F9CF4E3" w:rsidR="003629AA" w:rsidRDefault="00F74DFC" w:rsidP="003629AA">
      <w:r>
        <w:t xml:space="preserve">The </w:t>
      </w:r>
      <w:r w:rsidR="004F04EE">
        <w:t xml:space="preserve">Eating Disorders Working Group </w:t>
      </w:r>
      <w:r>
        <w:t xml:space="preserve">was established in </w:t>
      </w:r>
      <w:r w:rsidR="004F04EE">
        <w:t>December 2017</w:t>
      </w:r>
      <w:r w:rsidR="000553EE">
        <w:t>,</w:t>
      </w:r>
      <w:r w:rsidR="004F04EE">
        <w:t xml:space="preserve"> </w:t>
      </w:r>
      <w:r>
        <w:t xml:space="preserve">by the MBS Review Taskforce (the </w:t>
      </w:r>
      <w:r w:rsidR="00CF45CC">
        <w:t>‘</w:t>
      </w:r>
      <w:r>
        <w:t>Taskforce</w:t>
      </w:r>
      <w:r w:rsidR="00CF45CC">
        <w:t>’</w:t>
      </w:r>
      <w:r>
        <w:t>), to provide broad clinician and consumer exp</w:t>
      </w:r>
      <w:r w:rsidR="00D6302E">
        <w:t xml:space="preserve">ertise. </w:t>
      </w:r>
    </w:p>
    <w:p w14:paraId="0EF6F36A" w14:textId="6D77A5C1" w:rsidR="00F13F46" w:rsidRDefault="00F74DFC" w:rsidP="00F13F46">
      <w:pPr>
        <w:spacing w:after="0"/>
      </w:pPr>
      <w:r>
        <w:t xml:space="preserve">The MBS </w:t>
      </w:r>
      <w:r w:rsidR="00CF45CC">
        <w:t>R</w:t>
      </w:r>
      <w:r>
        <w:t xml:space="preserve">eview included a public consultation process on the proposed changes from </w:t>
      </w:r>
      <w:r w:rsidR="003629AA">
        <w:t xml:space="preserve">5 October 2018 </w:t>
      </w:r>
      <w:r>
        <w:t xml:space="preserve">to </w:t>
      </w:r>
      <w:r w:rsidR="003629AA">
        <w:t>2 November </w:t>
      </w:r>
      <w:r>
        <w:t>20</w:t>
      </w:r>
      <w:r w:rsidR="003629AA">
        <w:t>18</w:t>
      </w:r>
      <w:r>
        <w:t xml:space="preserve">. Feedback was received from a broad range of stakeholders </w:t>
      </w:r>
      <w:r w:rsidR="00F13F46">
        <w:t xml:space="preserve">and considered by the Eating Disorders Working Group prior to making its final recommendations to the Taskforce. Stakeholders </w:t>
      </w:r>
      <w:r w:rsidR="003629AA">
        <w:t>includ</w:t>
      </w:r>
      <w:r w:rsidR="00C221AF">
        <w:t>ed the:</w:t>
      </w:r>
    </w:p>
    <w:p w14:paraId="64328015" w14:textId="7B6F34C9" w:rsidR="00F13F46" w:rsidRDefault="003629AA" w:rsidP="007F418E">
      <w:pPr>
        <w:pStyle w:val="ListParagraph"/>
        <w:numPr>
          <w:ilvl w:val="0"/>
          <w:numId w:val="22"/>
        </w:numPr>
        <w:spacing w:after="0" w:line="240" w:lineRule="auto"/>
        <w:ind w:left="714" w:hanging="357"/>
      </w:pPr>
      <w:r w:rsidRPr="00D03209">
        <w:t>Australia and New Zealand Academy of Eating Disorders</w:t>
      </w:r>
    </w:p>
    <w:p w14:paraId="77431EA7" w14:textId="77777777" w:rsidR="00BD2C51" w:rsidRDefault="003629AA" w:rsidP="007F418E">
      <w:pPr>
        <w:pStyle w:val="ListParagraph"/>
        <w:numPr>
          <w:ilvl w:val="0"/>
          <w:numId w:val="22"/>
        </w:numPr>
        <w:spacing w:after="0" w:line="240" w:lineRule="auto"/>
        <w:ind w:left="714" w:hanging="357"/>
      </w:pPr>
      <w:r w:rsidRPr="00D03209">
        <w:t xml:space="preserve">InsideOut Institute (formerly Centre for Eating and Eating Disorders) </w:t>
      </w:r>
    </w:p>
    <w:p w14:paraId="40DB4812" w14:textId="7454E0DB" w:rsidR="00F13F46" w:rsidRDefault="003629AA" w:rsidP="007F418E">
      <w:pPr>
        <w:pStyle w:val="ListParagraph"/>
        <w:numPr>
          <w:ilvl w:val="0"/>
          <w:numId w:val="22"/>
        </w:numPr>
        <w:spacing w:after="0" w:line="240" w:lineRule="auto"/>
        <w:ind w:left="714" w:hanging="357"/>
      </w:pPr>
      <w:r w:rsidRPr="00D03209">
        <w:t>National Eating Disorders Collaboration</w:t>
      </w:r>
    </w:p>
    <w:p w14:paraId="15E4D8F8" w14:textId="05BA6C4B" w:rsidR="00F13F46" w:rsidRDefault="00D03209" w:rsidP="007F418E">
      <w:pPr>
        <w:pStyle w:val="ListParagraph"/>
        <w:numPr>
          <w:ilvl w:val="0"/>
          <w:numId w:val="22"/>
        </w:numPr>
        <w:spacing w:after="0" w:line="240" w:lineRule="auto"/>
        <w:ind w:left="714" w:hanging="357"/>
      </w:pPr>
      <w:r w:rsidRPr="00D03209">
        <w:t>B</w:t>
      </w:r>
      <w:r w:rsidR="003629AA" w:rsidRPr="00D03209">
        <w:t>utterfly Foundation</w:t>
      </w:r>
    </w:p>
    <w:p w14:paraId="27FBDAE5" w14:textId="147A928E" w:rsidR="00F13F46" w:rsidRDefault="003629AA" w:rsidP="007F418E">
      <w:pPr>
        <w:pStyle w:val="ListParagraph"/>
        <w:numPr>
          <w:ilvl w:val="0"/>
          <w:numId w:val="22"/>
        </w:numPr>
        <w:spacing w:after="0" w:line="240" w:lineRule="auto"/>
        <w:ind w:left="714" w:hanging="357"/>
      </w:pPr>
      <w:r w:rsidRPr="00D03209">
        <w:t>Consumers Health Forum</w:t>
      </w:r>
    </w:p>
    <w:p w14:paraId="0DAB5960" w14:textId="6187910C" w:rsidR="00F13F46" w:rsidRDefault="00D03209" w:rsidP="007F418E">
      <w:pPr>
        <w:pStyle w:val="ListParagraph"/>
        <w:numPr>
          <w:ilvl w:val="0"/>
          <w:numId w:val="22"/>
        </w:numPr>
        <w:spacing w:after="0" w:line="240" w:lineRule="auto"/>
        <w:ind w:left="714" w:hanging="357"/>
      </w:pPr>
      <w:r w:rsidRPr="00D03209">
        <w:t>Australian Association of Social Workers</w:t>
      </w:r>
    </w:p>
    <w:p w14:paraId="1559231A" w14:textId="6DE99770" w:rsidR="00F13F46" w:rsidRDefault="00D03209" w:rsidP="007F418E">
      <w:pPr>
        <w:pStyle w:val="ListParagraph"/>
        <w:numPr>
          <w:ilvl w:val="0"/>
          <w:numId w:val="22"/>
        </w:numPr>
        <w:spacing w:after="0" w:line="240" w:lineRule="auto"/>
        <w:ind w:left="714" w:hanging="357"/>
      </w:pPr>
      <w:r w:rsidRPr="00D03209">
        <w:t xml:space="preserve">Australian </w:t>
      </w:r>
      <w:r w:rsidR="00C221AF">
        <w:t>Clinical Psychology Association</w:t>
      </w:r>
    </w:p>
    <w:p w14:paraId="4B7DD3F2" w14:textId="7DCE0F2B" w:rsidR="00F13F46" w:rsidRPr="00F13F46" w:rsidRDefault="00F13F46" w:rsidP="007F418E">
      <w:pPr>
        <w:pStyle w:val="ListParagraph"/>
        <w:numPr>
          <w:ilvl w:val="0"/>
          <w:numId w:val="22"/>
        </w:numPr>
        <w:spacing w:after="0" w:line="240" w:lineRule="auto"/>
        <w:ind w:left="714" w:hanging="357"/>
        <w:rPr>
          <w:rFonts w:asciiTheme="minorHAnsi" w:hAnsiTheme="minorHAnsi" w:cstheme="minorHAnsi"/>
        </w:rPr>
      </w:pPr>
      <w:r>
        <w:t>Australian Psychological Society</w:t>
      </w:r>
    </w:p>
    <w:p w14:paraId="1A3813FE" w14:textId="255F730E" w:rsidR="00F74DFC" w:rsidRPr="00AB59D2" w:rsidRDefault="003629AA" w:rsidP="007F418E">
      <w:pPr>
        <w:pStyle w:val="ListParagraph"/>
        <w:numPr>
          <w:ilvl w:val="0"/>
          <w:numId w:val="22"/>
        </w:numPr>
        <w:spacing w:after="0" w:line="240" w:lineRule="auto"/>
        <w:ind w:left="714" w:hanging="357"/>
        <w:rPr>
          <w:rFonts w:asciiTheme="minorHAnsi" w:hAnsiTheme="minorHAnsi" w:cstheme="minorHAnsi"/>
        </w:rPr>
      </w:pPr>
      <w:r w:rsidRPr="00F13F46">
        <w:rPr>
          <w:rFonts w:asciiTheme="minorHAnsi" w:hAnsiTheme="minorHAnsi" w:cstheme="minorHAnsi"/>
        </w:rPr>
        <w:t>Royal Australasian College of Physicians</w:t>
      </w:r>
      <w:r w:rsidR="00F74DFC">
        <w:t xml:space="preserve"> </w:t>
      </w:r>
    </w:p>
    <w:p w14:paraId="59CDA6BE" w14:textId="42DAA53E" w:rsidR="00AB59D2" w:rsidRPr="00EA5651" w:rsidRDefault="00AB59D2" w:rsidP="00AB59D2">
      <w:pPr>
        <w:pStyle w:val="ListParagraph"/>
        <w:numPr>
          <w:ilvl w:val="0"/>
          <w:numId w:val="22"/>
        </w:numPr>
        <w:spacing w:after="0" w:line="240" w:lineRule="auto"/>
        <w:ind w:left="714" w:hanging="357"/>
        <w:rPr>
          <w:rFonts w:asciiTheme="minorHAnsi" w:hAnsiTheme="minorHAnsi" w:cstheme="minorHAnsi"/>
        </w:rPr>
      </w:pPr>
      <w:r>
        <w:rPr>
          <w:rFonts w:cs="Segoe UI"/>
          <w:color w:val="212529"/>
          <w:sz w:val="21"/>
          <w:lang w:val="en"/>
        </w:rPr>
        <w:t>The Royal Australian College of General Practitioners</w:t>
      </w:r>
    </w:p>
    <w:p w14:paraId="59020B3F" w14:textId="64074B38" w:rsidR="00EA5651" w:rsidRPr="00F13F46" w:rsidRDefault="00EA5651" w:rsidP="00AB59D2">
      <w:pPr>
        <w:pStyle w:val="ListParagraph"/>
        <w:numPr>
          <w:ilvl w:val="0"/>
          <w:numId w:val="22"/>
        </w:numPr>
        <w:spacing w:after="0" w:line="240" w:lineRule="auto"/>
        <w:ind w:left="714" w:hanging="357"/>
        <w:rPr>
          <w:rFonts w:asciiTheme="minorHAnsi" w:hAnsiTheme="minorHAnsi" w:cstheme="minorHAnsi"/>
        </w:rPr>
      </w:pPr>
      <w:r>
        <w:rPr>
          <w:rFonts w:cs="Segoe UI"/>
          <w:color w:val="212529"/>
          <w:sz w:val="21"/>
          <w:lang w:val="en"/>
        </w:rPr>
        <w:t>Royal Australian and New Zealand College of Psychiatrists</w:t>
      </w:r>
    </w:p>
    <w:p w14:paraId="516882CA" w14:textId="77777777" w:rsidR="00595BBD" w:rsidRDefault="00595BBD" w:rsidP="00AB53A4">
      <w:pPr>
        <w:pStyle w:val="Heading2"/>
      </w:pPr>
      <w:r w:rsidRPr="001A7FB7">
        <w:t>How will the changes be monitored</w:t>
      </w:r>
      <w:r w:rsidR="000367AA">
        <w:t xml:space="preserve"> and reviewed</w:t>
      </w:r>
      <w:r w:rsidRPr="001A7FB7">
        <w:t>?</w:t>
      </w:r>
    </w:p>
    <w:p w14:paraId="6146B44E" w14:textId="2371C176" w:rsidR="00D31D4D" w:rsidRPr="001A5EF6" w:rsidRDefault="00D31D4D" w:rsidP="00D31D4D">
      <w:r>
        <w:t>Eating Disorder</w:t>
      </w:r>
      <w:r w:rsidRPr="001A5EF6">
        <w:t xml:space="preserve"> items will be subject to MBS compliance processes and activities, including random and targeted audits which may require a provider to submit evidence about the services claimed. </w:t>
      </w:r>
    </w:p>
    <w:p w14:paraId="707FF836" w14:textId="42EAA113" w:rsidR="00D31D4D" w:rsidRDefault="00D31D4D" w:rsidP="00D31D4D">
      <w:r w:rsidRPr="001A5EF6">
        <w:lastRenderedPageBreak/>
        <w:t>Significant variation from forecasted expenditure may warrant review and amendment of fees, and incorrect use of MBS items can result in penalties including the health professional being asked to repay monies that have been incorrectly received.</w:t>
      </w:r>
    </w:p>
    <w:p w14:paraId="202EF2F9" w14:textId="35882DAC" w:rsidR="00D31D4D" w:rsidRPr="00D31D4D" w:rsidRDefault="00D31D4D" w:rsidP="00D31D4D">
      <w:r>
        <w:t>T</w:t>
      </w:r>
      <w:r w:rsidRPr="00D31D4D">
        <w:t>he new items will be reviewed after 12 months to assess whether the items are operating as intended for patients, providers and the Government.</w:t>
      </w:r>
    </w:p>
    <w:p w14:paraId="05AB2707" w14:textId="77777777" w:rsidR="00F93F71" w:rsidRDefault="00F93F71" w:rsidP="00AB53A4">
      <w:pPr>
        <w:pStyle w:val="Heading2"/>
      </w:pPr>
      <w:r>
        <w:t>Where can I find more information?</w:t>
      </w:r>
    </w:p>
    <w:p w14:paraId="1204E879" w14:textId="7892F0EE" w:rsidR="00D6302E" w:rsidRDefault="00D6302E" w:rsidP="00151636">
      <w:r>
        <w:t>The full item descriptor</w:t>
      </w:r>
      <w:r w:rsidR="005E1472">
        <w:t>(s)</w:t>
      </w:r>
      <w:r>
        <w:t xml:space="preserve"> and</w:t>
      </w:r>
      <w:r w:rsidRPr="007E14C4">
        <w:t xml:space="preserve"> information on other changes to the MBS</w:t>
      </w:r>
      <w:r>
        <w:t xml:space="preserve"> </w:t>
      </w:r>
      <w:r w:rsidR="000553EE">
        <w:t xml:space="preserve">will </w:t>
      </w:r>
      <w:r>
        <w:t xml:space="preserve">be </w:t>
      </w:r>
      <w:r w:rsidR="000553EE">
        <w:t xml:space="preserve">made available </w:t>
      </w:r>
      <w:r w:rsidR="00ED1055">
        <w:t>on the</w:t>
      </w:r>
      <w:r w:rsidR="0018507E">
        <w:t xml:space="preserve"> </w:t>
      </w:r>
      <w:r w:rsidR="00141BC3" w:rsidRPr="003122B4">
        <w:t>MBS Online</w:t>
      </w:r>
      <w:r w:rsidR="0018507E">
        <w:t xml:space="preserve"> </w:t>
      </w:r>
      <w:r w:rsidR="00ED1055">
        <w:t xml:space="preserve">website at </w:t>
      </w:r>
      <w:hyperlink r:id="rId17" w:history="1">
        <w:r w:rsidR="00420023" w:rsidRPr="00820A5A">
          <w:rPr>
            <w:rStyle w:val="Hyperlink"/>
          </w:rPr>
          <w:t>www.mbsonline.gov.au</w:t>
        </w:r>
      </w:hyperlink>
      <w:r w:rsidR="000553EE" w:rsidRPr="000553EE">
        <w:rPr>
          <w:rStyle w:val="Hyperlink"/>
          <w:u w:val="none"/>
        </w:rPr>
        <w:t xml:space="preserve"> </w:t>
      </w:r>
      <w:r w:rsidR="000553EE">
        <w:t>in coming weeks</w:t>
      </w:r>
      <w:r w:rsidR="00C221AF">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615734E2"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14:paraId="6994B484" w14:textId="77777777" w:rsidR="00B378D4" w:rsidRDefault="00B378D4">
      <w:r>
        <w:t>Subscribe to ‘</w:t>
      </w:r>
      <w:hyperlink r:id="rId20" w:history="1">
        <w:r w:rsidRPr="00B378D4">
          <w:rPr>
            <w:rStyle w:val="Hyperlink"/>
          </w:rPr>
          <w:t>News for Health Professionals</w:t>
        </w:r>
      </w:hyperlink>
      <w:r>
        <w:t>’ on the Department of Human Services website and you will receive regular news highlights.</w:t>
      </w:r>
    </w:p>
    <w:p w14:paraId="08DE13CF" w14:textId="77777777"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14:paraId="4AAA963C" w14:textId="75FDF256" w:rsidR="008A6F4F" w:rsidRDefault="008A6F4F">
      <w:r>
        <w:t xml:space="preserve">The data file for software vendors is expected to become available </w:t>
      </w:r>
      <w:r w:rsidR="000553EE">
        <w:t xml:space="preserve">in October </w:t>
      </w:r>
      <w:r w:rsidR="004978E7">
        <w:t xml:space="preserve">2019 </w:t>
      </w:r>
      <w:r w:rsidR="002427E0">
        <w:t xml:space="preserve">and </w:t>
      </w:r>
      <w:r w:rsidR="000553EE">
        <w:t xml:space="preserve">will be </w:t>
      </w:r>
      <w:r w:rsidR="002427E0">
        <w:t xml:space="preserve">accessed via the MBS Online website under the </w:t>
      </w:r>
      <w:hyperlink r:id="rId21" w:history="1">
        <w:r w:rsidR="002427E0" w:rsidRPr="002427E0">
          <w:rPr>
            <w:rStyle w:val="Hyperlink"/>
          </w:rPr>
          <w:t>Downloads</w:t>
        </w:r>
      </w:hyperlink>
      <w:r w:rsidR="002427E0">
        <w:t xml:space="preserve"> page.</w:t>
      </w:r>
    </w:p>
    <w:p w14:paraId="0D5251D1" w14:textId="77777777" w:rsidR="00656F11" w:rsidRDefault="00656F11" w:rsidP="005E1472"/>
    <w:p w14:paraId="2A19867C"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049086F"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7CD54570" w14:textId="77777777" w:rsidR="00656F11" w:rsidRPr="00F50994" w:rsidRDefault="00656F11" w:rsidP="005E1472">
      <w:pPr>
        <w:rPr>
          <w:szCs w:val="20"/>
        </w:rPr>
      </w:pPr>
    </w:p>
    <w:sectPr w:rsidR="00656F11" w:rsidRPr="00F50994" w:rsidSect="007F418E">
      <w:type w:val="continuous"/>
      <w:pgSz w:w="11906" w:h="16838"/>
      <w:pgMar w:top="3261" w:right="720" w:bottom="720" w:left="720" w:header="708"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D01BF" w14:textId="77777777" w:rsidR="0088610A" w:rsidRDefault="0088610A" w:rsidP="006D1088">
      <w:pPr>
        <w:spacing w:after="0" w:line="240" w:lineRule="auto"/>
      </w:pPr>
      <w:r>
        <w:separator/>
      </w:r>
    </w:p>
  </w:endnote>
  <w:endnote w:type="continuationSeparator" w:id="0">
    <w:p w14:paraId="3437A44B" w14:textId="77777777" w:rsidR="0088610A" w:rsidRDefault="0088610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6032" w14:textId="77777777" w:rsidR="009B32BA" w:rsidRDefault="00CC0AC2" w:rsidP="009B32BA">
    <w:pPr>
      <w:pStyle w:val="Footer"/>
    </w:pPr>
    <w:r>
      <w:rPr>
        <w:rStyle w:val="BookTitle"/>
        <w:noProof/>
      </w:rPr>
      <w:pict w14:anchorId="72369F4B">
        <v:rect id="_x0000_i1025" style="width:523.3pt;height:1.9pt" o:hralign="center" o:hrstd="t" o:hr="t" fillcolor="#a0a0a0" stroked="f"/>
      </w:pict>
    </w:r>
    <w:r w:rsidR="009B32BA">
      <w:t>Medicare Benefits Schedule</w:t>
    </w:r>
  </w:p>
  <w:p w14:paraId="0EA915C4" w14:textId="3A1E041B" w:rsidR="009B32BA" w:rsidRDefault="007F418E" w:rsidP="009B32BA">
    <w:pPr>
      <w:pStyle w:val="Footer"/>
      <w:tabs>
        <w:tab w:val="clear" w:pos="9026"/>
        <w:tab w:val="right" w:pos="10466"/>
      </w:tabs>
    </w:pPr>
    <w:r>
      <w:rPr>
        <w:b/>
      </w:rPr>
      <w:t>Eating Disorders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CC0AC2">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CC0AC2">
                  <w:rPr>
                    <w:bCs/>
                    <w:noProof/>
                  </w:rPr>
                  <w:t>3</w:t>
                </w:r>
                <w:r w:rsidR="009B32BA" w:rsidRPr="00F546CA">
                  <w:rPr>
                    <w:bCs/>
                    <w:sz w:val="24"/>
                    <w:szCs w:val="24"/>
                  </w:rPr>
                  <w:fldChar w:fldCharType="end"/>
                </w:r>
              </w:sdtContent>
            </w:sdt>
          </w:sdtContent>
        </w:sdt>
        <w:r w:rsidR="009B32BA">
          <w:t xml:space="preserve"> </w:t>
        </w:r>
      </w:sdtContent>
    </w:sdt>
  </w:p>
  <w:p w14:paraId="07B4AB25" w14:textId="77777777" w:rsidR="009B32BA" w:rsidRDefault="00CC0AC2">
    <w:pPr>
      <w:pStyle w:val="Footer"/>
      <w:rPr>
        <w:rStyle w:val="Hyperlink"/>
        <w:szCs w:val="18"/>
      </w:rPr>
    </w:pPr>
    <w:hyperlink r:id="rId1" w:history="1">
      <w:r w:rsidR="009B32BA" w:rsidRPr="00E863C4">
        <w:rPr>
          <w:rStyle w:val="Hyperlink"/>
          <w:szCs w:val="18"/>
        </w:rPr>
        <w:t>MBS Online</w:t>
      </w:r>
    </w:hyperlink>
  </w:p>
  <w:p w14:paraId="391651A1" w14:textId="2820CA35" w:rsidR="00570B62" w:rsidRPr="009B32BA" w:rsidRDefault="00570B62">
    <w:pPr>
      <w:pStyle w:val="Footer"/>
      <w:rPr>
        <w:szCs w:val="18"/>
      </w:rPr>
    </w:pPr>
    <w:r w:rsidRPr="00870B05">
      <w:t>Last updated</w:t>
    </w:r>
    <w:r>
      <w:t xml:space="preserve"> – </w:t>
    </w:r>
    <w:r w:rsidR="00CC0AC2">
      <w:t>8</w:t>
    </w:r>
    <w:r w:rsidR="00EA5651">
      <w:t xml:space="preserve"> October</w:t>
    </w:r>
    <w:r>
      <w:t xml:space="preserve"> 20</w:t>
    </w:r>
    <w:r w:rsidR="007F418E">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23106" w14:textId="77777777" w:rsidR="0088610A" w:rsidRDefault="0088610A" w:rsidP="006D1088">
      <w:pPr>
        <w:spacing w:after="0" w:line="240" w:lineRule="auto"/>
      </w:pPr>
      <w:r>
        <w:separator/>
      </w:r>
    </w:p>
  </w:footnote>
  <w:footnote w:type="continuationSeparator" w:id="0">
    <w:p w14:paraId="60970999" w14:textId="77777777" w:rsidR="0088610A" w:rsidRDefault="0088610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A75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3CCA47F0" wp14:editId="3736900A">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489E660"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CCA47F0"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3489E660"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43409EE8" wp14:editId="211D0ADE">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21C2666"/>
    <w:multiLevelType w:val="hybridMultilevel"/>
    <w:tmpl w:val="C532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4F4B55"/>
    <w:multiLevelType w:val="hybridMultilevel"/>
    <w:tmpl w:val="A78AD71E"/>
    <w:lvl w:ilvl="0" w:tplc="7B1C3FCE">
      <w:start w:val="1"/>
      <w:numFmt w:val="bullet"/>
      <w:lvlText w:val=""/>
      <w:lvlJc w:val="left"/>
      <w:pPr>
        <w:ind w:left="720" w:hanging="360"/>
      </w:pPr>
      <w:rPr>
        <w:rFonts w:ascii="Symbol" w:hAnsi="Symbol" w:hint="default"/>
      </w:rPr>
    </w:lvl>
    <w:lvl w:ilvl="1" w:tplc="14127102" w:tentative="1">
      <w:start w:val="1"/>
      <w:numFmt w:val="bullet"/>
      <w:lvlText w:val="o"/>
      <w:lvlJc w:val="left"/>
      <w:pPr>
        <w:ind w:left="1440" w:hanging="360"/>
      </w:pPr>
      <w:rPr>
        <w:rFonts w:ascii="Courier New" w:hAnsi="Courier New" w:cs="Courier New" w:hint="default"/>
      </w:rPr>
    </w:lvl>
    <w:lvl w:ilvl="2" w:tplc="F0EC2CD4" w:tentative="1">
      <w:start w:val="1"/>
      <w:numFmt w:val="bullet"/>
      <w:lvlText w:val=""/>
      <w:lvlJc w:val="left"/>
      <w:pPr>
        <w:ind w:left="2160" w:hanging="360"/>
      </w:pPr>
      <w:rPr>
        <w:rFonts w:ascii="Wingdings" w:hAnsi="Wingdings" w:hint="default"/>
      </w:rPr>
    </w:lvl>
    <w:lvl w:ilvl="3" w:tplc="36E2D110" w:tentative="1">
      <w:start w:val="1"/>
      <w:numFmt w:val="bullet"/>
      <w:lvlText w:val=""/>
      <w:lvlJc w:val="left"/>
      <w:pPr>
        <w:ind w:left="2880" w:hanging="360"/>
      </w:pPr>
      <w:rPr>
        <w:rFonts w:ascii="Symbol" w:hAnsi="Symbol" w:hint="default"/>
      </w:rPr>
    </w:lvl>
    <w:lvl w:ilvl="4" w:tplc="F014C426" w:tentative="1">
      <w:start w:val="1"/>
      <w:numFmt w:val="bullet"/>
      <w:lvlText w:val="o"/>
      <w:lvlJc w:val="left"/>
      <w:pPr>
        <w:ind w:left="3600" w:hanging="360"/>
      </w:pPr>
      <w:rPr>
        <w:rFonts w:ascii="Courier New" w:hAnsi="Courier New" w:cs="Courier New" w:hint="default"/>
      </w:rPr>
    </w:lvl>
    <w:lvl w:ilvl="5" w:tplc="8C1A2C62" w:tentative="1">
      <w:start w:val="1"/>
      <w:numFmt w:val="bullet"/>
      <w:lvlText w:val=""/>
      <w:lvlJc w:val="left"/>
      <w:pPr>
        <w:ind w:left="4320" w:hanging="360"/>
      </w:pPr>
      <w:rPr>
        <w:rFonts w:ascii="Wingdings" w:hAnsi="Wingdings" w:hint="default"/>
      </w:rPr>
    </w:lvl>
    <w:lvl w:ilvl="6" w:tplc="272C0DB4" w:tentative="1">
      <w:start w:val="1"/>
      <w:numFmt w:val="bullet"/>
      <w:lvlText w:val=""/>
      <w:lvlJc w:val="left"/>
      <w:pPr>
        <w:ind w:left="5040" w:hanging="360"/>
      </w:pPr>
      <w:rPr>
        <w:rFonts w:ascii="Symbol" w:hAnsi="Symbol" w:hint="default"/>
      </w:rPr>
    </w:lvl>
    <w:lvl w:ilvl="7" w:tplc="2998385E" w:tentative="1">
      <w:start w:val="1"/>
      <w:numFmt w:val="bullet"/>
      <w:lvlText w:val="o"/>
      <w:lvlJc w:val="left"/>
      <w:pPr>
        <w:ind w:left="5760" w:hanging="360"/>
      </w:pPr>
      <w:rPr>
        <w:rFonts w:ascii="Courier New" w:hAnsi="Courier New" w:cs="Courier New" w:hint="default"/>
      </w:rPr>
    </w:lvl>
    <w:lvl w:ilvl="8" w:tplc="EDC085C6" w:tentative="1">
      <w:start w:val="1"/>
      <w:numFmt w:val="bullet"/>
      <w:lvlText w:val=""/>
      <w:lvlJc w:val="left"/>
      <w:pPr>
        <w:ind w:left="6480" w:hanging="360"/>
      </w:pPr>
      <w:rPr>
        <w:rFonts w:ascii="Wingdings" w:hAnsi="Wingdings" w:hint="default"/>
      </w:rPr>
    </w:lvl>
  </w:abstractNum>
  <w:abstractNum w:abstractNumId="13" w15:restartNumberingAfterBreak="0">
    <w:nsid w:val="49D36EFA"/>
    <w:multiLevelType w:val="hybridMultilevel"/>
    <w:tmpl w:val="893E77D6"/>
    <w:lvl w:ilvl="0" w:tplc="EB34C47A">
      <w:start w:val="1"/>
      <w:numFmt w:val="bullet"/>
      <w:lvlText w:val=""/>
      <w:lvlJc w:val="left"/>
      <w:pPr>
        <w:ind w:left="720" w:hanging="360"/>
      </w:pPr>
      <w:rPr>
        <w:rFonts w:ascii="Symbol" w:hAnsi="Symbol" w:hint="default"/>
      </w:rPr>
    </w:lvl>
    <w:lvl w:ilvl="1" w:tplc="02F27AF2" w:tentative="1">
      <w:start w:val="1"/>
      <w:numFmt w:val="bullet"/>
      <w:lvlText w:val="o"/>
      <w:lvlJc w:val="left"/>
      <w:pPr>
        <w:ind w:left="1440" w:hanging="360"/>
      </w:pPr>
      <w:rPr>
        <w:rFonts w:ascii="Courier New" w:hAnsi="Courier New" w:cs="Courier New" w:hint="default"/>
      </w:rPr>
    </w:lvl>
    <w:lvl w:ilvl="2" w:tplc="26CE26C0" w:tentative="1">
      <w:start w:val="1"/>
      <w:numFmt w:val="bullet"/>
      <w:lvlText w:val=""/>
      <w:lvlJc w:val="left"/>
      <w:pPr>
        <w:ind w:left="2160" w:hanging="360"/>
      </w:pPr>
      <w:rPr>
        <w:rFonts w:ascii="Wingdings" w:hAnsi="Wingdings" w:hint="default"/>
      </w:rPr>
    </w:lvl>
    <w:lvl w:ilvl="3" w:tplc="1D84A13E" w:tentative="1">
      <w:start w:val="1"/>
      <w:numFmt w:val="bullet"/>
      <w:lvlText w:val=""/>
      <w:lvlJc w:val="left"/>
      <w:pPr>
        <w:ind w:left="2880" w:hanging="360"/>
      </w:pPr>
      <w:rPr>
        <w:rFonts w:ascii="Symbol" w:hAnsi="Symbol" w:hint="default"/>
      </w:rPr>
    </w:lvl>
    <w:lvl w:ilvl="4" w:tplc="5AD2AB92" w:tentative="1">
      <w:start w:val="1"/>
      <w:numFmt w:val="bullet"/>
      <w:lvlText w:val="o"/>
      <w:lvlJc w:val="left"/>
      <w:pPr>
        <w:ind w:left="3600" w:hanging="360"/>
      </w:pPr>
      <w:rPr>
        <w:rFonts w:ascii="Courier New" w:hAnsi="Courier New" w:cs="Courier New" w:hint="default"/>
      </w:rPr>
    </w:lvl>
    <w:lvl w:ilvl="5" w:tplc="8E3E6D28" w:tentative="1">
      <w:start w:val="1"/>
      <w:numFmt w:val="bullet"/>
      <w:lvlText w:val=""/>
      <w:lvlJc w:val="left"/>
      <w:pPr>
        <w:ind w:left="4320" w:hanging="360"/>
      </w:pPr>
      <w:rPr>
        <w:rFonts w:ascii="Wingdings" w:hAnsi="Wingdings" w:hint="default"/>
      </w:rPr>
    </w:lvl>
    <w:lvl w:ilvl="6" w:tplc="19BED956" w:tentative="1">
      <w:start w:val="1"/>
      <w:numFmt w:val="bullet"/>
      <w:lvlText w:val=""/>
      <w:lvlJc w:val="left"/>
      <w:pPr>
        <w:ind w:left="5040" w:hanging="360"/>
      </w:pPr>
      <w:rPr>
        <w:rFonts w:ascii="Symbol" w:hAnsi="Symbol" w:hint="default"/>
      </w:rPr>
    </w:lvl>
    <w:lvl w:ilvl="7" w:tplc="6A2EE982" w:tentative="1">
      <w:start w:val="1"/>
      <w:numFmt w:val="bullet"/>
      <w:lvlText w:val="o"/>
      <w:lvlJc w:val="left"/>
      <w:pPr>
        <w:ind w:left="5760" w:hanging="360"/>
      </w:pPr>
      <w:rPr>
        <w:rFonts w:ascii="Courier New" w:hAnsi="Courier New" w:cs="Courier New" w:hint="default"/>
      </w:rPr>
    </w:lvl>
    <w:lvl w:ilvl="8" w:tplc="A3DEED02" w:tentative="1">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70911C0"/>
    <w:multiLevelType w:val="hybridMultilevel"/>
    <w:tmpl w:val="C6A89C9A"/>
    <w:lvl w:ilvl="0" w:tplc="F9C0DE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7736B94"/>
    <w:multiLevelType w:val="hybridMultilevel"/>
    <w:tmpl w:val="14A8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0"/>
  </w:num>
  <w:num w:numId="16">
    <w:abstractNumId w:val="15"/>
  </w:num>
  <w:num w:numId="17">
    <w:abstractNumId w:val="10"/>
  </w:num>
  <w:num w:numId="18">
    <w:abstractNumId w:val="16"/>
  </w:num>
  <w:num w:numId="19">
    <w:abstractNumId w:val="10"/>
  </w:num>
  <w:num w:numId="20">
    <w:abstractNumId w:val="12"/>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0A"/>
    <w:rsid w:val="000074DD"/>
    <w:rsid w:val="000367AA"/>
    <w:rsid w:val="00045810"/>
    <w:rsid w:val="000553EE"/>
    <w:rsid w:val="00081B97"/>
    <w:rsid w:val="000A2F0A"/>
    <w:rsid w:val="000B01AE"/>
    <w:rsid w:val="000B2A1B"/>
    <w:rsid w:val="000C2143"/>
    <w:rsid w:val="000C3B83"/>
    <w:rsid w:val="000D1778"/>
    <w:rsid w:val="000F4701"/>
    <w:rsid w:val="001014EB"/>
    <w:rsid w:val="00102885"/>
    <w:rsid w:val="00121100"/>
    <w:rsid w:val="00124E0B"/>
    <w:rsid w:val="00130343"/>
    <w:rsid w:val="00135417"/>
    <w:rsid w:val="00141BC3"/>
    <w:rsid w:val="001432AF"/>
    <w:rsid w:val="00151636"/>
    <w:rsid w:val="00155BD4"/>
    <w:rsid w:val="00160BB3"/>
    <w:rsid w:val="00167446"/>
    <w:rsid w:val="0017279A"/>
    <w:rsid w:val="00181B52"/>
    <w:rsid w:val="0018507E"/>
    <w:rsid w:val="0019170A"/>
    <w:rsid w:val="001A6FE6"/>
    <w:rsid w:val="001A7917"/>
    <w:rsid w:val="001A7FB7"/>
    <w:rsid w:val="001B5C9A"/>
    <w:rsid w:val="001C5C56"/>
    <w:rsid w:val="001E6F63"/>
    <w:rsid w:val="001F03B0"/>
    <w:rsid w:val="001F49E8"/>
    <w:rsid w:val="00200902"/>
    <w:rsid w:val="00203F3E"/>
    <w:rsid w:val="00221334"/>
    <w:rsid w:val="002427E0"/>
    <w:rsid w:val="00243D1C"/>
    <w:rsid w:val="0026502E"/>
    <w:rsid w:val="00276A29"/>
    <w:rsid w:val="00281820"/>
    <w:rsid w:val="00297253"/>
    <w:rsid w:val="002A3C7C"/>
    <w:rsid w:val="002A5A70"/>
    <w:rsid w:val="002B70AC"/>
    <w:rsid w:val="002D2CC5"/>
    <w:rsid w:val="002F23DA"/>
    <w:rsid w:val="00301CFA"/>
    <w:rsid w:val="003122B4"/>
    <w:rsid w:val="00336B4E"/>
    <w:rsid w:val="00337919"/>
    <w:rsid w:val="00342EF9"/>
    <w:rsid w:val="00345DC5"/>
    <w:rsid w:val="00352174"/>
    <w:rsid w:val="00355E8A"/>
    <w:rsid w:val="003629AA"/>
    <w:rsid w:val="00363819"/>
    <w:rsid w:val="00374AE3"/>
    <w:rsid w:val="003A52BA"/>
    <w:rsid w:val="003B56AD"/>
    <w:rsid w:val="003C2916"/>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978E7"/>
    <w:rsid w:val="004A1348"/>
    <w:rsid w:val="004B243F"/>
    <w:rsid w:val="004C2B08"/>
    <w:rsid w:val="004D2C7C"/>
    <w:rsid w:val="004D71C4"/>
    <w:rsid w:val="004E52A2"/>
    <w:rsid w:val="004F04EE"/>
    <w:rsid w:val="004F0AA6"/>
    <w:rsid w:val="00507EB9"/>
    <w:rsid w:val="00510063"/>
    <w:rsid w:val="005261D0"/>
    <w:rsid w:val="0054242B"/>
    <w:rsid w:val="00542F07"/>
    <w:rsid w:val="00543427"/>
    <w:rsid w:val="00550525"/>
    <w:rsid w:val="00550655"/>
    <w:rsid w:val="0056557C"/>
    <w:rsid w:val="00570B62"/>
    <w:rsid w:val="00595BBD"/>
    <w:rsid w:val="0059641E"/>
    <w:rsid w:val="005C1A77"/>
    <w:rsid w:val="005E1472"/>
    <w:rsid w:val="005F317A"/>
    <w:rsid w:val="00613376"/>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81867"/>
    <w:rsid w:val="007D1D3A"/>
    <w:rsid w:val="007E2604"/>
    <w:rsid w:val="007E33D2"/>
    <w:rsid w:val="007F418E"/>
    <w:rsid w:val="00834903"/>
    <w:rsid w:val="008352AC"/>
    <w:rsid w:val="00852651"/>
    <w:rsid w:val="008553F7"/>
    <w:rsid w:val="00864E28"/>
    <w:rsid w:val="008766AD"/>
    <w:rsid w:val="00881219"/>
    <w:rsid w:val="0088610A"/>
    <w:rsid w:val="008957B9"/>
    <w:rsid w:val="008A00E6"/>
    <w:rsid w:val="008A6F4F"/>
    <w:rsid w:val="008B1D9C"/>
    <w:rsid w:val="008B505E"/>
    <w:rsid w:val="008E258C"/>
    <w:rsid w:val="008E4C9B"/>
    <w:rsid w:val="008E7B7C"/>
    <w:rsid w:val="008F1594"/>
    <w:rsid w:val="008F4B45"/>
    <w:rsid w:val="009000AA"/>
    <w:rsid w:val="00907B4A"/>
    <w:rsid w:val="0091706C"/>
    <w:rsid w:val="00942A31"/>
    <w:rsid w:val="009542F2"/>
    <w:rsid w:val="00954B81"/>
    <w:rsid w:val="009562F4"/>
    <w:rsid w:val="00977405"/>
    <w:rsid w:val="00984036"/>
    <w:rsid w:val="009858E2"/>
    <w:rsid w:val="00987CC5"/>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3A90"/>
    <w:rsid w:val="00AA41CD"/>
    <w:rsid w:val="00AA5232"/>
    <w:rsid w:val="00AA69A9"/>
    <w:rsid w:val="00AB53A4"/>
    <w:rsid w:val="00AB59D2"/>
    <w:rsid w:val="00AE2F7E"/>
    <w:rsid w:val="00B06E28"/>
    <w:rsid w:val="00B15CE8"/>
    <w:rsid w:val="00B1784A"/>
    <w:rsid w:val="00B2044B"/>
    <w:rsid w:val="00B23A4C"/>
    <w:rsid w:val="00B31FBA"/>
    <w:rsid w:val="00B337C1"/>
    <w:rsid w:val="00B3670C"/>
    <w:rsid w:val="00B378D4"/>
    <w:rsid w:val="00B3793F"/>
    <w:rsid w:val="00B542FB"/>
    <w:rsid w:val="00B714E8"/>
    <w:rsid w:val="00B83E3D"/>
    <w:rsid w:val="00B90DB5"/>
    <w:rsid w:val="00BA0109"/>
    <w:rsid w:val="00BA7CA8"/>
    <w:rsid w:val="00BB25DE"/>
    <w:rsid w:val="00BC50C1"/>
    <w:rsid w:val="00BD1C20"/>
    <w:rsid w:val="00BD2649"/>
    <w:rsid w:val="00BD2C51"/>
    <w:rsid w:val="00BE2018"/>
    <w:rsid w:val="00BE505F"/>
    <w:rsid w:val="00BF00A9"/>
    <w:rsid w:val="00BF426F"/>
    <w:rsid w:val="00C0126E"/>
    <w:rsid w:val="00C11326"/>
    <w:rsid w:val="00C131D7"/>
    <w:rsid w:val="00C13ABA"/>
    <w:rsid w:val="00C221AF"/>
    <w:rsid w:val="00C4491F"/>
    <w:rsid w:val="00C61A31"/>
    <w:rsid w:val="00C66700"/>
    <w:rsid w:val="00CA5F76"/>
    <w:rsid w:val="00CC0AC2"/>
    <w:rsid w:val="00CC39C8"/>
    <w:rsid w:val="00CF45CC"/>
    <w:rsid w:val="00D03209"/>
    <w:rsid w:val="00D11EDB"/>
    <w:rsid w:val="00D16EF3"/>
    <w:rsid w:val="00D31D4D"/>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0791"/>
    <w:rsid w:val="00E7460D"/>
    <w:rsid w:val="00E8389A"/>
    <w:rsid w:val="00E919AD"/>
    <w:rsid w:val="00EA2CDC"/>
    <w:rsid w:val="00EA5651"/>
    <w:rsid w:val="00EC2DBE"/>
    <w:rsid w:val="00ED1055"/>
    <w:rsid w:val="00ED2B70"/>
    <w:rsid w:val="00ED60EE"/>
    <w:rsid w:val="00F074CE"/>
    <w:rsid w:val="00F07E89"/>
    <w:rsid w:val="00F13F46"/>
    <w:rsid w:val="00F16795"/>
    <w:rsid w:val="00F33D07"/>
    <w:rsid w:val="00F44760"/>
    <w:rsid w:val="00F50491"/>
    <w:rsid w:val="00F50994"/>
    <w:rsid w:val="00F74AD4"/>
    <w:rsid w:val="00F74DFC"/>
    <w:rsid w:val="00F93F71"/>
    <w:rsid w:val="00FB4DEF"/>
    <w:rsid w:val="00FC46D9"/>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1BB47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basedOn w:val="Normal"/>
    <w:next w:val="Normal"/>
    <w:link w:val="Heading3Char"/>
    <w:uiPriority w:val="9"/>
    <w:semiHidden/>
    <w:unhideWhenUsed/>
    <w:rsid w:val="003629AA"/>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Figure_name,List Paragraph1,Numbered Indented Text,Bullet- First level,List NUmber,Listenabsatz1,lp1,List Paragraph11,Bullet point,Bullets,CV text,Dot pt,F5 List Paragraph,FooterText,L,List Paragraph111,List Paragraph2,NAST Quote,列,リスト段落"/>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DHHSbody">
    <w:name w:val="DHHS body"/>
    <w:qFormat/>
    <w:rsid w:val="00B3670C"/>
    <w:pPr>
      <w:spacing w:after="120" w:line="270" w:lineRule="atLeast"/>
    </w:pPr>
    <w:rPr>
      <w:rFonts w:ascii="Arial" w:eastAsia="Times" w:hAnsi="Arial" w:cs="Times New Roman"/>
      <w:sz w:val="20"/>
      <w:szCs w:val="20"/>
    </w:rPr>
  </w:style>
  <w:style w:type="character" w:customStyle="1" w:styleId="ListParagraphChar">
    <w:name w:val="List Paragraph Char"/>
    <w:aliases w:val="Figure_name Char,List Paragraph1 Char,Numbered Indented Text Char,Bullet- First level Char,List NUmber Char,Listenabsatz1 Char,lp1 Char,List Paragraph11 Char,Bullet point Char,Bullets Char,CV text Char,Dot pt Char,FooterText Char"/>
    <w:link w:val="ListParagraph"/>
    <w:uiPriority w:val="34"/>
    <w:locked/>
    <w:rsid w:val="00301CFA"/>
    <w:rPr>
      <w:rFonts w:ascii="Arial" w:eastAsiaTheme="minorEastAsia" w:hAnsi="Arial"/>
      <w:sz w:val="20"/>
      <w:szCs w:val="21"/>
    </w:rPr>
  </w:style>
  <w:style w:type="character" w:customStyle="1" w:styleId="Heading3Char">
    <w:name w:val="Heading 3 Char"/>
    <w:basedOn w:val="DefaultParagraphFont"/>
    <w:link w:val="Heading3"/>
    <w:uiPriority w:val="9"/>
    <w:semiHidden/>
    <w:rsid w:val="003629AA"/>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540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www.mbsonline.gov.au/" TargetMode="External"/><Relationship Id="rId3" Type="http://schemas.openxmlformats.org/officeDocument/2006/relationships/customXml" Target="../customXml/item3.xml"/><Relationship Id="rId21" Type="http://schemas.openxmlformats.org/officeDocument/2006/relationships/hyperlink" Target="https://protect-au.mimecast.com/s/YGuBCWLVnwSNGEDUxwHa2?domain=mbsonline.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1.health.gov.au/internet/main/publishing.nsf/Content/MBSR-closed-consu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skMBS@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SSA\AppData\Local\Hewlett-Packard\HP%20TRIM\TEMP\HPTRIM.13612\D19-765396%20%20Factsheet%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F2369729-DF80-4B8A-A689-02F021C983F4"/>
    <ds:schemaRef ds:uri="http://purl.org/dc/elements/1.1/"/>
    <ds:schemaRef ds:uri="http://schemas.microsoft.com/office/2006/metadata/properties"/>
    <ds:schemaRef ds:uri="http://schemas.microsoft.com/office/2006/documentManagement/typ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85756B8-D854-47FD-8BC8-B1BBDD02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D19-765396  Factsheet template</Template>
  <TotalTime>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2019-10-07T22:32:00Z</dcterms:created>
  <dcterms:modified xsi:type="dcterms:W3CDTF">2019-10-08T00:59:00Z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