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73C8456" w:rsidR="00BA2732" w:rsidRPr="00421975" w:rsidRDefault="00B75B59" w:rsidP="00421975">
      <w:pPr>
        <w:pStyle w:val="Title"/>
      </w:pPr>
      <w:r w:rsidRPr="00421975">
        <w:t xml:space="preserve">Family and Carer </w:t>
      </w:r>
      <w:r w:rsidR="00CF365A" w:rsidRPr="00421975">
        <w:t>Participation</w:t>
      </w:r>
      <w:r w:rsidRPr="00421975">
        <w:t xml:space="preserve"> under the Better Access Initiative</w:t>
      </w:r>
    </w:p>
    <w:p w14:paraId="6EFD4B5B" w14:textId="25D21DEA" w:rsidR="00064168" w:rsidRPr="00867595" w:rsidRDefault="00064168" w:rsidP="006F5073">
      <w:bookmarkStart w:id="0" w:name="_Hlk4568006"/>
      <w:r w:rsidRPr="00867595">
        <w:t xml:space="preserve">Last updated: </w:t>
      </w:r>
      <w:r w:rsidR="00D950FF">
        <w:t>10 February</w:t>
      </w:r>
      <w:r w:rsidR="00D05E2C">
        <w:t xml:space="preserve"> </w:t>
      </w:r>
      <w:r w:rsidRPr="00867595">
        <w:t>20</w:t>
      </w:r>
      <w:r w:rsidR="00B75B59">
        <w:t>23</w:t>
      </w:r>
    </w:p>
    <w:p w14:paraId="24C2D88B" w14:textId="19DC3736" w:rsidR="00064168" w:rsidRPr="00867595" w:rsidRDefault="00680100" w:rsidP="00680100">
      <w:pPr>
        <w:pStyle w:val="ListBullet"/>
        <w:numPr>
          <w:ilvl w:val="0"/>
          <w:numId w:val="0"/>
        </w:numPr>
      </w:pPr>
      <w:bookmarkStart w:id="1" w:name="_Hlk126766565"/>
      <w:bookmarkEnd w:id="0"/>
      <w:r>
        <w:t>From</w:t>
      </w:r>
      <w:r w:rsidR="00B75B59">
        <w:t xml:space="preserve"> </w:t>
      </w:r>
      <w:r w:rsidR="00CF365A">
        <w:t>1</w:t>
      </w:r>
      <w:r w:rsidR="00B75B59">
        <w:t xml:space="preserve"> March 2023</w:t>
      </w:r>
      <w:r>
        <w:t>, new Medicare Benefit Schedule (MBS) items</w:t>
      </w:r>
      <w:r w:rsidR="00B75B59">
        <w:t xml:space="preserve"> </w:t>
      </w:r>
      <w:r w:rsidR="00D950FF">
        <w:t>are</w:t>
      </w:r>
      <w:r>
        <w:t xml:space="preserve"> </w:t>
      </w:r>
      <w:r w:rsidR="00856EC3">
        <w:t>available</w:t>
      </w:r>
      <w:r w:rsidR="00B75B59">
        <w:t xml:space="preserve"> to facilitate family and carer</w:t>
      </w:r>
      <w:r>
        <w:t xml:space="preserve"> </w:t>
      </w:r>
      <w:r w:rsidR="00B75B59">
        <w:t xml:space="preserve">participation in </w:t>
      </w:r>
      <w:r w:rsidR="00006B8B">
        <w:t xml:space="preserve">a patient’s </w:t>
      </w:r>
      <w:r>
        <w:t xml:space="preserve">mental health </w:t>
      </w:r>
      <w:r w:rsidR="00B75B59">
        <w:t xml:space="preserve">treatment under the </w:t>
      </w:r>
      <w:r w:rsidR="00B75B59" w:rsidRPr="00741A9E">
        <w:rPr>
          <w:i/>
          <w:iCs/>
        </w:rPr>
        <w:t>Better Access to Psychiatrists, Psychologists and General Practitioners through the MBS</w:t>
      </w:r>
      <w:r w:rsidR="00581A71" w:rsidRPr="00741A9E">
        <w:rPr>
          <w:i/>
          <w:iCs/>
        </w:rPr>
        <w:t xml:space="preserve"> initiative</w:t>
      </w:r>
      <w:r w:rsidR="00B75B59">
        <w:rPr>
          <w:i/>
          <w:iCs/>
        </w:rPr>
        <w:t xml:space="preserve"> </w:t>
      </w:r>
      <w:r w:rsidR="00B75B59">
        <w:t>(Better Access</w:t>
      </w:r>
      <w:r w:rsidR="00856EC3">
        <w:t xml:space="preserve">) initiative. </w:t>
      </w:r>
      <w:r>
        <w:t xml:space="preserve"> </w:t>
      </w:r>
    </w:p>
    <w:bookmarkEnd w:id="1"/>
    <w:p w14:paraId="44460BF5" w14:textId="77777777" w:rsidR="00064168" w:rsidRPr="00867595" w:rsidRDefault="00064168" w:rsidP="00421975">
      <w:pPr>
        <w:pStyle w:val="FactsheetH1"/>
      </w:pPr>
      <w:r w:rsidRPr="00867595">
        <w:t>What are the changes?</w:t>
      </w:r>
    </w:p>
    <w:p w14:paraId="4595BFEE" w14:textId="7A397ED9" w:rsidR="001703CB" w:rsidRDefault="00680100" w:rsidP="00CA5F8B">
      <w:r>
        <w:rPr>
          <w:szCs w:val="22"/>
        </w:rPr>
        <w:t xml:space="preserve">From </w:t>
      </w:r>
      <w:r w:rsidR="00CF365A">
        <w:t>1</w:t>
      </w:r>
      <w:r w:rsidR="00D05E2C">
        <w:t xml:space="preserve"> March 2023</w:t>
      </w:r>
      <w:r w:rsidR="00064168" w:rsidRPr="00867595">
        <w:rPr>
          <w:szCs w:val="22"/>
        </w:rPr>
        <w:t xml:space="preserve">, there </w:t>
      </w:r>
      <w:bookmarkStart w:id="2" w:name="_Hlk535507068"/>
      <w:r w:rsidR="00064168" w:rsidRPr="00867595">
        <w:rPr>
          <w:szCs w:val="22"/>
        </w:rPr>
        <w:t xml:space="preserve">will be </w:t>
      </w:r>
      <w:r w:rsidR="00666B0F">
        <w:rPr>
          <w:szCs w:val="22"/>
        </w:rPr>
        <w:t xml:space="preserve">48 </w:t>
      </w:r>
      <w:r w:rsidR="00741A9E">
        <w:rPr>
          <w:szCs w:val="22"/>
        </w:rPr>
        <w:t>new</w:t>
      </w:r>
      <w:r w:rsidR="00666B0F">
        <w:rPr>
          <w:szCs w:val="22"/>
        </w:rPr>
        <w:t xml:space="preserve"> time-tiered</w:t>
      </w:r>
      <w:r w:rsidR="00741A9E">
        <w:rPr>
          <w:szCs w:val="22"/>
        </w:rPr>
        <w:t xml:space="preserve"> MBS items </w:t>
      </w:r>
      <w:bookmarkStart w:id="3" w:name="_Hlk126769083"/>
      <w:bookmarkEnd w:id="2"/>
      <w:r w:rsidR="00CA5F8B">
        <w:rPr>
          <w:szCs w:val="22"/>
        </w:rPr>
        <w:t>to</w:t>
      </w:r>
      <w:r w:rsidR="00666B0F">
        <w:t xml:space="preserve"> allow providers</w:t>
      </w:r>
      <w:r w:rsidR="00064168" w:rsidRPr="00867595">
        <w:t xml:space="preserve"> </w:t>
      </w:r>
      <w:r w:rsidR="00CF365A">
        <w:t>to deliver</w:t>
      </w:r>
      <w:r w:rsidR="001703CB">
        <w:t xml:space="preserve"> up t</w:t>
      </w:r>
      <w:r w:rsidR="00F425D3">
        <w:t xml:space="preserve">o </w:t>
      </w:r>
      <w:r w:rsidR="001703CB">
        <w:t>two Medicare-subsidised services per calendar year, to a person other than the patient, where:</w:t>
      </w:r>
    </w:p>
    <w:p w14:paraId="69224657" w14:textId="6463D097" w:rsidR="001703CB" w:rsidRDefault="001703CB" w:rsidP="009840E5">
      <w:pPr>
        <w:pStyle w:val="ListBullet"/>
      </w:pPr>
      <w:r>
        <w:t xml:space="preserve">The patient has been referred for </w:t>
      </w:r>
      <w:r w:rsidR="007E6BA6">
        <w:t>B</w:t>
      </w:r>
      <w:r>
        <w:t xml:space="preserve">etter Access services (for allied health </w:t>
      </w:r>
      <w:r w:rsidR="005D067B">
        <w:t xml:space="preserve">practitioner </w:t>
      </w:r>
      <w:r>
        <w:t>delivering these services)</w:t>
      </w:r>
      <w:r w:rsidR="0038066B">
        <w:t>,</w:t>
      </w:r>
    </w:p>
    <w:p w14:paraId="0D468142" w14:textId="530B0742" w:rsidR="001703CB" w:rsidRDefault="001703CB" w:rsidP="009840E5">
      <w:pPr>
        <w:pStyle w:val="ListBullet"/>
      </w:pPr>
      <w:r>
        <w:t>The treating or referring practitioner determines it is clinically appropriate,</w:t>
      </w:r>
    </w:p>
    <w:p w14:paraId="69EB9ABD" w14:textId="64460D3D" w:rsidR="001703CB" w:rsidRDefault="001703CB" w:rsidP="009840E5">
      <w:pPr>
        <w:pStyle w:val="ListBullet"/>
      </w:pPr>
      <w:r>
        <w:t>The patient consents for the service to be provided to the person as part of their treatment</w:t>
      </w:r>
      <w:r w:rsidR="0038066B">
        <w:t>,</w:t>
      </w:r>
    </w:p>
    <w:p w14:paraId="5FE269A9" w14:textId="68B1ED99" w:rsidR="00064168" w:rsidRDefault="001703CB" w:rsidP="009840E5">
      <w:pPr>
        <w:pStyle w:val="ListBullet"/>
      </w:pPr>
      <w:r>
        <w:t xml:space="preserve">The service is part of the </w:t>
      </w:r>
      <w:r w:rsidR="00DD58E3">
        <w:t>patient’s</w:t>
      </w:r>
      <w:r>
        <w:t xml:space="preserve"> treatment, and</w:t>
      </w:r>
    </w:p>
    <w:p w14:paraId="631F8EE6" w14:textId="55DD31E0" w:rsidR="001703CB" w:rsidRDefault="001703CB" w:rsidP="009840E5">
      <w:pPr>
        <w:pStyle w:val="ListBullet"/>
      </w:pPr>
      <w:r>
        <w:t>The patient is not in attendance.</w:t>
      </w:r>
    </w:p>
    <w:p w14:paraId="1C48C106" w14:textId="770E217C" w:rsidR="00642C06" w:rsidRDefault="00642C06" w:rsidP="009840E5">
      <w:pPr>
        <w:pStyle w:val="ListBullet"/>
        <w:numPr>
          <w:ilvl w:val="0"/>
          <w:numId w:val="0"/>
        </w:numPr>
        <w:spacing w:before="240"/>
      </w:pPr>
      <w:r>
        <w:t xml:space="preserve">These items are not available to admitted hospital patients.  </w:t>
      </w:r>
    </w:p>
    <w:p w14:paraId="21CF4734" w14:textId="31BA6CD0" w:rsidR="00D57F68" w:rsidRPr="00867595" w:rsidRDefault="00D57F68" w:rsidP="00D57F68">
      <w:pPr>
        <w:pStyle w:val="ListBullet"/>
        <w:numPr>
          <w:ilvl w:val="0"/>
          <w:numId w:val="0"/>
        </w:numPr>
      </w:pPr>
      <w:r>
        <w:t>Further information, including a list of the new MBS items available can be found in Attachment A at the end of this factsheet and in explanatory note</w:t>
      </w:r>
      <w:r w:rsidR="00D950FF">
        <w:t xml:space="preserve"> AN.20.1, AN.7.31, </w:t>
      </w:r>
      <w:r>
        <w:t>MN.</w:t>
      </w:r>
      <w:r w:rsidR="00D950FF">
        <w:t xml:space="preserve">6.8 </w:t>
      </w:r>
      <w:r>
        <w:t>and MN.</w:t>
      </w:r>
      <w:r w:rsidR="00D950FF">
        <w:t>7.5</w:t>
      </w:r>
      <w:r>
        <w:t xml:space="preserve"> on the MBS Online webpage at: </w:t>
      </w:r>
      <w:hyperlink r:id="rId8" w:history="1">
        <w:r w:rsidR="00D260BB" w:rsidRPr="003A5ABB">
          <w:rPr>
            <w:rStyle w:val="Hyperlink"/>
          </w:rPr>
          <w:t>www.mbsonline.gov.au</w:t>
        </w:r>
      </w:hyperlink>
      <w:r w:rsidR="009840E5">
        <w:rPr>
          <w:rStyle w:val="Hyperlink"/>
          <w:u w:val="none"/>
        </w:rPr>
        <w:t xml:space="preserve">. </w:t>
      </w:r>
      <w:r w:rsidR="00D260BB">
        <w:t xml:space="preserve"> </w:t>
      </w:r>
    </w:p>
    <w:bookmarkEnd w:id="3"/>
    <w:p w14:paraId="42BD5171" w14:textId="5B5DCE99" w:rsidR="00064168" w:rsidRDefault="00064168" w:rsidP="00205B60">
      <w:pPr>
        <w:pStyle w:val="FactsheetH1"/>
      </w:pPr>
      <w:r w:rsidRPr="00205B60">
        <w:t>Why are the changes being made</w:t>
      </w:r>
      <w:r>
        <w:t>?</w:t>
      </w:r>
    </w:p>
    <w:p w14:paraId="30A7EB81" w14:textId="6C9782EF" w:rsidR="00B94677" w:rsidRDefault="00B94677" w:rsidP="00064168">
      <w:pPr>
        <w:rPr>
          <w:szCs w:val="22"/>
        </w:rPr>
      </w:pPr>
      <w:r>
        <w:rPr>
          <w:szCs w:val="22"/>
        </w:rPr>
        <w:t>The purpose of these changes is to:</w:t>
      </w:r>
    </w:p>
    <w:p w14:paraId="7978D0A3" w14:textId="58FC945F" w:rsidR="00064168" w:rsidRDefault="00C40059" w:rsidP="006F5073">
      <w:pPr>
        <w:pStyle w:val="ListBullet"/>
      </w:pPr>
      <w:r>
        <w:t>r</w:t>
      </w:r>
      <w:r w:rsidR="00CD4684">
        <w:t>ecognise the important role that family members and carers play in supporting patients with mental illness</w:t>
      </w:r>
      <w:r w:rsidR="00CF365A">
        <w:t>, and</w:t>
      </w:r>
    </w:p>
    <w:p w14:paraId="1AD3C856" w14:textId="359B9075" w:rsidR="00CF365A" w:rsidRPr="00DD58E3" w:rsidRDefault="00C40059" w:rsidP="00064168">
      <w:pPr>
        <w:pStyle w:val="ListBullet"/>
      </w:pPr>
      <w:r>
        <w:t>p</w:t>
      </w:r>
      <w:r w:rsidR="00804420">
        <w:t>ositively i</w:t>
      </w:r>
      <w:r w:rsidR="00581A71">
        <w:t xml:space="preserve">nvolve family and carers in a patient’s treatment </w:t>
      </w:r>
      <w:r w:rsidR="00804420">
        <w:t>and care</w:t>
      </w:r>
      <w:r w:rsidR="00581A71">
        <w:t>.</w:t>
      </w:r>
      <w:bookmarkStart w:id="4" w:name="_Hlk535386664"/>
    </w:p>
    <w:p w14:paraId="144C3AE2" w14:textId="78C0E310" w:rsidR="00064168" w:rsidRPr="00867595" w:rsidRDefault="00CD4684" w:rsidP="00064168">
      <w:pPr>
        <w:rPr>
          <w:szCs w:val="22"/>
        </w:rPr>
      </w:pPr>
      <w:r>
        <w:rPr>
          <w:szCs w:val="22"/>
        </w:rPr>
        <w:t xml:space="preserve">These changes were informed by recommendations from the Productivity Commission in its Inquiry into Mental Health, </w:t>
      </w:r>
      <w:r w:rsidR="00CF365A">
        <w:rPr>
          <w:szCs w:val="22"/>
        </w:rPr>
        <w:t>M</w:t>
      </w:r>
      <w:r>
        <w:rPr>
          <w:szCs w:val="22"/>
        </w:rPr>
        <w:t xml:space="preserve">BS </w:t>
      </w:r>
      <w:r w:rsidR="00CF365A">
        <w:rPr>
          <w:szCs w:val="22"/>
        </w:rPr>
        <w:t>R</w:t>
      </w:r>
      <w:r>
        <w:rPr>
          <w:szCs w:val="22"/>
        </w:rPr>
        <w:t xml:space="preserve">eview </w:t>
      </w:r>
      <w:r w:rsidR="00CF365A">
        <w:rPr>
          <w:szCs w:val="22"/>
        </w:rPr>
        <w:t>T</w:t>
      </w:r>
      <w:r>
        <w:rPr>
          <w:szCs w:val="22"/>
        </w:rPr>
        <w:t>askforce</w:t>
      </w:r>
      <w:r w:rsidR="00741A9E">
        <w:rPr>
          <w:szCs w:val="22"/>
        </w:rPr>
        <w:t xml:space="preserve"> and Better Access Evaluation</w:t>
      </w:r>
      <w:r>
        <w:rPr>
          <w:szCs w:val="22"/>
        </w:rPr>
        <w:t xml:space="preserve">. </w:t>
      </w:r>
    </w:p>
    <w:p w14:paraId="414A6549" w14:textId="77777777" w:rsidR="00CF365A" w:rsidRPr="00CF365A" w:rsidRDefault="00064168" w:rsidP="00CF365A">
      <w:pPr>
        <w:pStyle w:val="ListParagraph"/>
        <w:numPr>
          <w:ilvl w:val="0"/>
          <w:numId w:val="29"/>
        </w:numPr>
        <w:rPr>
          <w:szCs w:val="22"/>
        </w:rPr>
      </w:pPr>
      <w:r w:rsidRPr="00CF365A">
        <w:rPr>
          <w:szCs w:val="22"/>
        </w:rPr>
        <w:t xml:space="preserve">More information about the </w:t>
      </w:r>
      <w:r w:rsidR="00725A0E" w:rsidRPr="00CF365A">
        <w:rPr>
          <w:szCs w:val="22"/>
        </w:rPr>
        <w:t xml:space="preserve">Productivity Commission’s inquiry and a full copy of the inquiry report, is available at: </w:t>
      </w:r>
      <w:hyperlink r:id="rId9" w:history="1">
        <w:r w:rsidR="00EF0920">
          <w:rPr>
            <w:rStyle w:val="Hyperlink"/>
          </w:rPr>
          <w:t>www.pc.gov.au/inquiries/completed/mental-health/report</w:t>
        </w:r>
      </w:hyperlink>
      <w:r w:rsidR="00EF0920">
        <w:t xml:space="preserve">. </w:t>
      </w:r>
    </w:p>
    <w:p w14:paraId="0810EEF0" w14:textId="05D7C6C0" w:rsidR="00CF365A" w:rsidRPr="009840E5" w:rsidRDefault="00EF0920" w:rsidP="009840E5">
      <w:pPr>
        <w:pStyle w:val="ListParagraph"/>
        <w:numPr>
          <w:ilvl w:val="0"/>
          <w:numId w:val="29"/>
        </w:numPr>
        <w:rPr>
          <w:szCs w:val="22"/>
        </w:rPr>
      </w:pPr>
      <w:r>
        <w:lastRenderedPageBreak/>
        <w:t xml:space="preserve">More information about the Taskforce and associated Committees is available in </w:t>
      </w:r>
      <w:hyperlink r:id="rId10" w:history="1">
        <w:r w:rsidR="00064168" w:rsidRPr="00CF365A">
          <w:rPr>
            <w:rStyle w:val="Hyperlink"/>
            <w:szCs w:val="22"/>
          </w:rPr>
          <w:t>Medicare Benefits Schedule Review</w:t>
        </w:r>
      </w:hyperlink>
      <w:r w:rsidR="00064168" w:rsidRPr="00CF365A">
        <w:rPr>
          <w:szCs w:val="22"/>
        </w:rPr>
        <w:t xml:space="preserve"> in the consumer section of the </w:t>
      </w:r>
      <w:hyperlink r:id="rId11" w:history="1">
        <w:r w:rsidR="00CF365A" w:rsidRPr="00CF365A">
          <w:rPr>
            <w:rStyle w:val="Hyperlink"/>
            <w:szCs w:val="22"/>
          </w:rPr>
          <w:t>Department of Health and Aged Care website</w:t>
        </w:r>
      </w:hyperlink>
      <w:r w:rsidR="00064168" w:rsidRPr="00CF365A">
        <w:rPr>
          <w:szCs w:val="22"/>
        </w:rPr>
        <w:t xml:space="preserve">. </w:t>
      </w:r>
      <w:r w:rsidRPr="009840E5">
        <w:rPr>
          <w:szCs w:val="22"/>
        </w:rPr>
        <w:t xml:space="preserve">A full copy of the Primary Care Final Report is available at: </w:t>
      </w:r>
      <w:hyperlink r:id="rId12" w:history="1">
        <w:r>
          <w:rPr>
            <w:rStyle w:val="Hyperlink"/>
          </w:rPr>
          <w:t>www.health.gov.au/resources/publications/taskforce-final-report-primary-care</w:t>
        </w:r>
      </w:hyperlink>
      <w:r>
        <w:t>.</w:t>
      </w:r>
      <w:r w:rsidR="00741A9E">
        <w:t xml:space="preserve"> </w:t>
      </w:r>
    </w:p>
    <w:p w14:paraId="64FDCE47" w14:textId="6FB7C9AD" w:rsidR="00CF365A" w:rsidRPr="00CF365A" w:rsidRDefault="00CF365A" w:rsidP="00CF365A">
      <w:pPr>
        <w:pStyle w:val="ListParagraph"/>
        <w:numPr>
          <w:ilvl w:val="0"/>
          <w:numId w:val="29"/>
        </w:numPr>
        <w:rPr>
          <w:szCs w:val="22"/>
        </w:rPr>
      </w:pPr>
      <w:r>
        <w:t>More information about the evaluation and a</w:t>
      </w:r>
      <w:r w:rsidR="00741A9E">
        <w:t xml:space="preserve"> full copy of the Better Access Evaluation final report</w:t>
      </w:r>
      <w:r>
        <w:t>,</w:t>
      </w:r>
      <w:r w:rsidR="00741A9E">
        <w:t xml:space="preserve"> is available at: </w:t>
      </w:r>
      <w:hyperlink r:id="rId13" w:history="1">
        <w:r w:rsidRPr="00CA4178">
          <w:rPr>
            <w:rStyle w:val="Hyperlink"/>
          </w:rPr>
          <w:t>www.health.gov.au/our-work/better-access-evaluation</w:t>
        </w:r>
      </w:hyperlink>
      <w:r>
        <w:t xml:space="preserve">. </w:t>
      </w:r>
    </w:p>
    <w:bookmarkEnd w:id="4"/>
    <w:p w14:paraId="4B2559AC" w14:textId="4C22C06E" w:rsidR="00064168" w:rsidRDefault="00064168" w:rsidP="00205B60">
      <w:pPr>
        <w:pStyle w:val="FactsheetH1"/>
      </w:pPr>
      <w:r>
        <w:t>What does this mean for providers</w:t>
      </w:r>
      <w:r w:rsidR="00EF0920">
        <w:t>?</w:t>
      </w:r>
    </w:p>
    <w:p w14:paraId="67860CBB" w14:textId="46BD5ABE" w:rsidR="00A211A6" w:rsidRDefault="007062DE" w:rsidP="009840E5">
      <w:bookmarkStart w:id="5" w:name="_Hlk126769052"/>
      <w:r>
        <w:rPr>
          <w:rFonts w:cs="Arial"/>
          <w:szCs w:val="22"/>
        </w:rPr>
        <w:t xml:space="preserve">These MBS changes </w:t>
      </w:r>
      <w:r w:rsidR="00CA5F8B">
        <w:rPr>
          <w:rFonts w:cs="Arial"/>
          <w:szCs w:val="22"/>
        </w:rPr>
        <w:t xml:space="preserve">allow providers </w:t>
      </w:r>
      <w:r w:rsidR="00A211A6">
        <w:t xml:space="preserve">to deliver up to two Medicare-subsidised services per calendar year, to a person other than the patient, where the service </w:t>
      </w:r>
      <w:r w:rsidR="009840E5">
        <w:t>would form</w:t>
      </w:r>
      <w:r w:rsidR="00A211A6">
        <w:t xml:space="preserve"> part of the patient’s treatment and the patient has consented.</w:t>
      </w:r>
    </w:p>
    <w:p w14:paraId="3A8B5ADA" w14:textId="13278B67" w:rsidR="00D57F68" w:rsidRPr="00666B0F" w:rsidRDefault="00D57F68" w:rsidP="00205B60">
      <w:pPr>
        <w:pStyle w:val="FactsheetH2"/>
      </w:pPr>
      <w:r w:rsidRPr="00666B0F">
        <w:t>Who can provide these services</w:t>
      </w:r>
      <w:r w:rsidR="00666B0F">
        <w:t>?</w:t>
      </w:r>
    </w:p>
    <w:p w14:paraId="143EE6C5" w14:textId="5EEA0402" w:rsidR="00666B0F" w:rsidRDefault="00D57F68" w:rsidP="00F71515">
      <w:pPr>
        <w:rPr>
          <w:rFonts w:cs="Arial"/>
          <w:szCs w:val="22"/>
        </w:rPr>
      </w:pPr>
      <w:r>
        <w:rPr>
          <w:rFonts w:cs="Arial"/>
          <w:szCs w:val="22"/>
        </w:rPr>
        <w:t>Provider eligibility for these services is consistent with current eligibility for the provision of services under the Better Access</w:t>
      </w:r>
      <w:r w:rsidR="00666B0F">
        <w:rPr>
          <w:rFonts w:cs="Arial"/>
          <w:szCs w:val="22"/>
        </w:rPr>
        <w:t xml:space="preserve"> initiative.</w:t>
      </w:r>
      <w:r w:rsidR="005D067B">
        <w:rPr>
          <w:rFonts w:cs="Arial"/>
          <w:szCs w:val="22"/>
        </w:rPr>
        <w:t xml:space="preserve"> </w:t>
      </w:r>
      <w:r w:rsidR="00666B0F">
        <w:rPr>
          <w:rFonts w:cs="Arial"/>
          <w:szCs w:val="22"/>
        </w:rPr>
        <w:t>The new services can be delivered by:</w:t>
      </w:r>
    </w:p>
    <w:p w14:paraId="1DD2DA4F" w14:textId="442EAAFC" w:rsidR="00D57F68" w:rsidRDefault="00D57F68" w:rsidP="00D57F68">
      <w:pPr>
        <w:pStyle w:val="ListParagraph"/>
        <w:numPr>
          <w:ilvl w:val="0"/>
          <w:numId w:val="29"/>
        </w:numPr>
        <w:rPr>
          <w:rFonts w:cs="Arial"/>
          <w:szCs w:val="22"/>
        </w:rPr>
      </w:pPr>
      <w:r>
        <w:rPr>
          <w:rFonts w:cs="Arial"/>
          <w:szCs w:val="22"/>
        </w:rPr>
        <w:t xml:space="preserve">GPs </w:t>
      </w:r>
    </w:p>
    <w:p w14:paraId="4D6250C6" w14:textId="5BC61731" w:rsidR="00D57F68" w:rsidRDefault="00D57F68" w:rsidP="00D57F68">
      <w:pPr>
        <w:pStyle w:val="ListParagraph"/>
        <w:numPr>
          <w:ilvl w:val="0"/>
          <w:numId w:val="29"/>
        </w:numPr>
        <w:rPr>
          <w:rFonts w:cs="Arial"/>
          <w:szCs w:val="22"/>
        </w:rPr>
      </w:pPr>
      <w:r>
        <w:rPr>
          <w:rFonts w:cs="Arial"/>
          <w:szCs w:val="22"/>
        </w:rPr>
        <w:t>Other medical practitioners (OMPs)</w:t>
      </w:r>
    </w:p>
    <w:p w14:paraId="59748F56" w14:textId="06BC07AD" w:rsidR="00D57F68" w:rsidRDefault="00D57F68" w:rsidP="00D57F68">
      <w:pPr>
        <w:pStyle w:val="ListParagraph"/>
        <w:numPr>
          <w:ilvl w:val="0"/>
          <w:numId w:val="29"/>
        </w:numPr>
        <w:rPr>
          <w:rFonts w:cs="Arial"/>
          <w:szCs w:val="22"/>
        </w:rPr>
      </w:pPr>
      <w:r>
        <w:rPr>
          <w:rFonts w:cs="Arial"/>
          <w:szCs w:val="22"/>
        </w:rPr>
        <w:t>Clinical psychologists</w:t>
      </w:r>
    </w:p>
    <w:p w14:paraId="767F3EA7" w14:textId="1DF8F354" w:rsidR="00D57F68" w:rsidRDefault="005D067B" w:rsidP="00D57F68">
      <w:pPr>
        <w:pStyle w:val="ListParagraph"/>
        <w:numPr>
          <w:ilvl w:val="0"/>
          <w:numId w:val="29"/>
        </w:numPr>
        <w:rPr>
          <w:rFonts w:cs="Arial"/>
          <w:szCs w:val="22"/>
        </w:rPr>
      </w:pPr>
      <w:r>
        <w:rPr>
          <w:rFonts w:cs="Arial"/>
          <w:szCs w:val="22"/>
        </w:rPr>
        <w:t>P</w:t>
      </w:r>
      <w:r w:rsidR="00D57F68">
        <w:rPr>
          <w:rFonts w:cs="Arial"/>
          <w:szCs w:val="22"/>
        </w:rPr>
        <w:t>sychologists</w:t>
      </w:r>
    </w:p>
    <w:p w14:paraId="397E27E6" w14:textId="0C3BA6F4" w:rsidR="00D57F68" w:rsidRDefault="00D57F68" w:rsidP="00D57F68">
      <w:pPr>
        <w:pStyle w:val="ListParagraph"/>
        <w:numPr>
          <w:ilvl w:val="0"/>
          <w:numId w:val="29"/>
        </w:numPr>
        <w:rPr>
          <w:rFonts w:cs="Arial"/>
          <w:szCs w:val="22"/>
        </w:rPr>
      </w:pPr>
      <w:r>
        <w:rPr>
          <w:rFonts w:cs="Arial"/>
          <w:szCs w:val="22"/>
        </w:rPr>
        <w:t>Social workers</w:t>
      </w:r>
    </w:p>
    <w:p w14:paraId="67808D05" w14:textId="729BA0CC" w:rsidR="00D57F68" w:rsidRDefault="00D57F68" w:rsidP="00D57F68">
      <w:pPr>
        <w:pStyle w:val="ListParagraph"/>
        <w:numPr>
          <w:ilvl w:val="0"/>
          <w:numId w:val="29"/>
        </w:numPr>
        <w:rPr>
          <w:rFonts w:cs="Arial"/>
          <w:szCs w:val="22"/>
        </w:rPr>
      </w:pPr>
      <w:r>
        <w:rPr>
          <w:rFonts w:cs="Arial"/>
          <w:szCs w:val="22"/>
        </w:rPr>
        <w:t xml:space="preserve">Occupational therapists </w:t>
      </w:r>
    </w:p>
    <w:p w14:paraId="39B0F1B8" w14:textId="48509E25" w:rsidR="00666B0F" w:rsidRPr="00666B0F" w:rsidRDefault="00666B0F" w:rsidP="00666B0F">
      <w:pPr>
        <w:rPr>
          <w:rFonts w:cs="Arial"/>
          <w:szCs w:val="22"/>
        </w:rPr>
      </w:pPr>
      <w:r>
        <w:t xml:space="preserve">Specific eligibility criteria for allied mental health </w:t>
      </w:r>
      <w:r w:rsidR="005D067B">
        <w:t>practitioners</w:t>
      </w:r>
      <w:r>
        <w:t xml:space="preserve"> is set out in MBS explanatory notes MN.7.1 and MN.6.4</w:t>
      </w:r>
      <w:r w:rsidR="005D067B">
        <w:t>,</w:t>
      </w:r>
      <w:r>
        <w:t xml:space="preserve"> GPs in AN.0.57</w:t>
      </w:r>
      <w:r w:rsidR="005D067B">
        <w:t xml:space="preserve">, </w:t>
      </w:r>
      <w:r>
        <w:t xml:space="preserve">and OMPs </w:t>
      </w:r>
      <w:r w:rsidR="005D067B">
        <w:t>in</w:t>
      </w:r>
      <w:r>
        <w:t xml:space="preserve"> AN.7.23</w:t>
      </w:r>
      <w:r w:rsidR="005D067B">
        <w:t xml:space="preserve">. </w:t>
      </w:r>
    </w:p>
    <w:bookmarkEnd w:id="5"/>
    <w:p w14:paraId="75228DCE" w14:textId="3DA87577" w:rsidR="00F71515" w:rsidRDefault="00F71515" w:rsidP="00205B60">
      <w:pPr>
        <w:pStyle w:val="FactsheetH2"/>
      </w:pPr>
      <w:r w:rsidRPr="00F71515">
        <w:t xml:space="preserve">Who can refer </w:t>
      </w:r>
      <w:r w:rsidR="00CF365A">
        <w:t xml:space="preserve">for </w:t>
      </w:r>
      <w:r w:rsidRPr="00F71515">
        <w:t>family and carer sessions?</w:t>
      </w:r>
    </w:p>
    <w:p w14:paraId="14384AC3" w14:textId="77777777" w:rsidR="005D067B" w:rsidRDefault="005524BD" w:rsidP="00AD6F87">
      <w:r>
        <w:t>Services provided under the</w:t>
      </w:r>
      <w:r w:rsidR="005D067B">
        <w:t>se MBS</w:t>
      </w:r>
      <w:r>
        <w:t xml:space="preserve"> items </w:t>
      </w:r>
      <w:r w:rsidR="005D067B">
        <w:t xml:space="preserve">must </w:t>
      </w:r>
      <w:r>
        <w:t>form part of the patient’s treatment under Better Access.</w:t>
      </w:r>
      <w:r w:rsidR="005D067B">
        <w:t xml:space="preserve"> </w:t>
      </w:r>
    </w:p>
    <w:p w14:paraId="6F5C37F7" w14:textId="080A7507" w:rsidR="006F799C" w:rsidRDefault="00F71515" w:rsidP="00CF365A">
      <w:pPr>
        <w:spacing w:after="0"/>
      </w:pPr>
      <w:r>
        <w:t>To be eligible</w:t>
      </w:r>
      <w:r w:rsidR="004868E5">
        <w:t xml:space="preserve">, the patient must have been referred by: </w:t>
      </w:r>
    </w:p>
    <w:p w14:paraId="1D4B5DF8" w14:textId="3D49D405" w:rsidR="004868E5" w:rsidRDefault="004868E5" w:rsidP="004868E5">
      <w:pPr>
        <w:pStyle w:val="ListBullet"/>
      </w:pPr>
      <w:r>
        <w:t>a medical practitioner as part of a mental health treatment plan or psychiatrist assessment and management plan; or</w:t>
      </w:r>
    </w:p>
    <w:p w14:paraId="612A630B" w14:textId="4E937390" w:rsidR="004868E5" w:rsidRDefault="004868E5" w:rsidP="004868E5">
      <w:pPr>
        <w:pStyle w:val="ListBullet"/>
      </w:pPr>
      <w:r>
        <w:t>a psychiatrist; or</w:t>
      </w:r>
    </w:p>
    <w:p w14:paraId="37EF746F" w14:textId="2806E250" w:rsidR="00CF365A" w:rsidRDefault="004868E5" w:rsidP="006646FA">
      <w:pPr>
        <w:pStyle w:val="ListBullet"/>
      </w:pPr>
      <w:r>
        <w:t>a paediatrician.</w:t>
      </w:r>
    </w:p>
    <w:p w14:paraId="6BC330C3" w14:textId="7E7518AF" w:rsidR="005524BD" w:rsidRDefault="004868E5" w:rsidP="005C4A38">
      <w:pPr>
        <w:pStyle w:val="ListBullet"/>
        <w:numPr>
          <w:ilvl w:val="0"/>
          <w:numId w:val="0"/>
        </w:numPr>
      </w:pPr>
      <w:r>
        <w:t xml:space="preserve">The referring practitioner can indicate in the patient’s mental health treatment plan, psychiatrist assessment and management plan or referral if it would be clinically appropriate for sessions to be delivered to another person as part of the patient’s treatment. </w:t>
      </w:r>
    </w:p>
    <w:p w14:paraId="12E6D6A9" w14:textId="15879710" w:rsidR="005D067B" w:rsidRDefault="005D067B" w:rsidP="005C4A38">
      <w:pPr>
        <w:pStyle w:val="ListBullet"/>
        <w:numPr>
          <w:ilvl w:val="0"/>
          <w:numId w:val="0"/>
        </w:numPr>
      </w:pPr>
      <w:r>
        <w:t>T</w:t>
      </w:r>
      <w:r w:rsidR="002779C0">
        <w:t>he</w:t>
      </w:r>
      <w:r w:rsidR="005524BD">
        <w:t xml:space="preserve"> treating allied mental health </w:t>
      </w:r>
      <w:r>
        <w:t xml:space="preserve">practitioners </w:t>
      </w:r>
      <w:r w:rsidR="005524BD">
        <w:t>can</w:t>
      </w:r>
      <w:r>
        <w:t xml:space="preserve"> also</w:t>
      </w:r>
      <w:r w:rsidR="005524BD">
        <w:t xml:space="preserve"> use their </w:t>
      </w:r>
      <w:r w:rsidR="002779C0">
        <w:t xml:space="preserve">judgement to determine if it </w:t>
      </w:r>
      <w:r>
        <w:t>would be</w:t>
      </w:r>
      <w:r w:rsidR="002779C0">
        <w:t xml:space="preserve"> clinically appropriate to </w:t>
      </w:r>
      <w:r w:rsidR="00CA5F8B">
        <w:t>provide the service</w:t>
      </w:r>
      <w:r w:rsidR="00642C06">
        <w:t xml:space="preserve"> to the patient’s family or carer</w:t>
      </w:r>
      <w:r w:rsidR="002779C0">
        <w:t xml:space="preserve">. This should be recorded in the patient’s </w:t>
      </w:r>
      <w:r w:rsidR="00A614B3">
        <w:t>note</w:t>
      </w:r>
      <w:r w:rsidR="002779C0">
        <w:t xml:space="preserve">s. </w:t>
      </w:r>
    </w:p>
    <w:p w14:paraId="2C3A2A52" w14:textId="2EE6503B" w:rsidR="002779C0" w:rsidRDefault="005D067B" w:rsidP="005C4A38">
      <w:pPr>
        <w:pStyle w:val="ListBullet"/>
        <w:numPr>
          <w:ilvl w:val="0"/>
          <w:numId w:val="0"/>
        </w:numPr>
      </w:pPr>
      <w:r>
        <w:lastRenderedPageBreak/>
        <w:t>Relevant</w:t>
      </w:r>
      <w:r w:rsidR="002779C0">
        <w:t xml:space="preserve"> information should also be provided to the patient’s referring practitioner in the report provided </w:t>
      </w:r>
      <w:r>
        <w:t>at the end of</w:t>
      </w:r>
      <w:r w:rsidR="002779C0">
        <w:t xml:space="preserve"> the patient’s course of treatment. </w:t>
      </w:r>
    </w:p>
    <w:p w14:paraId="640DD236" w14:textId="5BFA1585" w:rsidR="004868E5" w:rsidRDefault="00CF365A" w:rsidP="00205B60">
      <w:pPr>
        <w:pStyle w:val="FactsheetH2"/>
      </w:pPr>
      <w:r>
        <w:t xml:space="preserve">When </w:t>
      </w:r>
      <w:r w:rsidR="005C4A38">
        <w:t>is</w:t>
      </w:r>
      <w:r>
        <w:t xml:space="preserve"> involving </w:t>
      </w:r>
      <w:r w:rsidR="005C4A38">
        <w:t xml:space="preserve">family </w:t>
      </w:r>
      <w:r w:rsidR="003E68C8">
        <w:t>or carers</w:t>
      </w:r>
      <w:r w:rsidR="005C4A38">
        <w:t xml:space="preserve"> </w:t>
      </w:r>
      <w:r>
        <w:t>in treatment appropriate</w:t>
      </w:r>
      <w:r w:rsidR="004868E5" w:rsidRPr="00F71515">
        <w:t>?</w:t>
      </w:r>
    </w:p>
    <w:p w14:paraId="307B5B47" w14:textId="6D4DD853" w:rsidR="005C4A38" w:rsidRDefault="006F799C" w:rsidP="00AD6F87">
      <w:pPr>
        <w:pStyle w:val="ListBullet"/>
        <w:numPr>
          <w:ilvl w:val="0"/>
          <w:numId w:val="0"/>
        </w:numPr>
        <w:spacing w:before="120" w:after="120"/>
      </w:pPr>
      <w:r>
        <w:t>Either the referring practitioner or the treating allied mental health practitioner should</w:t>
      </w:r>
      <w:r w:rsidR="005C4A38">
        <w:t xml:space="preserve"> use their professional judgement to determine if it is clinically appropriate</w:t>
      </w:r>
      <w:r>
        <w:t xml:space="preserve"> </w:t>
      </w:r>
      <w:r w:rsidR="005C4A38">
        <w:t xml:space="preserve">to provide </w:t>
      </w:r>
      <w:r>
        <w:t xml:space="preserve">the service to the patient’s family member or carer. </w:t>
      </w:r>
    </w:p>
    <w:p w14:paraId="26723F48" w14:textId="7B63C77D" w:rsidR="006F799C" w:rsidRDefault="001A194C" w:rsidP="00AD6F87">
      <w:pPr>
        <w:pStyle w:val="ListBullet"/>
        <w:numPr>
          <w:ilvl w:val="0"/>
          <w:numId w:val="0"/>
        </w:numPr>
        <w:spacing w:before="120"/>
      </w:pPr>
      <w:r>
        <w:t>Discussions with a patient around their significant relationships</w:t>
      </w:r>
      <w:r w:rsidR="0007562D">
        <w:t xml:space="preserve"> and </w:t>
      </w:r>
      <w:r>
        <w:t xml:space="preserve">to what extent </w:t>
      </w:r>
      <w:r w:rsidR="0007562D">
        <w:t>they want family members, carer</w:t>
      </w:r>
      <w:r w:rsidR="007062DE">
        <w:t>s</w:t>
      </w:r>
      <w:r w:rsidR="0007562D">
        <w:t xml:space="preserve"> and other support people</w:t>
      </w:r>
      <w:r>
        <w:t xml:space="preserve"> involved in their care may assist in determining if </w:t>
      </w:r>
      <w:r w:rsidR="005D067B">
        <w:t>these services would be</w:t>
      </w:r>
      <w:r>
        <w:t xml:space="preserve"> clinically appropriate. This should be recorded in </w:t>
      </w:r>
      <w:r w:rsidR="00CF365A">
        <w:t>the</w:t>
      </w:r>
      <w:r>
        <w:t xml:space="preserve"> patient’s </w:t>
      </w:r>
      <w:r w:rsidR="005D067B">
        <w:t>notes</w:t>
      </w:r>
      <w:r>
        <w:t>.</w:t>
      </w:r>
      <w:r w:rsidR="006F799C" w:rsidRPr="006F799C">
        <w:t xml:space="preserve"> </w:t>
      </w:r>
    </w:p>
    <w:p w14:paraId="30F606C7" w14:textId="0AF26CF3" w:rsidR="005C4A38" w:rsidRDefault="005C4A38" w:rsidP="00205B60">
      <w:pPr>
        <w:pStyle w:val="FactsheetH2"/>
      </w:pPr>
      <w:bookmarkStart w:id="6" w:name="_Hlk126943377"/>
      <w:r>
        <w:t xml:space="preserve">How </w:t>
      </w:r>
      <w:r w:rsidR="00E341F6">
        <w:t>do I obtain consent from a patient</w:t>
      </w:r>
      <w:r>
        <w:t>?</w:t>
      </w:r>
    </w:p>
    <w:bookmarkEnd w:id="6"/>
    <w:p w14:paraId="0BB2A646" w14:textId="138B3FCD" w:rsidR="00006B8B" w:rsidRDefault="005C4A38" w:rsidP="00AD6F87">
      <w:r>
        <w:t xml:space="preserve">The patient must consent to the other person receiving services using </w:t>
      </w:r>
      <w:r w:rsidR="003E68C8">
        <w:t>these</w:t>
      </w:r>
      <w:r>
        <w:t xml:space="preserve"> MBS items. The eligible</w:t>
      </w:r>
      <w:r w:rsidR="006F799C">
        <w:t xml:space="preserve"> allied</w:t>
      </w:r>
      <w:r>
        <w:t xml:space="preserve"> </w:t>
      </w:r>
      <w:r w:rsidR="006F799C">
        <w:t xml:space="preserve">mental health </w:t>
      </w:r>
      <w:r>
        <w:t>practitioner providing the services must:</w:t>
      </w:r>
    </w:p>
    <w:p w14:paraId="4C293DC6" w14:textId="4796D33A" w:rsidR="005C4A38" w:rsidRDefault="005C4A38" w:rsidP="005C4A38">
      <w:pPr>
        <w:pStyle w:val="ListBullet"/>
      </w:pPr>
      <w:r>
        <w:t>explain the service to the patient</w:t>
      </w:r>
    </w:p>
    <w:p w14:paraId="0032228E" w14:textId="018D309B" w:rsidR="005C4A38" w:rsidRDefault="005C4A38" w:rsidP="005C4A38">
      <w:pPr>
        <w:pStyle w:val="ListBullet"/>
      </w:pPr>
      <w:r>
        <w:t>obtain the patient’s consent for the service to</w:t>
      </w:r>
      <w:r w:rsidR="00581A71">
        <w:t xml:space="preserve"> be</w:t>
      </w:r>
      <w:r>
        <w:t xml:space="preserve"> provided to the other person as part of the patient’s treatment</w:t>
      </w:r>
    </w:p>
    <w:p w14:paraId="73D00F15" w14:textId="5CBF19B4" w:rsidR="00006B8B" w:rsidRDefault="005C4A38" w:rsidP="00CA5F8B">
      <w:pPr>
        <w:pStyle w:val="ListBullet"/>
      </w:pPr>
      <w:r>
        <w:t>make a written record of the patient’s consent.</w:t>
      </w:r>
    </w:p>
    <w:p w14:paraId="357B6118" w14:textId="2418791E" w:rsidR="006379C9" w:rsidRDefault="00802CC3" w:rsidP="00AD6F87">
      <w:pPr>
        <w:pStyle w:val="ListBullet"/>
        <w:numPr>
          <w:ilvl w:val="0"/>
          <w:numId w:val="0"/>
        </w:numPr>
        <w:spacing w:before="120" w:after="120"/>
      </w:pPr>
      <w:r>
        <w:t xml:space="preserve">The patient may withdraw their consent at any time. </w:t>
      </w:r>
    </w:p>
    <w:p w14:paraId="2B50D75A" w14:textId="722B63E1" w:rsidR="00A614B3" w:rsidRDefault="00A614B3" w:rsidP="00006B8B">
      <w:pPr>
        <w:pStyle w:val="ListBullet"/>
        <w:numPr>
          <w:ilvl w:val="0"/>
          <w:numId w:val="0"/>
        </w:numPr>
        <w:spacing w:after="0"/>
      </w:pPr>
      <w:r>
        <w:t>Where the patient is unable to consent</w:t>
      </w:r>
      <w:r w:rsidRPr="00A614B3">
        <w:t xml:space="preserve">, the general laws relating to consent to medical treatment apply. These may differ between states and territories, and the </w:t>
      </w:r>
      <w:r>
        <w:t>practitioner</w:t>
      </w:r>
      <w:r w:rsidRPr="00A614B3">
        <w:t xml:space="preserve"> should be aware of the requirements in the</w:t>
      </w:r>
      <w:r>
        <w:t>ir</w:t>
      </w:r>
      <w:r w:rsidRPr="00A614B3">
        <w:t xml:space="preserve"> state or territory.</w:t>
      </w:r>
    </w:p>
    <w:p w14:paraId="536BE7F2" w14:textId="5EE85B6A" w:rsidR="005C4A38" w:rsidRDefault="005C4A38" w:rsidP="00205B60">
      <w:pPr>
        <w:pStyle w:val="FactsheetH2"/>
      </w:pPr>
      <w:r>
        <w:t>How many family and carer sessions are available each year?</w:t>
      </w:r>
    </w:p>
    <w:p w14:paraId="1307D1A5" w14:textId="0DEA472C" w:rsidR="003E0EB0" w:rsidRDefault="003E68C8" w:rsidP="003E0EB0">
      <w:r>
        <w:t>F</w:t>
      </w:r>
      <w:r w:rsidR="003E0EB0">
        <w:t>amily or carer</w:t>
      </w:r>
      <w:r>
        <w:t>s</w:t>
      </w:r>
      <w:r w:rsidR="003E0EB0">
        <w:t xml:space="preserve"> can access up to two sessions per calendar year. Sessions accessed by family or carer will count towards:</w:t>
      </w:r>
    </w:p>
    <w:p w14:paraId="711D3FC4" w14:textId="713DCE2F" w:rsidR="003E0EB0" w:rsidRDefault="003E0EB0" w:rsidP="003E0EB0">
      <w:pPr>
        <w:pStyle w:val="ListBullet"/>
      </w:pPr>
      <w:r>
        <w:t xml:space="preserve">the maximum </w:t>
      </w:r>
      <w:r w:rsidR="0007562D">
        <w:t xml:space="preserve">six </w:t>
      </w:r>
      <w:r>
        <w:t>session limit for each course of treatment under Better Access, and</w:t>
      </w:r>
    </w:p>
    <w:p w14:paraId="0DA6A373" w14:textId="74EE8572" w:rsidR="002779C0" w:rsidRDefault="003E0EB0" w:rsidP="00562EF6">
      <w:pPr>
        <w:pStyle w:val="ListBullet"/>
      </w:pPr>
      <w:r>
        <w:t xml:space="preserve">the patient’s calendar year allocation </w:t>
      </w:r>
      <w:r w:rsidR="003E68C8">
        <w:t xml:space="preserve">of 10 </w:t>
      </w:r>
      <w:r>
        <w:t xml:space="preserve">individual services under Better Access. </w:t>
      </w:r>
    </w:p>
    <w:p w14:paraId="4A477F47" w14:textId="3533D53F" w:rsidR="002779C0" w:rsidRPr="003E0EB0" w:rsidRDefault="003E68C8" w:rsidP="00AD6F87">
      <w:pPr>
        <w:pStyle w:val="ListBullet"/>
        <w:numPr>
          <w:ilvl w:val="0"/>
          <w:numId w:val="0"/>
        </w:numPr>
        <w:spacing w:before="120"/>
      </w:pPr>
      <w:r>
        <w:t>For example</w:t>
      </w:r>
      <w:r w:rsidR="002779C0">
        <w:t xml:space="preserve">, where a patient has a referral for six sessions in a course of treatment, and two of these sessions are provided to the family member or carer, the patient </w:t>
      </w:r>
      <w:r>
        <w:t xml:space="preserve">can receive </w:t>
      </w:r>
      <w:r w:rsidR="002779C0">
        <w:t xml:space="preserve">four sessions </w:t>
      </w:r>
      <w:r>
        <w:t>before being reviewed by</w:t>
      </w:r>
      <w:r w:rsidR="002779C0">
        <w:t xml:space="preserve"> their referring practitioner. </w:t>
      </w:r>
    </w:p>
    <w:p w14:paraId="5AD95168" w14:textId="0991FF7A" w:rsidR="005C4A38" w:rsidRDefault="005C4A38" w:rsidP="00205B60">
      <w:pPr>
        <w:pStyle w:val="FactsheetH2"/>
      </w:pPr>
      <w:r>
        <w:t>Can family and carer sessions be delivered via telehealth?</w:t>
      </w:r>
    </w:p>
    <w:p w14:paraId="41028FF6" w14:textId="7B9F8AF4" w:rsidR="003E0EB0" w:rsidRDefault="003E0EB0" w:rsidP="003E0EB0">
      <w:r>
        <w:t>Family and carer sessions can be delivered via telehealth</w:t>
      </w:r>
      <w:r w:rsidR="00A614B3">
        <w:t xml:space="preserve"> (video or phone)</w:t>
      </w:r>
      <w:r>
        <w:t xml:space="preserve">. </w:t>
      </w:r>
      <w:r w:rsidR="00366F87">
        <w:t xml:space="preserve">The telehealth MBS items can substitute face-to-face consultations where its clinically appropriate and safe to do so. MBS telehealth items will have the same clinical requirements to normal timed consultation items. </w:t>
      </w:r>
    </w:p>
    <w:p w14:paraId="7CD45C3A" w14:textId="49063B7B" w:rsidR="000274F0" w:rsidRDefault="000274F0" w:rsidP="00205B60">
      <w:pPr>
        <w:pStyle w:val="FactsheetH2"/>
      </w:pPr>
      <w:r>
        <w:lastRenderedPageBreak/>
        <w:t>What therap</w:t>
      </w:r>
      <w:r w:rsidR="00E341F6">
        <w:t xml:space="preserve">ies </w:t>
      </w:r>
      <w:r>
        <w:t xml:space="preserve">can be delivered using the family </w:t>
      </w:r>
      <w:r w:rsidR="00581A71">
        <w:t>and</w:t>
      </w:r>
      <w:r>
        <w:t xml:space="preserve"> carer MBS items?</w:t>
      </w:r>
    </w:p>
    <w:p w14:paraId="24188146" w14:textId="07632EA8" w:rsidR="00BC325F" w:rsidRDefault="000274F0" w:rsidP="003E0EB0">
      <w:r>
        <w:t xml:space="preserve">Any service delivered to another person using the </w:t>
      </w:r>
      <w:r w:rsidR="006F799C">
        <w:t>f</w:t>
      </w:r>
      <w:r>
        <w:t xml:space="preserve">amily and </w:t>
      </w:r>
      <w:r w:rsidR="006F799C">
        <w:t>c</w:t>
      </w:r>
      <w:r>
        <w:t xml:space="preserve">arer MBS items must be </w:t>
      </w:r>
      <w:r w:rsidR="00BC325F">
        <w:t xml:space="preserve">for the </w:t>
      </w:r>
      <w:r w:rsidR="003E68C8">
        <w:t>benefit of</w:t>
      </w:r>
      <w:r w:rsidR="00BC325F">
        <w:t xml:space="preserve"> the patient’s treatment</w:t>
      </w:r>
      <w:r>
        <w:t xml:space="preserve">. </w:t>
      </w:r>
    </w:p>
    <w:p w14:paraId="2D881689" w14:textId="15AD921B" w:rsidR="00BC325F" w:rsidRDefault="00FC2ADB" w:rsidP="003E0EB0">
      <w:r>
        <w:t>It is up to the treating</w:t>
      </w:r>
      <w:r w:rsidR="000274F0">
        <w:t xml:space="preserve"> </w:t>
      </w:r>
      <w:r w:rsidR="006F799C">
        <w:t xml:space="preserve">allied mental health </w:t>
      </w:r>
      <w:r w:rsidR="000274F0">
        <w:t>practitioner</w:t>
      </w:r>
      <w:r>
        <w:t xml:space="preserve"> to determine if the service</w:t>
      </w:r>
      <w:r w:rsidR="00006B8B">
        <w:t xml:space="preserve"> provided to the family member or carer</w:t>
      </w:r>
      <w:r>
        <w:t xml:space="preserve"> is clinically relevant and </w:t>
      </w:r>
      <w:r w:rsidR="00006B8B">
        <w:t>appropriately supports th</w:t>
      </w:r>
      <w:r>
        <w:t xml:space="preserve">e treatment </w:t>
      </w:r>
      <w:r w:rsidR="00006B8B">
        <w:t xml:space="preserve">and management </w:t>
      </w:r>
      <w:r>
        <w:t>of the patient</w:t>
      </w:r>
      <w:r w:rsidR="00006B8B">
        <w:t xml:space="preserve">’s condition. </w:t>
      </w:r>
    </w:p>
    <w:p w14:paraId="23591C7E" w14:textId="25C29B9A" w:rsidR="00366F87" w:rsidRDefault="00366F87" w:rsidP="00205B60">
      <w:pPr>
        <w:pStyle w:val="FactsheetH2"/>
      </w:pPr>
      <w:r>
        <w:t xml:space="preserve">Who can be present in a family </w:t>
      </w:r>
      <w:r w:rsidR="00DA424F">
        <w:t>and</w:t>
      </w:r>
      <w:r>
        <w:t xml:space="preserve"> carer session?</w:t>
      </w:r>
    </w:p>
    <w:p w14:paraId="1C988CAA" w14:textId="538AB7E2" w:rsidR="00366F87" w:rsidRDefault="00DA424F" w:rsidP="003E0EB0">
      <w:r>
        <w:t xml:space="preserve">The patient </w:t>
      </w:r>
      <w:r w:rsidR="00E341F6">
        <w:t>cannot</w:t>
      </w:r>
      <w:r>
        <w:t xml:space="preserve"> be present during a family and carer session. If a patient is present during the family and carer </w:t>
      </w:r>
      <w:r w:rsidR="00DD58E3">
        <w:t>session,</w:t>
      </w:r>
      <w:r>
        <w:t xml:space="preserve"> </w:t>
      </w:r>
      <w:r w:rsidR="003E68C8">
        <w:t xml:space="preserve">the practitioner can </w:t>
      </w:r>
      <w:r>
        <w:t xml:space="preserve">consider whether the service meets the requirements for the </w:t>
      </w:r>
      <w:r w:rsidR="006379C9">
        <w:t xml:space="preserve">relevant </w:t>
      </w:r>
      <w:r>
        <w:t xml:space="preserve">patient MBS item. </w:t>
      </w:r>
    </w:p>
    <w:p w14:paraId="78274F84" w14:textId="5DDBFB3C" w:rsidR="006379C9" w:rsidRDefault="00FC2ADB" w:rsidP="003E0EB0">
      <w:r>
        <w:t xml:space="preserve">Consistent </w:t>
      </w:r>
      <w:r w:rsidR="00CA5F8B">
        <w:t xml:space="preserve">with requirements for </w:t>
      </w:r>
      <w:r>
        <w:t>Better Access</w:t>
      </w:r>
      <w:r w:rsidR="00CA5F8B">
        <w:t xml:space="preserve"> services</w:t>
      </w:r>
      <w:r>
        <w:t>, t</w:t>
      </w:r>
      <w:r w:rsidR="006379C9">
        <w:t>hese items cannot be used in whole</w:t>
      </w:r>
      <w:r>
        <w:t>,</w:t>
      </w:r>
      <w:r w:rsidR="006379C9">
        <w:t xml:space="preserve"> or in part</w:t>
      </w:r>
      <w:r>
        <w:t>,</w:t>
      </w:r>
      <w:r w:rsidR="006379C9">
        <w:t xml:space="preserve"> for the provision of family therapy, group therapy or </w:t>
      </w:r>
      <w:proofErr w:type="gramStart"/>
      <w:r>
        <w:t>couples</w:t>
      </w:r>
      <w:proofErr w:type="gramEnd"/>
      <w:r>
        <w:t xml:space="preserve"> therapy/relationship counselling</w:t>
      </w:r>
      <w:r w:rsidR="006379C9">
        <w:t xml:space="preserve">.  </w:t>
      </w:r>
    </w:p>
    <w:p w14:paraId="1C6C55EE" w14:textId="2934A741" w:rsidR="00366F87" w:rsidRPr="00366F87" w:rsidRDefault="00366F87" w:rsidP="00205B60">
      <w:pPr>
        <w:pStyle w:val="FactsheetH2"/>
      </w:pPr>
      <w:r>
        <w:t xml:space="preserve">Can a family or carer be provided with mental health treatment using </w:t>
      </w:r>
      <w:r w:rsidR="003E68C8">
        <w:t>these MBS items</w:t>
      </w:r>
      <w:r>
        <w:t>?</w:t>
      </w:r>
    </w:p>
    <w:p w14:paraId="010419D6" w14:textId="77777777" w:rsidR="00FC2ADB" w:rsidRDefault="00FC2ADB" w:rsidP="003E0EB0">
      <w:r>
        <w:t xml:space="preserve">No. </w:t>
      </w:r>
      <w:r w:rsidR="000274F0">
        <w:t xml:space="preserve">These MBS items are not for the purposes of providing mental health treatment to </w:t>
      </w:r>
      <w:r w:rsidR="006379C9">
        <w:t>the family member or carer</w:t>
      </w:r>
      <w:r w:rsidR="000274F0">
        <w:t xml:space="preserve"> receiving the services. </w:t>
      </w:r>
      <w:r>
        <w:t xml:space="preserve">The purpose of these items is to support the treatment and recovery of the patient. </w:t>
      </w:r>
    </w:p>
    <w:p w14:paraId="16717668" w14:textId="7C70A4FD" w:rsidR="006379C9" w:rsidRPr="003E0EB0" w:rsidRDefault="000274F0" w:rsidP="003E0EB0">
      <w:r>
        <w:t xml:space="preserve">Should </w:t>
      </w:r>
      <w:r w:rsidR="00FC2ADB">
        <w:t>the family member or carer</w:t>
      </w:r>
      <w:r>
        <w:t xml:space="preserve"> also require mental health treatment, they should speak to their</w:t>
      </w:r>
      <w:r w:rsidR="00262696">
        <w:t xml:space="preserve"> </w:t>
      </w:r>
      <w:r w:rsidR="003E68C8">
        <w:t>GP</w:t>
      </w:r>
      <w:r w:rsidR="006379C9">
        <w:t xml:space="preserve"> about </w:t>
      </w:r>
      <w:r w:rsidR="00262696">
        <w:t>whether</w:t>
      </w:r>
      <w:r w:rsidR="006379C9">
        <w:t xml:space="preserve"> treatment under the Better Access initiative</w:t>
      </w:r>
      <w:r w:rsidR="00262696">
        <w:t xml:space="preserve"> is suitable for their specific needs</w:t>
      </w:r>
      <w:r w:rsidR="006379C9">
        <w:t xml:space="preserve">. </w:t>
      </w:r>
    </w:p>
    <w:p w14:paraId="61AF1BB8" w14:textId="3A325ADE" w:rsidR="005C4A38" w:rsidRDefault="003E0EB0" w:rsidP="00205B60">
      <w:pPr>
        <w:pStyle w:val="FactsheetH2"/>
      </w:pPr>
      <w:r>
        <w:t xml:space="preserve">When can </w:t>
      </w:r>
      <w:r w:rsidR="005C4A38">
        <w:t xml:space="preserve">family and carer sessions </w:t>
      </w:r>
      <w:r w:rsidR="00D05E2C">
        <w:t xml:space="preserve">be accessed </w:t>
      </w:r>
      <w:r w:rsidR="00E341F6">
        <w:t>during the patient’s course of treatment</w:t>
      </w:r>
      <w:r w:rsidR="005C4A38">
        <w:t>?</w:t>
      </w:r>
    </w:p>
    <w:p w14:paraId="1FADED20" w14:textId="1D564E71" w:rsidR="005C4A38" w:rsidRDefault="003E0EB0" w:rsidP="005C4A38">
      <w:r>
        <w:t>Family and carer sessions can be accessed at any stage of a patient’s course of treatment and do not need</w:t>
      </w:r>
      <w:r w:rsidR="00D05E2C">
        <w:t xml:space="preserve"> to be accessed consecutively. </w:t>
      </w:r>
    </w:p>
    <w:p w14:paraId="057C538E" w14:textId="3AB4B0B1" w:rsidR="002779C0" w:rsidRDefault="00D05E2C" w:rsidP="00D05E2C">
      <w:r>
        <w:t xml:space="preserve">On the completion of a course of treatment, the eligible </w:t>
      </w:r>
      <w:r w:rsidR="005D067B">
        <w:t xml:space="preserve">practitioner </w:t>
      </w:r>
      <w:r>
        <w:t>must provide a written report to the referring practitioner. This report should also include relevant information on any services delivered using the family and carer MBS items where relevant.</w:t>
      </w:r>
    </w:p>
    <w:p w14:paraId="62815DFD" w14:textId="580ECAE3" w:rsidR="002779C0" w:rsidRPr="00562EF6" w:rsidRDefault="002779C0" w:rsidP="00205B60">
      <w:pPr>
        <w:pStyle w:val="FactsheetH2"/>
      </w:pPr>
      <w:r w:rsidRPr="00562EF6">
        <w:t>Is a separate referral required for the family/carer items?</w:t>
      </w:r>
    </w:p>
    <w:p w14:paraId="3648B3DD" w14:textId="4DC7C55C" w:rsidR="00562EF6" w:rsidRDefault="002779C0" w:rsidP="00562EF6">
      <w:r>
        <w:t xml:space="preserve">No. </w:t>
      </w:r>
      <w:r w:rsidR="00562EF6">
        <w:t>Services provided under the family and carer items form part of the patient’s course of treatment and t</w:t>
      </w:r>
      <w:r>
        <w:t xml:space="preserve">here is no requirement </w:t>
      </w:r>
      <w:r w:rsidR="003E68C8">
        <w:t>for</w:t>
      </w:r>
      <w:r>
        <w:t xml:space="preserve"> a separate referral </w:t>
      </w:r>
      <w:r w:rsidR="003E68C8">
        <w:t>to deliver</w:t>
      </w:r>
      <w:r w:rsidR="00562EF6">
        <w:t xml:space="preserve"> these services. </w:t>
      </w:r>
    </w:p>
    <w:p w14:paraId="797BB686" w14:textId="2C6BECD5" w:rsidR="00562EF6" w:rsidRDefault="00562EF6" w:rsidP="00562EF6">
      <w:r>
        <w:t>Further, referring practitioners should not issue separate referrals for family/carer sessions and patient sessions where the total number of sessions</w:t>
      </w:r>
      <w:r w:rsidR="00856EC3">
        <w:t xml:space="preserve"> </w:t>
      </w:r>
      <w:r w:rsidR="003E68C8">
        <w:t>would</w:t>
      </w:r>
      <w:r>
        <w:t xml:space="preserve"> exceed the maximum allowed in a course of treatment</w:t>
      </w:r>
      <w:r w:rsidR="003E68C8">
        <w:t>. The maximum for each of course of treatment is as follows</w:t>
      </w:r>
      <w:r>
        <w:t>:</w:t>
      </w:r>
    </w:p>
    <w:p w14:paraId="35EDABDF" w14:textId="00A29D5D" w:rsidR="00562EF6" w:rsidRDefault="00562EF6" w:rsidP="00562EF6">
      <w:pPr>
        <w:pStyle w:val="ListParagraph"/>
        <w:numPr>
          <w:ilvl w:val="0"/>
          <w:numId w:val="30"/>
        </w:numPr>
      </w:pPr>
      <w:r>
        <w:lastRenderedPageBreak/>
        <w:t>Initial course of treatment – a maximum of six sessions.</w:t>
      </w:r>
    </w:p>
    <w:p w14:paraId="4A8A3F7B" w14:textId="79E755D6" w:rsidR="002779C0" w:rsidRDefault="00562EF6" w:rsidP="00562EF6">
      <w:pPr>
        <w:pStyle w:val="ListParagraph"/>
        <w:numPr>
          <w:ilvl w:val="0"/>
          <w:numId w:val="30"/>
        </w:numPr>
      </w:pPr>
      <w:r>
        <w:t xml:space="preserve">Subsequent course of treatment – a maximum of six sessions up to the patient’s cap of ten sessions (for example, if the patient received six sessions in their initial course of treatment, they </w:t>
      </w:r>
      <w:proofErr w:type="gramStart"/>
      <w:r>
        <w:t>can</w:t>
      </w:r>
      <w:proofErr w:type="gramEnd"/>
      <w:r>
        <w:t xml:space="preserve"> only receive four sessions in a subsequent course of treatment).</w:t>
      </w:r>
    </w:p>
    <w:p w14:paraId="0AB70EDD" w14:textId="4A3567F0" w:rsidR="002779C0" w:rsidRDefault="002779C0" w:rsidP="00D05E2C">
      <w:r>
        <w:t xml:space="preserve">Where the referring </w:t>
      </w:r>
      <w:r w:rsidR="003E68C8">
        <w:t>practitioner</w:t>
      </w:r>
      <w:r>
        <w:t xml:space="preserve"> has not indicated the family/carer </w:t>
      </w:r>
      <w:r w:rsidR="00562EF6">
        <w:t>session</w:t>
      </w:r>
      <w:r>
        <w:t xml:space="preserve"> </w:t>
      </w:r>
      <w:r w:rsidR="00562EF6">
        <w:t xml:space="preserve">should form part of the patient’s treatment, the treating allied health </w:t>
      </w:r>
      <w:r w:rsidR="005D067B">
        <w:t>practitioner</w:t>
      </w:r>
      <w:r w:rsidR="00562EF6">
        <w:t xml:space="preserve"> can use their clinical judgement to provide these services. This must be recorded in the patient’s </w:t>
      </w:r>
      <w:r w:rsidR="003E68C8">
        <w:t>notes</w:t>
      </w:r>
      <w:r w:rsidR="00856EC3">
        <w:t xml:space="preserve"> and should be </w:t>
      </w:r>
      <w:r w:rsidR="003E68C8">
        <w:t xml:space="preserve">included </w:t>
      </w:r>
      <w:r w:rsidR="00856EC3">
        <w:t xml:space="preserve">in the report provided to the referring practitioner at </w:t>
      </w:r>
      <w:r w:rsidR="003E68C8">
        <w:t>the end</w:t>
      </w:r>
      <w:r w:rsidR="00856EC3">
        <w:t xml:space="preserve"> of the course of treatment. </w:t>
      </w:r>
    </w:p>
    <w:p w14:paraId="5F95A80F" w14:textId="4F8151C5" w:rsidR="00FC2ADB" w:rsidRPr="002F545D" w:rsidRDefault="003E68C8" w:rsidP="00205B60">
      <w:pPr>
        <w:pStyle w:val="FactsheetH2"/>
      </w:pPr>
      <w:r>
        <w:t>Charges relating to</w:t>
      </w:r>
      <w:r w:rsidR="00FC2ADB" w:rsidRPr="002F545D">
        <w:t xml:space="preserve"> the</w:t>
      </w:r>
      <w:r>
        <w:t>se</w:t>
      </w:r>
      <w:r w:rsidR="00FC2ADB" w:rsidRPr="002F545D">
        <w:t xml:space="preserve"> </w:t>
      </w:r>
      <w:proofErr w:type="gramStart"/>
      <w:r w:rsidR="00FC2ADB" w:rsidRPr="002F545D">
        <w:t>service</w:t>
      </w:r>
      <w:r w:rsidR="00C17E01">
        <w:t>s</w:t>
      </w:r>
      <w:r w:rsidR="00FC2ADB" w:rsidRPr="002F545D">
        <w:t>?</w:t>
      </w:r>
      <w:proofErr w:type="gramEnd"/>
    </w:p>
    <w:p w14:paraId="1806162E" w14:textId="5A902C4E" w:rsidR="00A614B3" w:rsidRPr="00F71515" w:rsidRDefault="00A614B3" w:rsidP="00D05E2C">
      <w:r w:rsidRPr="00A614B3">
        <w:t xml:space="preserve">For Medicare benefit purposes, charges relating to services covered by these MBS items should be raised against the patient rather than against the </w:t>
      </w:r>
      <w:r>
        <w:t>family member of carer</w:t>
      </w:r>
      <w:r w:rsidRPr="00A614B3">
        <w:t>.</w:t>
      </w:r>
      <w:r>
        <w:t xml:space="preserve"> For further information related to billing please contact Services Australia on </w:t>
      </w:r>
      <w:r w:rsidRPr="00A614B3">
        <w:t>132 150</w:t>
      </w:r>
      <w:r>
        <w:t xml:space="preserve">. </w:t>
      </w:r>
    </w:p>
    <w:p w14:paraId="7F7DA4F7" w14:textId="77777777" w:rsidR="00064168" w:rsidRDefault="00064168" w:rsidP="00205B60">
      <w:pPr>
        <w:pStyle w:val="FactsheetH1"/>
      </w:pPr>
      <w:r>
        <w:t>How will these changes affect patients</w:t>
      </w:r>
      <w:r w:rsidRPr="001A7FB7">
        <w:t>?</w:t>
      </w:r>
    </w:p>
    <w:p w14:paraId="166B32CE" w14:textId="151BC37D" w:rsidR="007062DE" w:rsidRDefault="007062DE" w:rsidP="00064168">
      <w:pPr>
        <w:rPr>
          <w:rFonts w:cs="Arial"/>
          <w:szCs w:val="22"/>
        </w:rPr>
      </w:pPr>
      <w:r>
        <w:rPr>
          <w:rFonts w:cs="Arial"/>
          <w:szCs w:val="22"/>
        </w:rPr>
        <w:t xml:space="preserve">Family and carer sessions aim to positively involve family and carers in a patient’s treatment and care. For patients, family and carer sessions encourage collaborative care and assist in optimising the role of family and carers in supporting </w:t>
      </w:r>
      <w:r w:rsidR="003E68C8">
        <w:rPr>
          <w:rFonts w:cs="Arial"/>
          <w:szCs w:val="22"/>
        </w:rPr>
        <w:t xml:space="preserve">their </w:t>
      </w:r>
      <w:r>
        <w:rPr>
          <w:rFonts w:cs="Arial"/>
          <w:szCs w:val="22"/>
        </w:rPr>
        <w:t xml:space="preserve">treatment and recovery.  </w:t>
      </w:r>
    </w:p>
    <w:p w14:paraId="7121AD76" w14:textId="243FFCF8" w:rsidR="00943B55" w:rsidRDefault="0014562A" w:rsidP="00064168">
      <w:pPr>
        <w:rPr>
          <w:rFonts w:cs="Arial"/>
          <w:szCs w:val="22"/>
        </w:rPr>
      </w:pPr>
      <w:r>
        <w:rPr>
          <w:rFonts w:cs="Arial"/>
          <w:szCs w:val="22"/>
        </w:rPr>
        <w:t xml:space="preserve">Evidence suggests sessions </w:t>
      </w:r>
      <w:r w:rsidR="003E68C8">
        <w:rPr>
          <w:rFonts w:cs="Arial"/>
          <w:szCs w:val="22"/>
        </w:rPr>
        <w:t xml:space="preserve">with family and carers </w:t>
      </w:r>
      <w:r>
        <w:rPr>
          <w:rFonts w:cs="Arial"/>
          <w:szCs w:val="22"/>
        </w:rPr>
        <w:t xml:space="preserve">are particularly </w:t>
      </w:r>
      <w:r w:rsidR="00943B55">
        <w:rPr>
          <w:rFonts w:cs="Arial"/>
          <w:szCs w:val="22"/>
        </w:rPr>
        <w:t>important for children and adolescents, adults and adolescents with drug problems, people living with dementia and/or in residential aged care, and people living with intellectual disabilities</w:t>
      </w:r>
      <w:r w:rsidR="003E68C8">
        <w:t xml:space="preserve">. </w:t>
      </w:r>
    </w:p>
    <w:p w14:paraId="7BD2AA3C" w14:textId="08606753" w:rsidR="00064168" w:rsidRPr="00DA424F" w:rsidRDefault="003E68C8" w:rsidP="006F5073">
      <w:pPr>
        <w:rPr>
          <w:rFonts w:cs="Arial"/>
          <w:szCs w:val="22"/>
        </w:rPr>
      </w:pPr>
      <w:r>
        <w:rPr>
          <w:rFonts w:cs="Arial"/>
          <w:szCs w:val="22"/>
        </w:rPr>
        <w:t xml:space="preserve">Any sessions accessed using these MBS items will count towards the patient’s </w:t>
      </w:r>
      <w:r w:rsidR="002D51C8">
        <w:rPr>
          <w:rFonts w:cs="Arial"/>
          <w:szCs w:val="22"/>
        </w:rPr>
        <w:t xml:space="preserve">calendar year allocation </w:t>
      </w:r>
      <w:r>
        <w:rPr>
          <w:rFonts w:cs="Arial"/>
          <w:szCs w:val="22"/>
        </w:rPr>
        <w:t xml:space="preserve">of 10 individual services </w:t>
      </w:r>
      <w:r w:rsidR="002D51C8">
        <w:rPr>
          <w:rFonts w:cs="Arial"/>
          <w:szCs w:val="22"/>
        </w:rPr>
        <w:t xml:space="preserve">under Better Access.  </w:t>
      </w:r>
    </w:p>
    <w:p w14:paraId="5BD9BE80" w14:textId="12630F14" w:rsidR="00064168" w:rsidRDefault="00064168" w:rsidP="00205B60">
      <w:pPr>
        <w:pStyle w:val="FactsheetH1"/>
      </w:pPr>
      <w:r w:rsidRPr="001A7FB7">
        <w:t>Who was consulted on the changes?</w:t>
      </w:r>
    </w:p>
    <w:p w14:paraId="6AD129CC" w14:textId="62BDF609" w:rsidR="00D05E2C" w:rsidRDefault="00D05E2C" w:rsidP="00D05E2C">
      <w:r>
        <w:t>These MBS changes were informed by recommendations of the Productivity Commission in its Inquiry into Mental Health</w:t>
      </w:r>
      <w:r w:rsidR="00A74262">
        <w:t xml:space="preserve"> and</w:t>
      </w:r>
      <w:r>
        <w:t xml:space="preserve"> the MBS Review Taskforce</w:t>
      </w:r>
      <w:r w:rsidR="00A74262">
        <w:t xml:space="preserve">. </w:t>
      </w:r>
      <w:r>
        <w:t xml:space="preserve">Public consultation was a key component of both these reform processes. </w:t>
      </w:r>
      <w:r w:rsidR="00A74262">
        <w:t>The National Children’s Mental Health and Wellbeing Strategy and Better Access Evaluation also made recommendations in support of these changes.</w:t>
      </w:r>
    </w:p>
    <w:p w14:paraId="4ECFAF92" w14:textId="77777777" w:rsidR="00D05E2C" w:rsidRDefault="00D05E2C" w:rsidP="00D05E2C">
      <w:r>
        <w:t xml:space="preserve">The Medical Services Advisory Committee Executive noted the supporting evidence and endorsed the changes. </w:t>
      </w:r>
    </w:p>
    <w:p w14:paraId="7D462A3C" w14:textId="753D616E" w:rsidR="00D05E2C" w:rsidRPr="00D05E2C" w:rsidRDefault="00D05E2C" w:rsidP="00D05E2C">
      <w:r>
        <w:t>Consultation was undertaken with professional bodies representing Better Access referring and treating practitioners, as well as consumer and carer representatives.</w:t>
      </w:r>
    </w:p>
    <w:p w14:paraId="32E82B19" w14:textId="77777777" w:rsidR="00064168" w:rsidRDefault="00064168" w:rsidP="00205B60">
      <w:pPr>
        <w:pStyle w:val="FactsheetH1"/>
      </w:pPr>
      <w:r w:rsidRPr="001A7FB7">
        <w:t>How will the changes be monitored</w:t>
      </w:r>
      <w:r>
        <w:t xml:space="preserve"> and reviewed</w:t>
      </w:r>
      <w:r w:rsidRPr="001A7FB7">
        <w:t>?</w:t>
      </w:r>
    </w:p>
    <w:p w14:paraId="064AC4D2" w14:textId="77777777" w:rsidR="00D05E2C" w:rsidRDefault="00D05E2C" w:rsidP="00064168">
      <w:r>
        <w:t xml:space="preserve">The Department of Health and Aged Care will closely monitor the impact of these MBS changes to identify areas that can be refined and may need adjustment post-implementation. </w:t>
      </w:r>
    </w:p>
    <w:p w14:paraId="3C63E237" w14:textId="77777777" w:rsidR="00064168" w:rsidRDefault="00064168" w:rsidP="00205B60">
      <w:pPr>
        <w:pStyle w:val="FactsheetH1"/>
      </w:pPr>
      <w:r>
        <w:lastRenderedPageBreak/>
        <w:t>Where can I find more information?</w:t>
      </w:r>
    </w:p>
    <w:p w14:paraId="5EEA2BAC" w14:textId="76E3F870"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4"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5"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6"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7" w:history="1">
        <w:r>
          <w:rPr>
            <w:rStyle w:val="Hyperlink"/>
          </w:rPr>
          <w:t>www.privatehealth.gov.au</w:t>
        </w:r>
      </w:hyperlink>
      <w:r>
        <w:t xml:space="preserve">. Detailed information on the MBS item listing within clinical categories is available on the </w:t>
      </w:r>
      <w:hyperlink r:id="rId18"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9"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0"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1"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7" w:name="_Hlk7773414"/>
      <w:r w:rsidRPr="00867595">
        <w:rPr>
          <w:szCs w:val="22"/>
        </w:rPr>
        <w:t xml:space="preserve">go to the Health Professionals page on the Services Australia website or </w:t>
      </w:r>
      <w:bookmarkEnd w:id="7"/>
      <w:r w:rsidRPr="00867595">
        <w:rPr>
          <w:szCs w:val="22"/>
        </w:rPr>
        <w:t xml:space="preserve">contact the Services Australia on the Provider Enquiry Line – 13 21 50. </w:t>
      </w:r>
    </w:p>
    <w:p w14:paraId="508B4C47" w14:textId="26C5AF4F" w:rsidR="00BE3ED5" w:rsidRPr="00D05E2C" w:rsidRDefault="00064168" w:rsidP="00BE3ED5">
      <w:pPr>
        <w:rPr>
          <w:szCs w:val="22"/>
        </w:rPr>
      </w:pPr>
      <w:r w:rsidRPr="00867595">
        <w:rPr>
          <w:szCs w:val="22"/>
        </w:rPr>
        <w:t xml:space="preserve">The data file for software vendors when available can be accessed via the </w:t>
      </w:r>
      <w:hyperlink r:id="rId22" w:history="1">
        <w:r w:rsidRPr="00867595">
          <w:rPr>
            <w:rStyle w:val="Hyperlink"/>
            <w:szCs w:val="22"/>
          </w:rPr>
          <w:t>Downloads</w:t>
        </w:r>
      </w:hyperlink>
      <w:r w:rsidRPr="00867595">
        <w:rPr>
          <w:szCs w:val="22"/>
        </w:rPr>
        <w:t xml:space="preserve"> pag</w:t>
      </w:r>
      <w:r w:rsidR="0082306A">
        <w:rPr>
          <w:szCs w:val="22"/>
        </w:rPr>
        <w:t>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209BEFFD" w14:textId="77777777" w:rsidR="000F3F3B" w:rsidRDefault="000F3F3B" w:rsidP="00BE3ED5">
      <w:pPr>
        <w:sectPr w:rsidR="000F3F3B" w:rsidSect="00B53987">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pPr>
    </w:p>
    <w:p w14:paraId="029A001E" w14:textId="2EF6138E" w:rsidR="003C24C6" w:rsidRDefault="003C24C6" w:rsidP="003C24C6">
      <w:pPr>
        <w:pStyle w:val="Heading2-alt"/>
      </w:pPr>
      <w:r>
        <w:lastRenderedPageBreak/>
        <w:t>Attachment A – Better Access Family and Carer MBS Items</w:t>
      </w:r>
    </w:p>
    <w:p w14:paraId="6903384B" w14:textId="77777777" w:rsidR="003C24C6" w:rsidRDefault="003C24C6" w:rsidP="003C24C6">
      <w:r>
        <w:rPr>
          <w:szCs w:val="22"/>
        </w:rPr>
        <w:t xml:space="preserve">The full item descriptors and further information on claiming requirements for these items can be found on the MBS Online webpage at: </w:t>
      </w:r>
      <w:hyperlink r:id="rId26" w:history="1">
        <w:r>
          <w:rPr>
            <w:rStyle w:val="Hyperlink"/>
            <w:szCs w:val="22"/>
          </w:rPr>
          <w:t>www.mbsonline.gov.au</w:t>
        </w:r>
      </w:hyperlink>
      <w:r>
        <w:rPr>
          <w:rStyle w:val="Hyperlink"/>
          <w:szCs w:val="22"/>
        </w:rPr>
        <w:t>.</w:t>
      </w:r>
    </w:p>
    <w:tbl>
      <w:tblPr>
        <w:tblStyle w:val="TableGrid"/>
        <w:tblW w:w="9067" w:type="dxa"/>
        <w:tblLook w:val="04A0" w:firstRow="1" w:lastRow="0" w:firstColumn="1" w:lastColumn="0" w:noHBand="0" w:noVBand="1"/>
        <w:tblCaption w:val="Table of Better Access Group Therapy MBS Items, including provider type, Item number, mode of delivery and duration of service"/>
        <w:tblDescription w:val="Column 1 lists the provider type, including clinical psychologist, psychologist, occupational therapist, social worker, general practitioner, or other medical practitioner. Column 2 lists the MBS item number. Column 3 lists the mode of delivery of the group therapy service as either in person, by telehealth, or by phone. Please note, all telehealth services are limited to patients located in Modified Monash Model area 4-7. Column 4 lists the duration of the specific service as either 30 to 40 minutes, 20 to 50 minutes, 30 to 50 minutes, 40+ minutes, or 50+ minutes."/>
      </w:tblPr>
      <w:tblGrid>
        <w:gridCol w:w="2830"/>
        <w:gridCol w:w="1560"/>
        <w:gridCol w:w="1984"/>
        <w:gridCol w:w="2693"/>
      </w:tblGrid>
      <w:tr w:rsidR="00DF7EA0" w14:paraId="57A2EBD0" w14:textId="77777777" w:rsidTr="00B82B57">
        <w:trPr>
          <w:trHeight w:val="489"/>
          <w:tblHeader/>
        </w:trPr>
        <w:tc>
          <w:tcPr>
            <w:tcW w:w="2830" w:type="dxa"/>
            <w:tcBorders>
              <w:top w:val="single" w:sz="4" w:space="0" w:color="auto"/>
              <w:left w:val="single" w:sz="4" w:space="0" w:color="auto"/>
              <w:bottom w:val="single" w:sz="4" w:space="0" w:color="auto"/>
              <w:right w:val="single" w:sz="4" w:space="0" w:color="auto"/>
            </w:tcBorders>
            <w:hideMark/>
          </w:tcPr>
          <w:p w14:paraId="3B937455" w14:textId="307FAB57" w:rsidR="00DF7EA0" w:rsidRDefault="00DF7EA0">
            <w:pPr>
              <w:jc w:val="center"/>
              <w:rPr>
                <w:szCs w:val="22"/>
              </w:rPr>
            </w:pPr>
            <w:r>
              <w:rPr>
                <w:b/>
                <w:bCs/>
                <w:szCs w:val="22"/>
              </w:rPr>
              <w:t>Type</w:t>
            </w:r>
          </w:p>
        </w:tc>
        <w:tc>
          <w:tcPr>
            <w:tcW w:w="1560" w:type="dxa"/>
            <w:tcBorders>
              <w:top w:val="single" w:sz="4" w:space="0" w:color="auto"/>
              <w:left w:val="single" w:sz="4" w:space="0" w:color="auto"/>
              <w:bottom w:val="single" w:sz="4" w:space="0" w:color="auto"/>
              <w:right w:val="single" w:sz="4" w:space="0" w:color="auto"/>
            </w:tcBorders>
            <w:hideMark/>
          </w:tcPr>
          <w:p w14:paraId="22E2BE9E" w14:textId="77777777" w:rsidR="00DF7EA0" w:rsidRDefault="00DF7EA0">
            <w:pPr>
              <w:jc w:val="center"/>
              <w:rPr>
                <w:b/>
                <w:bCs/>
                <w:szCs w:val="22"/>
              </w:rPr>
            </w:pPr>
            <w:r>
              <w:rPr>
                <w:b/>
                <w:bCs/>
                <w:szCs w:val="22"/>
              </w:rPr>
              <w:t>Item No.</w:t>
            </w:r>
          </w:p>
        </w:tc>
        <w:tc>
          <w:tcPr>
            <w:tcW w:w="1984" w:type="dxa"/>
            <w:tcBorders>
              <w:top w:val="single" w:sz="4" w:space="0" w:color="auto"/>
              <w:left w:val="single" w:sz="4" w:space="0" w:color="auto"/>
              <w:bottom w:val="single" w:sz="4" w:space="0" w:color="auto"/>
              <w:right w:val="single" w:sz="4" w:space="0" w:color="auto"/>
            </w:tcBorders>
            <w:hideMark/>
          </w:tcPr>
          <w:p w14:paraId="6FB76FCA" w14:textId="41BC6E88" w:rsidR="00DF7EA0" w:rsidRDefault="00DF7EA0">
            <w:pPr>
              <w:jc w:val="center"/>
              <w:rPr>
                <w:b/>
                <w:bCs/>
                <w:szCs w:val="22"/>
              </w:rPr>
            </w:pPr>
            <w:r>
              <w:rPr>
                <w:b/>
                <w:bCs/>
                <w:szCs w:val="22"/>
              </w:rPr>
              <w:t>Mode of delivery</w:t>
            </w:r>
          </w:p>
        </w:tc>
        <w:tc>
          <w:tcPr>
            <w:tcW w:w="2693" w:type="dxa"/>
            <w:tcBorders>
              <w:top w:val="single" w:sz="4" w:space="0" w:color="auto"/>
              <w:left w:val="single" w:sz="4" w:space="0" w:color="auto"/>
              <w:bottom w:val="single" w:sz="4" w:space="0" w:color="auto"/>
              <w:right w:val="single" w:sz="4" w:space="0" w:color="auto"/>
            </w:tcBorders>
          </w:tcPr>
          <w:p w14:paraId="3AB0BDB1" w14:textId="3F7D4C67" w:rsidR="00DF7EA0" w:rsidRDefault="00DF7EA0">
            <w:pPr>
              <w:jc w:val="center"/>
              <w:rPr>
                <w:b/>
                <w:bCs/>
                <w:szCs w:val="22"/>
              </w:rPr>
            </w:pPr>
            <w:r>
              <w:rPr>
                <w:b/>
                <w:bCs/>
                <w:szCs w:val="22"/>
              </w:rPr>
              <w:t>Service length</w:t>
            </w:r>
          </w:p>
        </w:tc>
      </w:tr>
      <w:tr w:rsidR="00DF7EA0" w14:paraId="200E19C7"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203D660D" w14:textId="77777777"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6E80D23E" w14:textId="6F35D4BC" w:rsidR="00DF7EA0" w:rsidRDefault="00EA7858">
            <w:pPr>
              <w:spacing w:before="80" w:after="80" w:line="240" w:lineRule="auto"/>
              <w:jc w:val="center"/>
              <w:rPr>
                <w:szCs w:val="22"/>
              </w:rPr>
            </w:pPr>
            <w:r>
              <w:rPr>
                <w:szCs w:val="22"/>
              </w:rPr>
              <w:t>80002</w:t>
            </w:r>
          </w:p>
        </w:tc>
        <w:tc>
          <w:tcPr>
            <w:tcW w:w="1984" w:type="dxa"/>
            <w:tcBorders>
              <w:top w:val="single" w:sz="4" w:space="0" w:color="auto"/>
              <w:left w:val="single" w:sz="4" w:space="0" w:color="auto"/>
              <w:bottom w:val="single" w:sz="4" w:space="0" w:color="auto"/>
              <w:right w:val="single" w:sz="4" w:space="0" w:color="auto"/>
            </w:tcBorders>
            <w:hideMark/>
          </w:tcPr>
          <w:p w14:paraId="5F0E8657" w14:textId="49029B73" w:rsidR="00DF7EA0" w:rsidRDefault="00DF7EA0">
            <w:pPr>
              <w:spacing w:before="80" w:after="80" w:line="240" w:lineRule="auto"/>
              <w:jc w:val="center"/>
              <w:rPr>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60BA409B" w14:textId="37CD4740" w:rsidR="00DF7EA0" w:rsidRDefault="00D743E0">
            <w:pPr>
              <w:spacing w:before="80" w:after="80" w:line="240" w:lineRule="auto"/>
              <w:jc w:val="center"/>
              <w:rPr>
                <w:szCs w:val="22"/>
              </w:rPr>
            </w:pPr>
            <w:r>
              <w:rPr>
                <w:szCs w:val="22"/>
              </w:rPr>
              <w:t>3</w:t>
            </w:r>
            <w:r w:rsidR="00DF7EA0">
              <w:rPr>
                <w:szCs w:val="22"/>
              </w:rPr>
              <w:t>0 – 50 minutes</w:t>
            </w:r>
          </w:p>
        </w:tc>
      </w:tr>
      <w:tr w:rsidR="00DF7EA0" w14:paraId="7C5AD594"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57FFB631" w14:textId="77777777"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07FD59E9" w14:textId="073995B0" w:rsidR="00DF7EA0" w:rsidRPr="003C24C6" w:rsidRDefault="00EA7858">
            <w:pPr>
              <w:spacing w:before="80" w:after="80" w:line="240" w:lineRule="auto"/>
              <w:jc w:val="center"/>
              <w:rPr>
                <w:szCs w:val="22"/>
              </w:rPr>
            </w:pPr>
            <w:r>
              <w:rPr>
                <w:szCs w:val="22"/>
              </w:rPr>
              <w:t>80006</w:t>
            </w:r>
          </w:p>
        </w:tc>
        <w:tc>
          <w:tcPr>
            <w:tcW w:w="1984" w:type="dxa"/>
            <w:tcBorders>
              <w:top w:val="single" w:sz="4" w:space="0" w:color="auto"/>
              <w:left w:val="single" w:sz="4" w:space="0" w:color="auto"/>
              <w:bottom w:val="single" w:sz="4" w:space="0" w:color="auto"/>
              <w:right w:val="single" w:sz="4" w:space="0" w:color="auto"/>
            </w:tcBorders>
            <w:hideMark/>
          </w:tcPr>
          <w:p w14:paraId="1D6EE689" w14:textId="4628193F" w:rsidR="00DF7EA0" w:rsidRDefault="00DF7EA0">
            <w:pPr>
              <w:spacing w:before="80" w:after="80" w:line="240" w:lineRule="auto"/>
              <w:jc w:val="center"/>
              <w:rPr>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091A3F85" w14:textId="04620661" w:rsidR="00DF7EA0" w:rsidRDefault="00DF7EA0">
            <w:pPr>
              <w:spacing w:before="80" w:after="80" w:line="240" w:lineRule="auto"/>
              <w:jc w:val="center"/>
              <w:rPr>
                <w:szCs w:val="22"/>
              </w:rPr>
            </w:pPr>
            <w:r>
              <w:rPr>
                <w:szCs w:val="22"/>
              </w:rPr>
              <w:t>30 – 50 minutes</w:t>
            </w:r>
          </w:p>
        </w:tc>
      </w:tr>
      <w:tr w:rsidR="00DF7EA0" w14:paraId="454734DE"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43C09124" w14:textId="77777777"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4D8CEE04" w14:textId="2AC0CD47" w:rsidR="00DF7EA0" w:rsidRDefault="00B35CF2">
            <w:pPr>
              <w:spacing w:before="80" w:after="80" w:line="240" w:lineRule="auto"/>
              <w:jc w:val="center"/>
              <w:rPr>
                <w:szCs w:val="22"/>
              </w:rPr>
            </w:pPr>
            <w:r w:rsidRPr="00B35CF2">
              <w:rPr>
                <w:szCs w:val="22"/>
              </w:rPr>
              <w:t>91168</w:t>
            </w:r>
          </w:p>
        </w:tc>
        <w:tc>
          <w:tcPr>
            <w:tcW w:w="1984" w:type="dxa"/>
            <w:tcBorders>
              <w:top w:val="single" w:sz="4" w:space="0" w:color="auto"/>
              <w:left w:val="single" w:sz="4" w:space="0" w:color="auto"/>
              <w:bottom w:val="single" w:sz="4" w:space="0" w:color="auto"/>
              <w:right w:val="single" w:sz="4" w:space="0" w:color="auto"/>
            </w:tcBorders>
            <w:hideMark/>
          </w:tcPr>
          <w:p w14:paraId="3293E46C" w14:textId="7D0188A6" w:rsidR="00DF7EA0" w:rsidRDefault="00DF7EA0">
            <w:pPr>
              <w:spacing w:before="80" w:after="80" w:line="240" w:lineRule="auto"/>
              <w:jc w:val="center"/>
              <w:rPr>
                <w:szCs w:val="22"/>
              </w:rPr>
            </w:pPr>
            <w:r>
              <w:rPr>
                <w:szCs w:val="22"/>
              </w:rPr>
              <w:t>Telehealth</w:t>
            </w:r>
          </w:p>
        </w:tc>
        <w:tc>
          <w:tcPr>
            <w:tcW w:w="2693" w:type="dxa"/>
            <w:tcBorders>
              <w:top w:val="single" w:sz="4" w:space="0" w:color="auto"/>
              <w:left w:val="single" w:sz="4" w:space="0" w:color="auto"/>
              <w:bottom w:val="single" w:sz="4" w:space="0" w:color="auto"/>
              <w:right w:val="single" w:sz="4" w:space="0" w:color="auto"/>
            </w:tcBorders>
          </w:tcPr>
          <w:p w14:paraId="53DC5EFF" w14:textId="776D955B" w:rsidR="00DF7EA0" w:rsidRDefault="00DF7EA0">
            <w:pPr>
              <w:spacing w:before="80" w:after="80" w:line="240" w:lineRule="auto"/>
              <w:jc w:val="center"/>
              <w:rPr>
                <w:szCs w:val="22"/>
              </w:rPr>
            </w:pPr>
            <w:r>
              <w:rPr>
                <w:szCs w:val="22"/>
              </w:rPr>
              <w:t>30 – 50 minutes</w:t>
            </w:r>
          </w:p>
        </w:tc>
      </w:tr>
      <w:tr w:rsidR="00DF7EA0" w14:paraId="3E958D8F"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57C404E2" w14:textId="77777777"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15FC42F2" w14:textId="6BD7ACE9" w:rsidR="00DF7EA0" w:rsidRDefault="00B35CF2">
            <w:pPr>
              <w:spacing w:before="80" w:after="80" w:line="240" w:lineRule="auto"/>
              <w:jc w:val="center"/>
              <w:rPr>
                <w:szCs w:val="22"/>
              </w:rPr>
            </w:pPr>
            <w:r w:rsidRPr="00B35CF2">
              <w:rPr>
                <w:szCs w:val="22"/>
              </w:rPr>
              <w:t>91198</w:t>
            </w:r>
          </w:p>
        </w:tc>
        <w:tc>
          <w:tcPr>
            <w:tcW w:w="1984" w:type="dxa"/>
            <w:tcBorders>
              <w:top w:val="single" w:sz="4" w:space="0" w:color="auto"/>
              <w:left w:val="single" w:sz="4" w:space="0" w:color="auto"/>
              <w:bottom w:val="single" w:sz="4" w:space="0" w:color="auto"/>
              <w:right w:val="single" w:sz="4" w:space="0" w:color="auto"/>
            </w:tcBorders>
            <w:hideMark/>
          </w:tcPr>
          <w:p w14:paraId="09A10686" w14:textId="30109B11" w:rsidR="00DF7EA0" w:rsidRDefault="00DF7EA0">
            <w:pPr>
              <w:spacing w:before="80" w:after="80" w:line="240" w:lineRule="auto"/>
              <w:jc w:val="center"/>
              <w:rPr>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3E018646" w14:textId="3021975A" w:rsidR="00DF7EA0" w:rsidRDefault="00DF7EA0">
            <w:pPr>
              <w:spacing w:before="80" w:after="80" w:line="240" w:lineRule="auto"/>
              <w:jc w:val="center"/>
              <w:rPr>
                <w:szCs w:val="22"/>
              </w:rPr>
            </w:pPr>
            <w:r>
              <w:rPr>
                <w:szCs w:val="22"/>
              </w:rPr>
              <w:t>30 – 50 minutes</w:t>
            </w:r>
          </w:p>
        </w:tc>
      </w:tr>
      <w:tr w:rsidR="00DF7EA0" w14:paraId="2C8241F3"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0A646BBD" w14:textId="77777777"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4985E6DC" w14:textId="4C114BDF" w:rsidR="00DF7EA0" w:rsidRDefault="00B35CF2">
            <w:pPr>
              <w:spacing w:before="80" w:after="80" w:line="240" w:lineRule="auto"/>
              <w:jc w:val="center"/>
              <w:rPr>
                <w:szCs w:val="22"/>
              </w:rPr>
            </w:pPr>
            <w:r>
              <w:rPr>
                <w:szCs w:val="22"/>
              </w:rPr>
              <w:t>80012</w:t>
            </w:r>
          </w:p>
        </w:tc>
        <w:tc>
          <w:tcPr>
            <w:tcW w:w="1984" w:type="dxa"/>
            <w:tcBorders>
              <w:top w:val="single" w:sz="4" w:space="0" w:color="auto"/>
              <w:left w:val="single" w:sz="4" w:space="0" w:color="auto"/>
              <w:bottom w:val="single" w:sz="4" w:space="0" w:color="auto"/>
              <w:right w:val="single" w:sz="4" w:space="0" w:color="auto"/>
            </w:tcBorders>
            <w:hideMark/>
          </w:tcPr>
          <w:p w14:paraId="30F65E6A" w14:textId="041275C7" w:rsidR="00DF7EA0" w:rsidRDefault="00DF7EA0">
            <w:pPr>
              <w:spacing w:before="80" w:after="80" w:line="240" w:lineRule="auto"/>
              <w:jc w:val="center"/>
              <w:rPr>
                <w:szCs w:val="22"/>
              </w:rPr>
            </w:pPr>
            <w:r>
              <w:rPr>
                <w:szCs w:val="22"/>
              </w:rPr>
              <w:t>In person</w:t>
            </w:r>
            <w:r w:rsidR="00661D2D">
              <w:rPr>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342B87C3" w14:textId="1E0C53FE" w:rsidR="00DF7EA0" w:rsidRDefault="00DF7EA0">
            <w:pPr>
              <w:spacing w:before="80" w:after="80" w:line="240" w:lineRule="auto"/>
              <w:jc w:val="center"/>
              <w:rPr>
                <w:szCs w:val="22"/>
              </w:rPr>
            </w:pPr>
            <w:r>
              <w:rPr>
                <w:szCs w:val="22"/>
              </w:rPr>
              <w:t>50+ minutes</w:t>
            </w:r>
          </w:p>
        </w:tc>
      </w:tr>
      <w:tr w:rsidR="00DF7EA0" w14:paraId="41B9E428"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1C28CED6" w14:textId="77777777"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6493AD20" w14:textId="4E989323" w:rsidR="00DF7EA0" w:rsidRDefault="00B35CF2">
            <w:pPr>
              <w:spacing w:before="80" w:after="80" w:line="240" w:lineRule="auto"/>
              <w:jc w:val="center"/>
              <w:rPr>
                <w:szCs w:val="22"/>
              </w:rPr>
            </w:pPr>
            <w:r>
              <w:rPr>
                <w:szCs w:val="22"/>
              </w:rPr>
              <w:t>80016</w:t>
            </w:r>
          </w:p>
        </w:tc>
        <w:tc>
          <w:tcPr>
            <w:tcW w:w="1984" w:type="dxa"/>
            <w:tcBorders>
              <w:top w:val="single" w:sz="4" w:space="0" w:color="auto"/>
              <w:left w:val="single" w:sz="4" w:space="0" w:color="auto"/>
              <w:bottom w:val="single" w:sz="4" w:space="0" w:color="auto"/>
              <w:right w:val="single" w:sz="4" w:space="0" w:color="auto"/>
            </w:tcBorders>
            <w:hideMark/>
          </w:tcPr>
          <w:p w14:paraId="1065861C" w14:textId="2749A1D4" w:rsidR="00DF7EA0" w:rsidRDefault="00DF7EA0">
            <w:pPr>
              <w:spacing w:before="80" w:after="80" w:line="240" w:lineRule="auto"/>
              <w:jc w:val="center"/>
              <w:rPr>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0A46CA23" w14:textId="42E15F0F" w:rsidR="00DF7EA0" w:rsidRDefault="00DF7EA0">
            <w:pPr>
              <w:spacing w:before="80" w:after="80" w:line="240" w:lineRule="auto"/>
              <w:jc w:val="center"/>
              <w:rPr>
                <w:szCs w:val="22"/>
              </w:rPr>
            </w:pPr>
            <w:r>
              <w:rPr>
                <w:szCs w:val="22"/>
              </w:rPr>
              <w:t>50+ minutes</w:t>
            </w:r>
          </w:p>
        </w:tc>
      </w:tr>
      <w:tr w:rsidR="00DF7EA0" w14:paraId="37092C53"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1372A09C" w14:textId="161F0C97"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2F883E7D" w14:textId="10A4280C" w:rsidR="00DF7EA0" w:rsidRDefault="00B35CF2">
            <w:pPr>
              <w:spacing w:before="80" w:after="80" w:line="240" w:lineRule="auto"/>
              <w:jc w:val="center"/>
              <w:rPr>
                <w:szCs w:val="22"/>
              </w:rPr>
            </w:pPr>
            <w:r>
              <w:rPr>
                <w:szCs w:val="22"/>
              </w:rPr>
              <w:t>91171</w:t>
            </w:r>
          </w:p>
        </w:tc>
        <w:tc>
          <w:tcPr>
            <w:tcW w:w="1984" w:type="dxa"/>
            <w:tcBorders>
              <w:top w:val="single" w:sz="4" w:space="0" w:color="auto"/>
              <w:left w:val="single" w:sz="4" w:space="0" w:color="auto"/>
              <w:bottom w:val="single" w:sz="4" w:space="0" w:color="auto"/>
              <w:right w:val="single" w:sz="4" w:space="0" w:color="auto"/>
            </w:tcBorders>
            <w:hideMark/>
          </w:tcPr>
          <w:p w14:paraId="18D215A2" w14:textId="264AA440" w:rsidR="00DF7EA0" w:rsidRDefault="00DF7EA0">
            <w:pPr>
              <w:spacing w:before="80" w:after="80" w:line="240" w:lineRule="auto"/>
              <w:jc w:val="center"/>
              <w:rPr>
                <w:szCs w:val="22"/>
              </w:rPr>
            </w:pPr>
            <w:r>
              <w:rPr>
                <w:szCs w:val="22"/>
              </w:rPr>
              <w:t>Telehealth</w:t>
            </w:r>
          </w:p>
        </w:tc>
        <w:tc>
          <w:tcPr>
            <w:tcW w:w="2693" w:type="dxa"/>
            <w:tcBorders>
              <w:top w:val="single" w:sz="4" w:space="0" w:color="auto"/>
              <w:left w:val="single" w:sz="4" w:space="0" w:color="auto"/>
              <w:bottom w:val="single" w:sz="4" w:space="0" w:color="auto"/>
              <w:right w:val="single" w:sz="4" w:space="0" w:color="auto"/>
            </w:tcBorders>
          </w:tcPr>
          <w:p w14:paraId="2480D5E1" w14:textId="353598B0" w:rsidR="00DF7EA0" w:rsidRDefault="00DF7EA0">
            <w:pPr>
              <w:spacing w:before="80" w:after="80" w:line="240" w:lineRule="auto"/>
              <w:jc w:val="center"/>
              <w:rPr>
                <w:szCs w:val="22"/>
              </w:rPr>
            </w:pPr>
            <w:r>
              <w:rPr>
                <w:szCs w:val="22"/>
              </w:rPr>
              <w:t>50+ minutes</w:t>
            </w:r>
          </w:p>
        </w:tc>
      </w:tr>
      <w:tr w:rsidR="00DF7EA0" w14:paraId="1BFD806D"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75F644A4" w14:textId="3F4D2F19" w:rsidR="00DF7EA0" w:rsidRDefault="00DF7EA0">
            <w:pPr>
              <w:spacing w:before="80" w:after="80" w:line="240" w:lineRule="auto"/>
              <w:rPr>
                <w:szCs w:val="22"/>
              </w:rPr>
            </w:pPr>
            <w:r>
              <w:rPr>
                <w:szCs w:val="22"/>
              </w:rPr>
              <w:t>Clinical Psychologist</w:t>
            </w:r>
          </w:p>
        </w:tc>
        <w:tc>
          <w:tcPr>
            <w:tcW w:w="1560" w:type="dxa"/>
            <w:tcBorders>
              <w:top w:val="single" w:sz="4" w:space="0" w:color="auto"/>
              <w:left w:val="single" w:sz="4" w:space="0" w:color="auto"/>
              <w:bottom w:val="single" w:sz="4" w:space="0" w:color="auto"/>
              <w:right w:val="single" w:sz="4" w:space="0" w:color="auto"/>
            </w:tcBorders>
            <w:hideMark/>
          </w:tcPr>
          <w:p w14:paraId="03B43547" w14:textId="47E5171B" w:rsidR="00DF7EA0" w:rsidRDefault="00DF7EA0">
            <w:pPr>
              <w:spacing w:before="80" w:after="80" w:line="240" w:lineRule="auto"/>
              <w:jc w:val="center"/>
              <w:rPr>
                <w:szCs w:val="22"/>
              </w:rPr>
            </w:pPr>
            <w:r w:rsidRPr="00DF7EA0">
              <w:rPr>
                <w:szCs w:val="22"/>
              </w:rPr>
              <w:t>911</w:t>
            </w:r>
            <w:r w:rsidR="00B35CF2">
              <w:rPr>
                <w:szCs w:val="22"/>
              </w:rPr>
              <w:t>99</w:t>
            </w:r>
          </w:p>
        </w:tc>
        <w:tc>
          <w:tcPr>
            <w:tcW w:w="1984" w:type="dxa"/>
            <w:tcBorders>
              <w:top w:val="single" w:sz="4" w:space="0" w:color="auto"/>
              <w:left w:val="single" w:sz="4" w:space="0" w:color="auto"/>
              <w:bottom w:val="single" w:sz="4" w:space="0" w:color="auto"/>
              <w:right w:val="single" w:sz="4" w:space="0" w:color="auto"/>
            </w:tcBorders>
            <w:hideMark/>
          </w:tcPr>
          <w:p w14:paraId="336C9546" w14:textId="1F9B5656" w:rsidR="00DF7EA0" w:rsidRDefault="00DF7EA0">
            <w:pPr>
              <w:spacing w:before="80" w:after="80" w:line="240" w:lineRule="auto"/>
              <w:jc w:val="center"/>
              <w:rPr>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15D0CB61" w14:textId="5808591D" w:rsidR="00DF7EA0" w:rsidRDefault="00DF7EA0">
            <w:pPr>
              <w:spacing w:before="80" w:after="80" w:line="240" w:lineRule="auto"/>
              <w:jc w:val="center"/>
              <w:rPr>
                <w:szCs w:val="22"/>
              </w:rPr>
            </w:pPr>
            <w:r>
              <w:rPr>
                <w:szCs w:val="22"/>
              </w:rPr>
              <w:t>50+ minutes</w:t>
            </w:r>
          </w:p>
        </w:tc>
      </w:tr>
      <w:tr w:rsidR="00DF7EA0" w14:paraId="09E2F138"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673494D6" w14:textId="77777777" w:rsidR="00DF7EA0" w:rsidRDefault="00DF7EA0">
            <w:pPr>
              <w:spacing w:before="80" w:after="80" w:line="240" w:lineRule="auto"/>
              <w:rPr>
                <w:szCs w:val="22"/>
              </w:rPr>
            </w:pPr>
            <w:r>
              <w:rPr>
                <w:szCs w:val="22"/>
              </w:rPr>
              <w:t>Psychologist</w:t>
            </w:r>
          </w:p>
        </w:tc>
        <w:tc>
          <w:tcPr>
            <w:tcW w:w="1560" w:type="dxa"/>
            <w:tcBorders>
              <w:top w:val="single" w:sz="4" w:space="0" w:color="auto"/>
              <w:left w:val="single" w:sz="4" w:space="0" w:color="auto"/>
              <w:bottom w:val="single" w:sz="4" w:space="0" w:color="auto"/>
              <w:right w:val="single" w:sz="4" w:space="0" w:color="auto"/>
            </w:tcBorders>
            <w:hideMark/>
          </w:tcPr>
          <w:p w14:paraId="673EBB45" w14:textId="7BC8485A" w:rsidR="00DF7EA0" w:rsidRDefault="00B35CF2">
            <w:pPr>
              <w:spacing w:before="80" w:after="80" w:line="240" w:lineRule="auto"/>
              <w:jc w:val="center"/>
              <w:rPr>
                <w:szCs w:val="22"/>
              </w:rPr>
            </w:pPr>
            <w:r>
              <w:rPr>
                <w:szCs w:val="22"/>
              </w:rPr>
              <w:t>80102</w:t>
            </w:r>
          </w:p>
        </w:tc>
        <w:tc>
          <w:tcPr>
            <w:tcW w:w="1984" w:type="dxa"/>
            <w:tcBorders>
              <w:top w:val="single" w:sz="4" w:space="0" w:color="auto"/>
              <w:left w:val="single" w:sz="4" w:space="0" w:color="auto"/>
              <w:bottom w:val="single" w:sz="4" w:space="0" w:color="auto"/>
              <w:right w:val="single" w:sz="4" w:space="0" w:color="auto"/>
            </w:tcBorders>
            <w:hideMark/>
          </w:tcPr>
          <w:p w14:paraId="6CA324A0" w14:textId="533D1574" w:rsidR="00DF7EA0" w:rsidRDefault="00661D2D">
            <w:pPr>
              <w:spacing w:before="80" w:after="80" w:line="240" w:lineRule="auto"/>
              <w:jc w:val="center"/>
              <w:rPr>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3E38C552" w14:textId="7B50C79A" w:rsidR="00DF7EA0" w:rsidRDefault="00661D2D">
            <w:pPr>
              <w:spacing w:before="80" w:after="80" w:line="240" w:lineRule="auto"/>
              <w:jc w:val="center"/>
              <w:rPr>
                <w:szCs w:val="22"/>
              </w:rPr>
            </w:pPr>
            <w:r>
              <w:rPr>
                <w:szCs w:val="22"/>
              </w:rPr>
              <w:t>20 – 50 minutes</w:t>
            </w:r>
          </w:p>
        </w:tc>
      </w:tr>
      <w:tr w:rsidR="00DF7EA0" w14:paraId="776C347F"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624CB7C6" w14:textId="77777777" w:rsidR="00DF7EA0" w:rsidRDefault="00DF7EA0">
            <w:pPr>
              <w:spacing w:before="80" w:after="80" w:line="240" w:lineRule="auto"/>
              <w:rPr>
                <w:szCs w:val="22"/>
              </w:rPr>
            </w:pPr>
            <w:r>
              <w:rPr>
                <w:szCs w:val="22"/>
              </w:rPr>
              <w:t>Psychologist</w:t>
            </w:r>
          </w:p>
        </w:tc>
        <w:tc>
          <w:tcPr>
            <w:tcW w:w="1560" w:type="dxa"/>
            <w:tcBorders>
              <w:top w:val="single" w:sz="4" w:space="0" w:color="auto"/>
              <w:left w:val="single" w:sz="4" w:space="0" w:color="auto"/>
              <w:bottom w:val="single" w:sz="4" w:space="0" w:color="auto"/>
              <w:right w:val="single" w:sz="4" w:space="0" w:color="auto"/>
            </w:tcBorders>
            <w:hideMark/>
          </w:tcPr>
          <w:p w14:paraId="34331D3E" w14:textId="0B592EA0" w:rsidR="00DF7EA0" w:rsidRDefault="00DF7EA0">
            <w:pPr>
              <w:spacing w:before="80" w:after="80" w:line="240" w:lineRule="auto"/>
              <w:jc w:val="center"/>
              <w:rPr>
                <w:szCs w:val="22"/>
              </w:rPr>
            </w:pPr>
            <w:r w:rsidRPr="00DF7EA0">
              <w:rPr>
                <w:szCs w:val="22"/>
              </w:rPr>
              <w:t>801</w:t>
            </w:r>
            <w:r w:rsidR="00B35CF2">
              <w:rPr>
                <w:szCs w:val="22"/>
              </w:rPr>
              <w:t>06</w:t>
            </w:r>
          </w:p>
        </w:tc>
        <w:tc>
          <w:tcPr>
            <w:tcW w:w="1984" w:type="dxa"/>
            <w:tcBorders>
              <w:top w:val="single" w:sz="4" w:space="0" w:color="auto"/>
              <w:left w:val="single" w:sz="4" w:space="0" w:color="auto"/>
              <w:bottom w:val="single" w:sz="4" w:space="0" w:color="auto"/>
              <w:right w:val="single" w:sz="4" w:space="0" w:color="auto"/>
            </w:tcBorders>
            <w:hideMark/>
          </w:tcPr>
          <w:p w14:paraId="27F5A619" w14:textId="16439359" w:rsidR="00DF7EA0" w:rsidRDefault="00661D2D">
            <w:pPr>
              <w:spacing w:before="80" w:after="80" w:line="240" w:lineRule="auto"/>
              <w:jc w:val="center"/>
              <w:rPr>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6CEC9CA0" w14:textId="74577B16" w:rsidR="00DF7EA0" w:rsidRDefault="00661D2D">
            <w:pPr>
              <w:spacing w:before="80" w:after="80" w:line="240" w:lineRule="auto"/>
              <w:jc w:val="center"/>
              <w:rPr>
                <w:szCs w:val="22"/>
              </w:rPr>
            </w:pPr>
            <w:r>
              <w:rPr>
                <w:szCs w:val="22"/>
              </w:rPr>
              <w:t>20 – 50 minutes</w:t>
            </w:r>
          </w:p>
        </w:tc>
      </w:tr>
      <w:tr w:rsidR="00DF7EA0" w14:paraId="1772E3B3"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0D26E2C0" w14:textId="77777777" w:rsidR="00DF7EA0" w:rsidRDefault="00DF7EA0">
            <w:pPr>
              <w:spacing w:before="80" w:after="80" w:line="240" w:lineRule="auto"/>
              <w:rPr>
                <w:szCs w:val="22"/>
              </w:rPr>
            </w:pPr>
            <w:r>
              <w:rPr>
                <w:szCs w:val="22"/>
              </w:rPr>
              <w:t>Psychologist</w:t>
            </w:r>
          </w:p>
        </w:tc>
        <w:tc>
          <w:tcPr>
            <w:tcW w:w="1560" w:type="dxa"/>
            <w:tcBorders>
              <w:top w:val="single" w:sz="4" w:space="0" w:color="auto"/>
              <w:left w:val="single" w:sz="4" w:space="0" w:color="auto"/>
              <w:bottom w:val="single" w:sz="4" w:space="0" w:color="auto"/>
              <w:right w:val="single" w:sz="4" w:space="0" w:color="auto"/>
            </w:tcBorders>
            <w:hideMark/>
          </w:tcPr>
          <w:p w14:paraId="27D5A7E8" w14:textId="5DFF7E2B" w:rsidR="00DF7EA0" w:rsidRDefault="00DF7EA0">
            <w:pPr>
              <w:spacing w:before="80" w:after="80" w:line="240" w:lineRule="auto"/>
              <w:jc w:val="center"/>
              <w:rPr>
                <w:szCs w:val="22"/>
              </w:rPr>
            </w:pPr>
            <w:r w:rsidRPr="00DF7EA0">
              <w:rPr>
                <w:szCs w:val="22"/>
              </w:rPr>
              <w:t>911</w:t>
            </w:r>
            <w:r w:rsidR="00B35CF2">
              <w:rPr>
                <w:szCs w:val="22"/>
              </w:rPr>
              <w:t>74</w:t>
            </w:r>
          </w:p>
        </w:tc>
        <w:tc>
          <w:tcPr>
            <w:tcW w:w="1984" w:type="dxa"/>
            <w:tcBorders>
              <w:top w:val="single" w:sz="4" w:space="0" w:color="auto"/>
              <w:left w:val="single" w:sz="4" w:space="0" w:color="auto"/>
              <w:bottom w:val="single" w:sz="4" w:space="0" w:color="auto"/>
              <w:right w:val="single" w:sz="4" w:space="0" w:color="auto"/>
            </w:tcBorders>
            <w:hideMark/>
          </w:tcPr>
          <w:p w14:paraId="4A97460C" w14:textId="78F7B850" w:rsidR="00DF7EA0" w:rsidRDefault="00661D2D">
            <w:pPr>
              <w:spacing w:before="80" w:after="80" w:line="240" w:lineRule="auto"/>
              <w:jc w:val="center"/>
              <w:rPr>
                <w:szCs w:val="22"/>
              </w:rPr>
            </w:pPr>
            <w:r>
              <w:rPr>
                <w:szCs w:val="22"/>
              </w:rPr>
              <w:t xml:space="preserve">Telehealth </w:t>
            </w:r>
          </w:p>
        </w:tc>
        <w:tc>
          <w:tcPr>
            <w:tcW w:w="2693" w:type="dxa"/>
            <w:tcBorders>
              <w:top w:val="single" w:sz="4" w:space="0" w:color="auto"/>
              <w:left w:val="single" w:sz="4" w:space="0" w:color="auto"/>
              <w:bottom w:val="single" w:sz="4" w:space="0" w:color="auto"/>
              <w:right w:val="single" w:sz="4" w:space="0" w:color="auto"/>
            </w:tcBorders>
          </w:tcPr>
          <w:p w14:paraId="09E7E0AF" w14:textId="4B2D89BC" w:rsidR="00DF7EA0" w:rsidRDefault="00661D2D">
            <w:pPr>
              <w:spacing w:before="80" w:after="80" w:line="240" w:lineRule="auto"/>
              <w:jc w:val="center"/>
              <w:rPr>
                <w:szCs w:val="22"/>
              </w:rPr>
            </w:pPr>
            <w:r>
              <w:rPr>
                <w:szCs w:val="22"/>
              </w:rPr>
              <w:t>20 – 50 minutes</w:t>
            </w:r>
          </w:p>
        </w:tc>
      </w:tr>
      <w:tr w:rsidR="00DF7EA0" w14:paraId="28E9EC0D"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2D9608E5" w14:textId="77777777" w:rsidR="00DF7EA0" w:rsidRDefault="00DF7EA0">
            <w:pPr>
              <w:spacing w:before="80" w:after="80" w:line="240" w:lineRule="auto"/>
              <w:rPr>
                <w:szCs w:val="22"/>
              </w:rPr>
            </w:pPr>
            <w:r>
              <w:rPr>
                <w:szCs w:val="22"/>
              </w:rPr>
              <w:t>Psychologist</w:t>
            </w:r>
          </w:p>
        </w:tc>
        <w:tc>
          <w:tcPr>
            <w:tcW w:w="1560" w:type="dxa"/>
            <w:tcBorders>
              <w:top w:val="single" w:sz="4" w:space="0" w:color="auto"/>
              <w:left w:val="single" w:sz="4" w:space="0" w:color="auto"/>
              <w:bottom w:val="single" w:sz="4" w:space="0" w:color="auto"/>
              <w:right w:val="single" w:sz="4" w:space="0" w:color="auto"/>
            </w:tcBorders>
            <w:hideMark/>
          </w:tcPr>
          <w:p w14:paraId="6FDFFBE0" w14:textId="034D1EEF" w:rsidR="00DF7EA0" w:rsidRDefault="00661D2D">
            <w:pPr>
              <w:spacing w:before="80" w:after="80" w:line="240" w:lineRule="auto"/>
              <w:jc w:val="center"/>
              <w:rPr>
                <w:szCs w:val="22"/>
              </w:rPr>
            </w:pPr>
            <w:r w:rsidRPr="00661D2D">
              <w:rPr>
                <w:szCs w:val="22"/>
              </w:rPr>
              <w:t>91</w:t>
            </w:r>
            <w:r w:rsidR="00B35CF2">
              <w:rPr>
                <w:szCs w:val="22"/>
              </w:rPr>
              <w:t>200</w:t>
            </w:r>
          </w:p>
        </w:tc>
        <w:tc>
          <w:tcPr>
            <w:tcW w:w="1984" w:type="dxa"/>
            <w:tcBorders>
              <w:top w:val="single" w:sz="4" w:space="0" w:color="auto"/>
              <w:left w:val="single" w:sz="4" w:space="0" w:color="auto"/>
              <w:bottom w:val="single" w:sz="4" w:space="0" w:color="auto"/>
              <w:right w:val="single" w:sz="4" w:space="0" w:color="auto"/>
            </w:tcBorders>
            <w:hideMark/>
          </w:tcPr>
          <w:p w14:paraId="7ECEB389" w14:textId="677D3060" w:rsidR="00DF7EA0" w:rsidRDefault="00661D2D">
            <w:pPr>
              <w:spacing w:before="80" w:after="80" w:line="240" w:lineRule="auto"/>
              <w:jc w:val="center"/>
              <w:rPr>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5922C29F" w14:textId="2D09DA6C" w:rsidR="00DF7EA0" w:rsidRDefault="00661D2D">
            <w:pPr>
              <w:spacing w:before="80" w:after="80" w:line="240" w:lineRule="auto"/>
              <w:jc w:val="center"/>
              <w:rPr>
                <w:szCs w:val="22"/>
              </w:rPr>
            </w:pPr>
            <w:r>
              <w:rPr>
                <w:szCs w:val="22"/>
              </w:rPr>
              <w:t>20 – 50 minutes</w:t>
            </w:r>
          </w:p>
        </w:tc>
      </w:tr>
      <w:tr w:rsidR="00DF7EA0" w14:paraId="4B271FFD"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311164F9" w14:textId="13316F1A" w:rsidR="00DF7EA0" w:rsidRDefault="00661D2D">
            <w:pPr>
              <w:spacing w:before="80" w:after="80" w:line="240" w:lineRule="auto"/>
              <w:rPr>
                <w:szCs w:val="22"/>
              </w:rPr>
            </w:pPr>
            <w:r>
              <w:rPr>
                <w:szCs w:val="22"/>
              </w:rPr>
              <w:t>Psychologist</w:t>
            </w:r>
          </w:p>
        </w:tc>
        <w:tc>
          <w:tcPr>
            <w:tcW w:w="1560" w:type="dxa"/>
            <w:tcBorders>
              <w:top w:val="single" w:sz="4" w:space="0" w:color="auto"/>
              <w:left w:val="single" w:sz="4" w:space="0" w:color="auto"/>
              <w:bottom w:val="single" w:sz="4" w:space="0" w:color="auto"/>
              <w:right w:val="single" w:sz="4" w:space="0" w:color="auto"/>
            </w:tcBorders>
            <w:hideMark/>
          </w:tcPr>
          <w:p w14:paraId="035B6B6B" w14:textId="5944AA48" w:rsidR="00DF7EA0" w:rsidRDefault="00661D2D">
            <w:pPr>
              <w:spacing w:before="80" w:after="80" w:line="240" w:lineRule="auto"/>
              <w:jc w:val="center"/>
              <w:rPr>
                <w:szCs w:val="22"/>
              </w:rPr>
            </w:pPr>
            <w:r w:rsidRPr="00661D2D">
              <w:rPr>
                <w:szCs w:val="22"/>
              </w:rPr>
              <w:t>801</w:t>
            </w:r>
            <w:r w:rsidR="00B35CF2">
              <w:rPr>
                <w:szCs w:val="22"/>
              </w:rPr>
              <w:t>12</w:t>
            </w:r>
          </w:p>
        </w:tc>
        <w:tc>
          <w:tcPr>
            <w:tcW w:w="1984" w:type="dxa"/>
            <w:tcBorders>
              <w:top w:val="single" w:sz="4" w:space="0" w:color="auto"/>
              <w:left w:val="single" w:sz="4" w:space="0" w:color="auto"/>
              <w:bottom w:val="single" w:sz="4" w:space="0" w:color="auto"/>
              <w:right w:val="single" w:sz="4" w:space="0" w:color="auto"/>
            </w:tcBorders>
            <w:hideMark/>
          </w:tcPr>
          <w:p w14:paraId="65349BDF" w14:textId="77777777" w:rsidR="00DF7EA0" w:rsidRDefault="00DF7EA0">
            <w:pPr>
              <w:spacing w:before="80" w:after="80" w:line="240" w:lineRule="auto"/>
              <w:jc w:val="center"/>
              <w:rPr>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50FBBED3" w14:textId="10BA74BA" w:rsidR="00DF7EA0" w:rsidRDefault="00661D2D">
            <w:pPr>
              <w:spacing w:before="80" w:after="80" w:line="240" w:lineRule="auto"/>
              <w:jc w:val="center"/>
              <w:rPr>
                <w:szCs w:val="22"/>
              </w:rPr>
            </w:pPr>
            <w:r>
              <w:rPr>
                <w:szCs w:val="22"/>
              </w:rPr>
              <w:t>50+ minutes</w:t>
            </w:r>
          </w:p>
        </w:tc>
      </w:tr>
      <w:tr w:rsidR="00DF7EA0" w14:paraId="5E1F1D2B"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3702FDC2" w14:textId="64DE0922" w:rsidR="00DF7EA0" w:rsidRDefault="00661D2D">
            <w:pPr>
              <w:spacing w:before="80" w:after="80" w:line="240" w:lineRule="auto"/>
              <w:rPr>
                <w:szCs w:val="22"/>
              </w:rPr>
            </w:pPr>
            <w:r>
              <w:rPr>
                <w:szCs w:val="22"/>
              </w:rPr>
              <w:t xml:space="preserve">Psychologist </w:t>
            </w:r>
          </w:p>
        </w:tc>
        <w:tc>
          <w:tcPr>
            <w:tcW w:w="1560" w:type="dxa"/>
            <w:tcBorders>
              <w:top w:val="single" w:sz="4" w:space="0" w:color="auto"/>
              <w:left w:val="single" w:sz="4" w:space="0" w:color="auto"/>
              <w:bottom w:val="single" w:sz="4" w:space="0" w:color="auto"/>
              <w:right w:val="single" w:sz="4" w:space="0" w:color="auto"/>
            </w:tcBorders>
            <w:hideMark/>
          </w:tcPr>
          <w:p w14:paraId="08CDD4F2" w14:textId="515886DA" w:rsidR="00DF7EA0" w:rsidRDefault="00661D2D">
            <w:pPr>
              <w:spacing w:before="80" w:after="80" w:line="240" w:lineRule="auto"/>
              <w:jc w:val="center"/>
              <w:rPr>
                <w:szCs w:val="22"/>
              </w:rPr>
            </w:pPr>
            <w:r w:rsidRPr="00661D2D">
              <w:rPr>
                <w:szCs w:val="22"/>
              </w:rPr>
              <w:t>8011</w:t>
            </w:r>
            <w:r w:rsidR="00B35CF2">
              <w:rPr>
                <w:szCs w:val="22"/>
              </w:rPr>
              <w:t>6</w:t>
            </w:r>
          </w:p>
        </w:tc>
        <w:tc>
          <w:tcPr>
            <w:tcW w:w="1984" w:type="dxa"/>
            <w:tcBorders>
              <w:top w:val="single" w:sz="4" w:space="0" w:color="auto"/>
              <w:left w:val="single" w:sz="4" w:space="0" w:color="auto"/>
              <w:bottom w:val="single" w:sz="4" w:space="0" w:color="auto"/>
              <w:right w:val="single" w:sz="4" w:space="0" w:color="auto"/>
            </w:tcBorders>
            <w:hideMark/>
          </w:tcPr>
          <w:p w14:paraId="5B6EF6BE" w14:textId="16D1F325" w:rsidR="00DF7EA0" w:rsidRDefault="00661D2D">
            <w:pPr>
              <w:spacing w:before="80" w:after="80" w:line="240" w:lineRule="auto"/>
              <w:jc w:val="center"/>
              <w:rPr>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4AA5EFAC" w14:textId="5C1CBA6B" w:rsidR="00DF7EA0" w:rsidRDefault="00661D2D">
            <w:pPr>
              <w:spacing w:before="80" w:after="80" w:line="240" w:lineRule="auto"/>
              <w:jc w:val="center"/>
              <w:rPr>
                <w:szCs w:val="22"/>
              </w:rPr>
            </w:pPr>
            <w:r>
              <w:rPr>
                <w:szCs w:val="22"/>
              </w:rPr>
              <w:t>50+ minutes</w:t>
            </w:r>
          </w:p>
        </w:tc>
      </w:tr>
      <w:tr w:rsidR="00DF7EA0" w14:paraId="21D2C761"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6AAED7FB" w14:textId="0D3C75AF" w:rsidR="00DF7EA0" w:rsidRDefault="00661D2D">
            <w:pPr>
              <w:spacing w:before="80" w:after="80" w:line="240" w:lineRule="auto"/>
              <w:rPr>
                <w:szCs w:val="22"/>
              </w:rPr>
            </w:pPr>
            <w:r>
              <w:rPr>
                <w:szCs w:val="22"/>
              </w:rPr>
              <w:t>Psychologist</w:t>
            </w:r>
          </w:p>
        </w:tc>
        <w:tc>
          <w:tcPr>
            <w:tcW w:w="1560" w:type="dxa"/>
            <w:tcBorders>
              <w:top w:val="single" w:sz="4" w:space="0" w:color="auto"/>
              <w:left w:val="single" w:sz="4" w:space="0" w:color="auto"/>
              <w:bottom w:val="single" w:sz="4" w:space="0" w:color="auto"/>
              <w:right w:val="single" w:sz="4" w:space="0" w:color="auto"/>
            </w:tcBorders>
            <w:hideMark/>
          </w:tcPr>
          <w:p w14:paraId="50A09E76" w14:textId="447817B9" w:rsidR="00DF7EA0" w:rsidRDefault="00661D2D">
            <w:pPr>
              <w:spacing w:before="80" w:after="80" w:line="240" w:lineRule="auto"/>
              <w:jc w:val="center"/>
              <w:rPr>
                <w:szCs w:val="22"/>
              </w:rPr>
            </w:pPr>
            <w:r w:rsidRPr="00661D2D">
              <w:rPr>
                <w:szCs w:val="22"/>
              </w:rPr>
              <w:t>9117</w:t>
            </w:r>
            <w:r w:rsidR="00B35CF2">
              <w:rPr>
                <w:szCs w:val="22"/>
              </w:rPr>
              <w:t>7</w:t>
            </w:r>
          </w:p>
        </w:tc>
        <w:tc>
          <w:tcPr>
            <w:tcW w:w="1984" w:type="dxa"/>
            <w:tcBorders>
              <w:top w:val="single" w:sz="4" w:space="0" w:color="auto"/>
              <w:left w:val="single" w:sz="4" w:space="0" w:color="auto"/>
              <w:bottom w:val="single" w:sz="4" w:space="0" w:color="auto"/>
              <w:right w:val="single" w:sz="4" w:space="0" w:color="auto"/>
            </w:tcBorders>
            <w:hideMark/>
          </w:tcPr>
          <w:p w14:paraId="3CEBEC62" w14:textId="1F2A4CB7" w:rsidR="00DF7EA0" w:rsidRDefault="00661D2D">
            <w:pPr>
              <w:spacing w:before="80" w:after="80" w:line="240" w:lineRule="auto"/>
              <w:jc w:val="center"/>
              <w:rPr>
                <w:szCs w:val="22"/>
              </w:rPr>
            </w:pPr>
            <w:r>
              <w:rPr>
                <w:szCs w:val="22"/>
              </w:rPr>
              <w:t>Telehealth</w:t>
            </w:r>
          </w:p>
        </w:tc>
        <w:tc>
          <w:tcPr>
            <w:tcW w:w="2693" w:type="dxa"/>
            <w:tcBorders>
              <w:top w:val="single" w:sz="4" w:space="0" w:color="auto"/>
              <w:left w:val="single" w:sz="4" w:space="0" w:color="auto"/>
              <w:bottom w:val="single" w:sz="4" w:space="0" w:color="auto"/>
              <w:right w:val="single" w:sz="4" w:space="0" w:color="auto"/>
            </w:tcBorders>
          </w:tcPr>
          <w:p w14:paraId="2449558F" w14:textId="43813378" w:rsidR="00DF7EA0" w:rsidRDefault="00661D2D">
            <w:pPr>
              <w:spacing w:before="80" w:after="80" w:line="240" w:lineRule="auto"/>
              <w:jc w:val="center"/>
              <w:rPr>
                <w:szCs w:val="22"/>
              </w:rPr>
            </w:pPr>
            <w:r>
              <w:rPr>
                <w:szCs w:val="22"/>
              </w:rPr>
              <w:t>50+ minutes</w:t>
            </w:r>
          </w:p>
        </w:tc>
      </w:tr>
      <w:tr w:rsidR="00DF7EA0" w14:paraId="688EACC9"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2E3796DA" w14:textId="0FA46CA2" w:rsidR="00DF7EA0" w:rsidRDefault="00661D2D">
            <w:pPr>
              <w:spacing w:before="80" w:after="80" w:line="240" w:lineRule="auto"/>
              <w:rPr>
                <w:szCs w:val="22"/>
              </w:rPr>
            </w:pPr>
            <w:r>
              <w:rPr>
                <w:szCs w:val="22"/>
              </w:rPr>
              <w:t>Psychologist</w:t>
            </w:r>
          </w:p>
        </w:tc>
        <w:tc>
          <w:tcPr>
            <w:tcW w:w="1560" w:type="dxa"/>
            <w:tcBorders>
              <w:top w:val="single" w:sz="4" w:space="0" w:color="auto"/>
              <w:left w:val="single" w:sz="4" w:space="0" w:color="auto"/>
              <w:bottom w:val="single" w:sz="4" w:space="0" w:color="auto"/>
              <w:right w:val="single" w:sz="4" w:space="0" w:color="auto"/>
            </w:tcBorders>
            <w:hideMark/>
          </w:tcPr>
          <w:p w14:paraId="25A2EF08" w14:textId="16D75716" w:rsidR="00DF7EA0" w:rsidRDefault="00661D2D">
            <w:pPr>
              <w:spacing w:before="80" w:after="80" w:line="240" w:lineRule="auto"/>
              <w:jc w:val="center"/>
              <w:rPr>
                <w:szCs w:val="22"/>
              </w:rPr>
            </w:pPr>
            <w:r w:rsidRPr="00661D2D">
              <w:rPr>
                <w:szCs w:val="22"/>
              </w:rPr>
              <w:t>91</w:t>
            </w:r>
            <w:r w:rsidR="00B35CF2">
              <w:rPr>
                <w:szCs w:val="22"/>
              </w:rPr>
              <w:t>201</w:t>
            </w:r>
          </w:p>
        </w:tc>
        <w:tc>
          <w:tcPr>
            <w:tcW w:w="1984" w:type="dxa"/>
            <w:tcBorders>
              <w:top w:val="single" w:sz="4" w:space="0" w:color="auto"/>
              <w:left w:val="single" w:sz="4" w:space="0" w:color="auto"/>
              <w:bottom w:val="single" w:sz="4" w:space="0" w:color="auto"/>
              <w:right w:val="single" w:sz="4" w:space="0" w:color="auto"/>
            </w:tcBorders>
            <w:hideMark/>
          </w:tcPr>
          <w:p w14:paraId="76B8C478" w14:textId="7D9A1651" w:rsidR="00DF7EA0" w:rsidRDefault="00661D2D">
            <w:pPr>
              <w:spacing w:before="80" w:after="80" w:line="240" w:lineRule="auto"/>
              <w:jc w:val="center"/>
              <w:rPr>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13A40270" w14:textId="4EA06054" w:rsidR="00DF7EA0" w:rsidRDefault="00661D2D">
            <w:pPr>
              <w:spacing w:before="80" w:after="80" w:line="240" w:lineRule="auto"/>
              <w:jc w:val="center"/>
              <w:rPr>
                <w:szCs w:val="22"/>
              </w:rPr>
            </w:pPr>
            <w:r>
              <w:rPr>
                <w:szCs w:val="22"/>
              </w:rPr>
              <w:t>50+ minutes</w:t>
            </w:r>
          </w:p>
        </w:tc>
      </w:tr>
      <w:tr w:rsidR="00661D2D" w14:paraId="71291EE0"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44878844" w14:textId="77777777"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1E836C1A" w14:textId="7557A165" w:rsidR="00661D2D" w:rsidRPr="00661D2D" w:rsidRDefault="00661D2D" w:rsidP="00661D2D">
            <w:pPr>
              <w:spacing w:before="80" w:after="80" w:line="240" w:lineRule="auto"/>
              <w:jc w:val="center"/>
              <w:rPr>
                <w:rFonts w:cs="Arial"/>
                <w:szCs w:val="22"/>
              </w:rPr>
            </w:pPr>
            <w:r w:rsidRPr="00661D2D">
              <w:rPr>
                <w:rFonts w:cs="Arial"/>
                <w:color w:val="000000"/>
                <w:szCs w:val="22"/>
              </w:rPr>
              <w:t>8012</w:t>
            </w:r>
            <w:r w:rsidR="00B35CF2">
              <w:rPr>
                <w:rFonts w:cs="Arial"/>
                <w:color w:val="000000"/>
                <w:szCs w:val="22"/>
              </w:rPr>
              <w:t>9</w:t>
            </w:r>
          </w:p>
        </w:tc>
        <w:tc>
          <w:tcPr>
            <w:tcW w:w="1984" w:type="dxa"/>
            <w:tcBorders>
              <w:top w:val="single" w:sz="4" w:space="0" w:color="auto"/>
              <w:left w:val="single" w:sz="4" w:space="0" w:color="auto"/>
              <w:bottom w:val="single" w:sz="4" w:space="0" w:color="auto"/>
              <w:right w:val="single" w:sz="4" w:space="0" w:color="auto"/>
            </w:tcBorders>
            <w:hideMark/>
          </w:tcPr>
          <w:p w14:paraId="32D6DB4B" w14:textId="696CEBE3" w:rsidR="00661D2D" w:rsidRPr="00661D2D" w:rsidRDefault="00661D2D" w:rsidP="00661D2D">
            <w:pPr>
              <w:spacing w:before="80" w:after="80" w:line="240" w:lineRule="auto"/>
              <w:jc w:val="center"/>
              <w:rPr>
                <w:rFonts w:cs="Arial"/>
                <w:szCs w:val="22"/>
              </w:rPr>
            </w:pPr>
            <w:r w:rsidRPr="00661D2D">
              <w:rPr>
                <w:rFonts w:cs="Arial"/>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542E9DE7" w14:textId="699E433F" w:rsidR="00661D2D" w:rsidRPr="00661D2D" w:rsidRDefault="00661D2D" w:rsidP="00661D2D">
            <w:pPr>
              <w:spacing w:before="80" w:after="80" w:line="240" w:lineRule="auto"/>
              <w:jc w:val="center"/>
              <w:rPr>
                <w:rFonts w:cs="Arial"/>
                <w:szCs w:val="22"/>
              </w:rPr>
            </w:pPr>
            <w:r w:rsidRPr="00661D2D">
              <w:rPr>
                <w:rFonts w:cs="Arial"/>
                <w:szCs w:val="22"/>
              </w:rPr>
              <w:t>20 – 50 minutes</w:t>
            </w:r>
          </w:p>
        </w:tc>
      </w:tr>
      <w:tr w:rsidR="00661D2D" w14:paraId="100CA1EA"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51926598" w14:textId="77777777"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7850598C" w14:textId="51D7F7E6" w:rsidR="00661D2D" w:rsidRPr="00661D2D" w:rsidRDefault="00661D2D" w:rsidP="00661D2D">
            <w:pPr>
              <w:spacing w:before="80" w:after="80" w:line="240" w:lineRule="auto"/>
              <w:jc w:val="center"/>
              <w:rPr>
                <w:rFonts w:cs="Arial"/>
                <w:szCs w:val="22"/>
              </w:rPr>
            </w:pPr>
            <w:r w:rsidRPr="00661D2D">
              <w:rPr>
                <w:rFonts w:cs="Arial"/>
                <w:color w:val="000000"/>
                <w:szCs w:val="22"/>
              </w:rPr>
              <w:t>8013</w:t>
            </w:r>
            <w:r w:rsidR="00B35CF2">
              <w:rPr>
                <w:rFonts w:cs="Arial"/>
                <w:color w:val="000000"/>
                <w:szCs w:val="22"/>
              </w:rPr>
              <w:t>1</w:t>
            </w:r>
          </w:p>
        </w:tc>
        <w:tc>
          <w:tcPr>
            <w:tcW w:w="1984" w:type="dxa"/>
            <w:tcBorders>
              <w:top w:val="single" w:sz="4" w:space="0" w:color="auto"/>
              <w:left w:val="single" w:sz="4" w:space="0" w:color="auto"/>
              <w:bottom w:val="single" w:sz="4" w:space="0" w:color="auto"/>
              <w:right w:val="single" w:sz="4" w:space="0" w:color="auto"/>
            </w:tcBorders>
            <w:hideMark/>
          </w:tcPr>
          <w:p w14:paraId="3D884E30" w14:textId="044A5EFC" w:rsidR="00661D2D" w:rsidRPr="00661D2D" w:rsidRDefault="00661D2D" w:rsidP="00661D2D">
            <w:pPr>
              <w:spacing w:before="80" w:after="80" w:line="240" w:lineRule="auto"/>
              <w:jc w:val="center"/>
              <w:rPr>
                <w:rFonts w:cs="Arial"/>
                <w:szCs w:val="22"/>
              </w:rPr>
            </w:pPr>
            <w:r w:rsidRPr="00661D2D">
              <w:rPr>
                <w:rFonts w:cs="Arial"/>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2F37E5C2" w14:textId="342AA903" w:rsidR="00661D2D" w:rsidRPr="00661D2D" w:rsidRDefault="00661D2D" w:rsidP="00661D2D">
            <w:pPr>
              <w:spacing w:before="80" w:after="80" w:line="240" w:lineRule="auto"/>
              <w:jc w:val="center"/>
              <w:rPr>
                <w:rFonts w:cs="Arial"/>
                <w:szCs w:val="22"/>
              </w:rPr>
            </w:pPr>
            <w:r w:rsidRPr="00661D2D">
              <w:rPr>
                <w:rFonts w:cs="Arial"/>
                <w:szCs w:val="22"/>
              </w:rPr>
              <w:t>20 – 50 minutes</w:t>
            </w:r>
          </w:p>
        </w:tc>
      </w:tr>
      <w:tr w:rsidR="00661D2D" w14:paraId="30754BF3"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4FAC4AA0" w14:textId="227BA7D4"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1FB7B3F1" w14:textId="157E920F" w:rsidR="00661D2D" w:rsidRPr="00661D2D" w:rsidRDefault="00661D2D" w:rsidP="00661D2D">
            <w:pPr>
              <w:spacing w:before="80" w:after="80" w:line="240" w:lineRule="auto"/>
              <w:jc w:val="center"/>
              <w:rPr>
                <w:rFonts w:cs="Arial"/>
                <w:szCs w:val="22"/>
              </w:rPr>
            </w:pPr>
            <w:r w:rsidRPr="00661D2D">
              <w:rPr>
                <w:rFonts w:cs="Arial"/>
                <w:color w:val="000000"/>
                <w:szCs w:val="22"/>
              </w:rPr>
              <w:t>911</w:t>
            </w:r>
            <w:r w:rsidR="00B35CF2">
              <w:rPr>
                <w:rFonts w:cs="Arial"/>
                <w:color w:val="000000"/>
                <w:szCs w:val="22"/>
              </w:rPr>
              <w:t>94</w:t>
            </w:r>
          </w:p>
        </w:tc>
        <w:tc>
          <w:tcPr>
            <w:tcW w:w="1984" w:type="dxa"/>
            <w:tcBorders>
              <w:top w:val="single" w:sz="4" w:space="0" w:color="auto"/>
              <w:left w:val="single" w:sz="4" w:space="0" w:color="auto"/>
              <w:bottom w:val="single" w:sz="4" w:space="0" w:color="auto"/>
              <w:right w:val="single" w:sz="4" w:space="0" w:color="auto"/>
            </w:tcBorders>
            <w:hideMark/>
          </w:tcPr>
          <w:p w14:paraId="657EF9E4" w14:textId="72B37317" w:rsidR="00661D2D" w:rsidRPr="00661D2D" w:rsidRDefault="00661D2D" w:rsidP="00661D2D">
            <w:pPr>
              <w:spacing w:before="80" w:after="80" w:line="240" w:lineRule="auto"/>
              <w:jc w:val="center"/>
              <w:rPr>
                <w:rFonts w:cs="Arial"/>
                <w:szCs w:val="22"/>
              </w:rPr>
            </w:pPr>
            <w:r w:rsidRPr="00661D2D">
              <w:rPr>
                <w:rFonts w:cs="Arial"/>
                <w:szCs w:val="22"/>
              </w:rPr>
              <w:t xml:space="preserve">Telehealth </w:t>
            </w:r>
          </w:p>
        </w:tc>
        <w:tc>
          <w:tcPr>
            <w:tcW w:w="2693" w:type="dxa"/>
            <w:tcBorders>
              <w:top w:val="single" w:sz="4" w:space="0" w:color="auto"/>
              <w:left w:val="single" w:sz="4" w:space="0" w:color="auto"/>
              <w:bottom w:val="single" w:sz="4" w:space="0" w:color="auto"/>
              <w:right w:val="single" w:sz="4" w:space="0" w:color="auto"/>
            </w:tcBorders>
          </w:tcPr>
          <w:p w14:paraId="62D6EF0A" w14:textId="69531D28" w:rsidR="00661D2D" w:rsidRPr="00661D2D" w:rsidRDefault="00661D2D" w:rsidP="00661D2D">
            <w:pPr>
              <w:spacing w:before="80" w:after="80" w:line="240" w:lineRule="auto"/>
              <w:jc w:val="center"/>
              <w:rPr>
                <w:rFonts w:cs="Arial"/>
                <w:szCs w:val="22"/>
              </w:rPr>
            </w:pPr>
            <w:r w:rsidRPr="00661D2D">
              <w:rPr>
                <w:rFonts w:cs="Arial"/>
                <w:szCs w:val="22"/>
              </w:rPr>
              <w:t>20 – 50 minutes</w:t>
            </w:r>
          </w:p>
        </w:tc>
      </w:tr>
      <w:tr w:rsidR="00661D2D" w14:paraId="7C2F6038"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1EEF8764" w14:textId="0E18E0AD"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6629C032" w14:textId="59FDC75F" w:rsidR="00661D2D" w:rsidRPr="00661D2D" w:rsidRDefault="00661D2D" w:rsidP="00661D2D">
            <w:pPr>
              <w:spacing w:before="80" w:after="80" w:line="240" w:lineRule="auto"/>
              <w:jc w:val="center"/>
              <w:rPr>
                <w:rFonts w:cs="Arial"/>
                <w:szCs w:val="22"/>
              </w:rPr>
            </w:pPr>
            <w:r w:rsidRPr="00661D2D">
              <w:rPr>
                <w:rFonts w:cs="Arial"/>
                <w:color w:val="000000"/>
                <w:szCs w:val="22"/>
              </w:rPr>
              <w:t>91</w:t>
            </w:r>
            <w:r w:rsidR="00B35CF2">
              <w:rPr>
                <w:rFonts w:cs="Arial"/>
                <w:color w:val="000000"/>
                <w:szCs w:val="22"/>
              </w:rPr>
              <w:t>202</w:t>
            </w:r>
          </w:p>
        </w:tc>
        <w:tc>
          <w:tcPr>
            <w:tcW w:w="1984" w:type="dxa"/>
            <w:tcBorders>
              <w:top w:val="single" w:sz="4" w:space="0" w:color="auto"/>
              <w:left w:val="single" w:sz="4" w:space="0" w:color="auto"/>
              <w:bottom w:val="single" w:sz="4" w:space="0" w:color="auto"/>
              <w:right w:val="single" w:sz="4" w:space="0" w:color="auto"/>
            </w:tcBorders>
            <w:hideMark/>
          </w:tcPr>
          <w:p w14:paraId="6ABF3932" w14:textId="741D8C96" w:rsidR="00661D2D" w:rsidRPr="00661D2D" w:rsidRDefault="00661D2D" w:rsidP="00661D2D">
            <w:pPr>
              <w:spacing w:before="80" w:after="80" w:line="240" w:lineRule="auto"/>
              <w:jc w:val="center"/>
              <w:rPr>
                <w:rFonts w:cs="Arial"/>
                <w:szCs w:val="22"/>
              </w:rPr>
            </w:pPr>
            <w:r w:rsidRPr="00661D2D">
              <w:rPr>
                <w:rFonts w:cs="Arial"/>
                <w:szCs w:val="22"/>
              </w:rPr>
              <w:t>Phone</w:t>
            </w:r>
          </w:p>
        </w:tc>
        <w:tc>
          <w:tcPr>
            <w:tcW w:w="2693" w:type="dxa"/>
            <w:tcBorders>
              <w:top w:val="single" w:sz="4" w:space="0" w:color="auto"/>
              <w:left w:val="single" w:sz="4" w:space="0" w:color="auto"/>
              <w:bottom w:val="single" w:sz="4" w:space="0" w:color="auto"/>
              <w:right w:val="single" w:sz="4" w:space="0" w:color="auto"/>
            </w:tcBorders>
          </w:tcPr>
          <w:p w14:paraId="2B190B9F" w14:textId="2CA7568C" w:rsidR="00661D2D" w:rsidRPr="00661D2D" w:rsidRDefault="00661D2D" w:rsidP="00661D2D">
            <w:pPr>
              <w:spacing w:before="80" w:after="80" w:line="240" w:lineRule="auto"/>
              <w:jc w:val="center"/>
              <w:rPr>
                <w:rFonts w:cs="Arial"/>
                <w:szCs w:val="22"/>
              </w:rPr>
            </w:pPr>
            <w:r w:rsidRPr="00661D2D">
              <w:rPr>
                <w:rFonts w:cs="Arial"/>
                <w:szCs w:val="22"/>
              </w:rPr>
              <w:t>20 – 50 minutes</w:t>
            </w:r>
          </w:p>
        </w:tc>
      </w:tr>
      <w:tr w:rsidR="00661D2D" w14:paraId="24F201A1"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408B4572" w14:textId="44786E6D"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39F3FF0E" w14:textId="55FAC271" w:rsidR="00661D2D" w:rsidRPr="00661D2D" w:rsidRDefault="00661D2D" w:rsidP="00661D2D">
            <w:pPr>
              <w:spacing w:before="80" w:after="80" w:line="240" w:lineRule="auto"/>
              <w:jc w:val="center"/>
              <w:rPr>
                <w:rFonts w:cs="Arial"/>
                <w:szCs w:val="22"/>
              </w:rPr>
            </w:pPr>
            <w:r w:rsidRPr="00661D2D">
              <w:rPr>
                <w:rFonts w:cs="Arial"/>
                <w:color w:val="000000"/>
                <w:szCs w:val="22"/>
              </w:rPr>
              <w:t>8013</w:t>
            </w:r>
            <w:r w:rsidR="00B35CF2">
              <w:rPr>
                <w:rFonts w:cs="Arial"/>
                <w:color w:val="000000"/>
                <w:szCs w:val="22"/>
              </w:rPr>
              <w:t>7</w:t>
            </w:r>
          </w:p>
        </w:tc>
        <w:tc>
          <w:tcPr>
            <w:tcW w:w="1984" w:type="dxa"/>
            <w:tcBorders>
              <w:top w:val="single" w:sz="4" w:space="0" w:color="auto"/>
              <w:left w:val="single" w:sz="4" w:space="0" w:color="auto"/>
              <w:bottom w:val="single" w:sz="4" w:space="0" w:color="auto"/>
              <w:right w:val="single" w:sz="4" w:space="0" w:color="auto"/>
            </w:tcBorders>
            <w:hideMark/>
          </w:tcPr>
          <w:p w14:paraId="608C915A" w14:textId="3C7D14B9" w:rsidR="00661D2D" w:rsidRPr="00661D2D" w:rsidRDefault="00661D2D" w:rsidP="00661D2D">
            <w:pPr>
              <w:spacing w:before="80" w:after="80" w:line="240" w:lineRule="auto"/>
              <w:jc w:val="center"/>
              <w:rPr>
                <w:rFonts w:cs="Arial"/>
                <w:szCs w:val="22"/>
              </w:rPr>
            </w:pPr>
            <w:r w:rsidRPr="00661D2D">
              <w:rPr>
                <w:rFonts w:cs="Arial"/>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6FF6583F" w14:textId="2590C690" w:rsidR="00661D2D" w:rsidRPr="00661D2D" w:rsidRDefault="00661D2D" w:rsidP="00661D2D">
            <w:pPr>
              <w:spacing w:before="80" w:after="80" w:line="240" w:lineRule="auto"/>
              <w:jc w:val="center"/>
              <w:rPr>
                <w:rFonts w:cs="Arial"/>
                <w:szCs w:val="22"/>
              </w:rPr>
            </w:pPr>
            <w:r w:rsidRPr="00661D2D">
              <w:rPr>
                <w:rFonts w:cs="Arial"/>
                <w:szCs w:val="22"/>
              </w:rPr>
              <w:t>50+ minutes</w:t>
            </w:r>
          </w:p>
        </w:tc>
      </w:tr>
      <w:tr w:rsidR="00661D2D" w14:paraId="0D0D3C53"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733534DC" w14:textId="3327A5B6"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5B39BEAD" w14:textId="651A7D24" w:rsidR="00661D2D" w:rsidRPr="00661D2D" w:rsidRDefault="00661D2D" w:rsidP="00661D2D">
            <w:pPr>
              <w:spacing w:before="80" w:after="80" w:line="240" w:lineRule="auto"/>
              <w:jc w:val="center"/>
              <w:rPr>
                <w:rFonts w:cs="Arial"/>
                <w:szCs w:val="22"/>
              </w:rPr>
            </w:pPr>
            <w:r w:rsidRPr="00661D2D">
              <w:rPr>
                <w:rFonts w:cs="Arial"/>
                <w:color w:val="000000"/>
                <w:szCs w:val="22"/>
              </w:rPr>
              <w:t>8014</w:t>
            </w:r>
            <w:r w:rsidR="00B35CF2">
              <w:rPr>
                <w:rFonts w:cs="Arial"/>
                <w:color w:val="000000"/>
                <w:szCs w:val="22"/>
              </w:rPr>
              <w:t>1</w:t>
            </w:r>
          </w:p>
        </w:tc>
        <w:tc>
          <w:tcPr>
            <w:tcW w:w="1984" w:type="dxa"/>
            <w:tcBorders>
              <w:top w:val="single" w:sz="4" w:space="0" w:color="auto"/>
              <w:left w:val="single" w:sz="4" w:space="0" w:color="auto"/>
              <w:bottom w:val="single" w:sz="4" w:space="0" w:color="auto"/>
              <w:right w:val="single" w:sz="4" w:space="0" w:color="auto"/>
            </w:tcBorders>
            <w:hideMark/>
          </w:tcPr>
          <w:p w14:paraId="5154DC45" w14:textId="2CC2415A" w:rsidR="00661D2D" w:rsidRPr="00661D2D" w:rsidRDefault="00661D2D" w:rsidP="00661D2D">
            <w:pPr>
              <w:spacing w:before="80" w:after="80" w:line="240" w:lineRule="auto"/>
              <w:jc w:val="center"/>
              <w:rPr>
                <w:rFonts w:cs="Arial"/>
                <w:szCs w:val="22"/>
              </w:rPr>
            </w:pPr>
            <w:r w:rsidRPr="00661D2D">
              <w:rPr>
                <w:rFonts w:cs="Arial"/>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3529F712" w14:textId="3351E23A" w:rsidR="00661D2D" w:rsidRPr="00661D2D" w:rsidRDefault="00661D2D" w:rsidP="00661D2D">
            <w:pPr>
              <w:spacing w:before="80" w:after="80" w:line="240" w:lineRule="auto"/>
              <w:jc w:val="center"/>
              <w:rPr>
                <w:rFonts w:cs="Arial"/>
                <w:szCs w:val="22"/>
              </w:rPr>
            </w:pPr>
            <w:r w:rsidRPr="00661D2D">
              <w:rPr>
                <w:rFonts w:cs="Arial"/>
                <w:szCs w:val="22"/>
              </w:rPr>
              <w:t>50+ minutes</w:t>
            </w:r>
          </w:p>
        </w:tc>
      </w:tr>
      <w:tr w:rsidR="00661D2D" w14:paraId="35D18797"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4FCFE536" w14:textId="73FA9F15"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75993722" w14:textId="47AA0FF5" w:rsidR="00661D2D" w:rsidRPr="00661D2D" w:rsidRDefault="00661D2D" w:rsidP="00661D2D">
            <w:pPr>
              <w:spacing w:before="80" w:after="80" w:line="240" w:lineRule="auto"/>
              <w:jc w:val="center"/>
              <w:rPr>
                <w:rFonts w:cs="Arial"/>
                <w:szCs w:val="22"/>
              </w:rPr>
            </w:pPr>
            <w:r w:rsidRPr="00661D2D">
              <w:rPr>
                <w:rFonts w:cs="Arial"/>
                <w:color w:val="000000"/>
                <w:szCs w:val="22"/>
              </w:rPr>
              <w:t>911</w:t>
            </w:r>
            <w:r w:rsidR="00B35CF2">
              <w:rPr>
                <w:rFonts w:cs="Arial"/>
                <w:color w:val="000000"/>
                <w:szCs w:val="22"/>
              </w:rPr>
              <w:t>95</w:t>
            </w:r>
          </w:p>
        </w:tc>
        <w:tc>
          <w:tcPr>
            <w:tcW w:w="1984" w:type="dxa"/>
            <w:tcBorders>
              <w:top w:val="single" w:sz="4" w:space="0" w:color="auto"/>
              <w:left w:val="single" w:sz="4" w:space="0" w:color="auto"/>
              <w:bottom w:val="single" w:sz="4" w:space="0" w:color="auto"/>
              <w:right w:val="single" w:sz="4" w:space="0" w:color="auto"/>
            </w:tcBorders>
            <w:hideMark/>
          </w:tcPr>
          <w:p w14:paraId="11E5107C" w14:textId="00A65BB4" w:rsidR="00661D2D" w:rsidRPr="00661D2D" w:rsidRDefault="00661D2D" w:rsidP="00661D2D">
            <w:pPr>
              <w:spacing w:before="80" w:after="80" w:line="240" w:lineRule="auto"/>
              <w:jc w:val="center"/>
              <w:rPr>
                <w:rFonts w:cs="Arial"/>
                <w:szCs w:val="22"/>
              </w:rPr>
            </w:pPr>
            <w:r w:rsidRPr="00661D2D">
              <w:rPr>
                <w:rFonts w:cs="Arial"/>
                <w:szCs w:val="22"/>
              </w:rPr>
              <w:t>Telehealth</w:t>
            </w:r>
          </w:p>
        </w:tc>
        <w:tc>
          <w:tcPr>
            <w:tcW w:w="2693" w:type="dxa"/>
            <w:tcBorders>
              <w:top w:val="single" w:sz="4" w:space="0" w:color="auto"/>
              <w:left w:val="single" w:sz="4" w:space="0" w:color="auto"/>
              <w:bottom w:val="single" w:sz="4" w:space="0" w:color="auto"/>
              <w:right w:val="single" w:sz="4" w:space="0" w:color="auto"/>
            </w:tcBorders>
          </w:tcPr>
          <w:p w14:paraId="3F86D50B" w14:textId="0918A671" w:rsidR="00661D2D" w:rsidRPr="00661D2D" w:rsidRDefault="00661D2D" w:rsidP="00661D2D">
            <w:pPr>
              <w:spacing w:before="80" w:after="80" w:line="240" w:lineRule="auto"/>
              <w:jc w:val="center"/>
              <w:rPr>
                <w:rFonts w:cs="Arial"/>
                <w:szCs w:val="22"/>
              </w:rPr>
            </w:pPr>
            <w:r w:rsidRPr="00661D2D">
              <w:rPr>
                <w:rFonts w:cs="Arial"/>
                <w:szCs w:val="22"/>
              </w:rPr>
              <w:t>50+ minutes</w:t>
            </w:r>
          </w:p>
        </w:tc>
      </w:tr>
      <w:tr w:rsidR="00661D2D" w14:paraId="786A68AA" w14:textId="77777777" w:rsidTr="00B82B57">
        <w:tc>
          <w:tcPr>
            <w:tcW w:w="2830" w:type="dxa"/>
            <w:tcBorders>
              <w:top w:val="single" w:sz="4" w:space="0" w:color="auto"/>
              <w:left w:val="single" w:sz="4" w:space="0" w:color="auto"/>
              <w:bottom w:val="single" w:sz="4" w:space="0" w:color="auto"/>
              <w:right w:val="single" w:sz="4" w:space="0" w:color="auto"/>
            </w:tcBorders>
            <w:hideMark/>
          </w:tcPr>
          <w:p w14:paraId="424B88D7" w14:textId="0D13EC2B" w:rsidR="00661D2D" w:rsidRPr="00661D2D" w:rsidRDefault="00661D2D" w:rsidP="00661D2D">
            <w:pPr>
              <w:spacing w:before="80" w:after="80" w:line="240" w:lineRule="auto"/>
              <w:rPr>
                <w:rFonts w:cs="Arial"/>
                <w:szCs w:val="22"/>
              </w:rPr>
            </w:pPr>
            <w:r w:rsidRPr="00661D2D">
              <w:rPr>
                <w:rFonts w:cs="Arial"/>
                <w:szCs w:val="22"/>
              </w:rPr>
              <w:t>Occupational Therapist</w:t>
            </w:r>
          </w:p>
        </w:tc>
        <w:tc>
          <w:tcPr>
            <w:tcW w:w="1560" w:type="dxa"/>
            <w:tcBorders>
              <w:top w:val="single" w:sz="4" w:space="0" w:color="auto"/>
              <w:left w:val="single" w:sz="4" w:space="0" w:color="auto"/>
              <w:bottom w:val="single" w:sz="4" w:space="0" w:color="auto"/>
              <w:right w:val="single" w:sz="4" w:space="0" w:color="auto"/>
            </w:tcBorders>
            <w:hideMark/>
          </w:tcPr>
          <w:p w14:paraId="66CD89E7" w14:textId="365C93B0" w:rsidR="00661D2D" w:rsidRPr="00661D2D" w:rsidRDefault="00661D2D" w:rsidP="00661D2D">
            <w:pPr>
              <w:spacing w:before="80" w:after="80" w:line="240" w:lineRule="auto"/>
              <w:jc w:val="center"/>
              <w:rPr>
                <w:rFonts w:cs="Arial"/>
                <w:szCs w:val="22"/>
              </w:rPr>
            </w:pPr>
            <w:r w:rsidRPr="00661D2D">
              <w:rPr>
                <w:rFonts w:cs="Arial"/>
                <w:color w:val="000000"/>
                <w:szCs w:val="22"/>
              </w:rPr>
              <w:t>91</w:t>
            </w:r>
            <w:r w:rsidR="00B35CF2">
              <w:rPr>
                <w:rFonts w:cs="Arial"/>
                <w:color w:val="000000"/>
                <w:szCs w:val="22"/>
              </w:rPr>
              <w:t>203</w:t>
            </w:r>
          </w:p>
        </w:tc>
        <w:tc>
          <w:tcPr>
            <w:tcW w:w="1984" w:type="dxa"/>
            <w:tcBorders>
              <w:top w:val="single" w:sz="4" w:space="0" w:color="auto"/>
              <w:left w:val="single" w:sz="4" w:space="0" w:color="auto"/>
              <w:bottom w:val="single" w:sz="4" w:space="0" w:color="auto"/>
              <w:right w:val="single" w:sz="4" w:space="0" w:color="auto"/>
            </w:tcBorders>
            <w:hideMark/>
          </w:tcPr>
          <w:p w14:paraId="76304F09" w14:textId="0AEAB2F4" w:rsidR="00661D2D" w:rsidRPr="00661D2D" w:rsidRDefault="00661D2D" w:rsidP="00661D2D">
            <w:pPr>
              <w:spacing w:before="80" w:after="80" w:line="240" w:lineRule="auto"/>
              <w:jc w:val="center"/>
              <w:rPr>
                <w:rFonts w:cs="Arial"/>
                <w:szCs w:val="22"/>
              </w:rPr>
            </w:pPr>
            <w:r w:rsidRPr="00661D2D">
              <w:rPr>
                <w:rFonts w:cs="Arial"/>
                <w:szCs w:val="22"/>
              </w:rPr>
              <w:t>Phone</w:t>
            </w:r>
          </w:p>
        </w:tc>
        <w:tc>
          <w:tcPr>
            <w:tcW w:w="2693" w:type="dxa"/>
            <w:tcBorders>
              <w:top w:val="single" w:sz="4" w:space="0" w:color="auto"/>
              <w:left w:val="single" w:sz="4" w:space="0" w:color="auto"/>
              <w:bottom w:val="single" w:sz="4" w:space="0" w:color="auto"/>
              <w:right w:val="single" w:sz="4" w:space="0" w:color="auto"/>
            </w:tcBorders>
          </w:tcPr>
          <w:p w14:paraId="6ADCC0C5" w14:textId="68DFF917" w:rsidR="00661D2D" w:rsidRPr="00661D2D" w:rsidRDefault="00661D2D" w:rsidP="00661D2D">
            <w:pPr>
              <w:spacing w:before="80" w:after="80" w:line="240" w:lineRule="auto"/>
              <w:jc w:val="center"/>
              <w:rPr>
                <w:rFonts w:cs="Arial"/>
                <w:szCs w:val="22"/>
              </w:rPr>
            </w:pPr>
            <w:r w:rsidRPr="00661D2D">
              <w:rPr>
                <w:rFonts w:cs="Arial"/>
                <w:szCs w:val="22"/>
              </w:rPr>
              <w:t>50+ minutes</w:t>
            </w:r>
          </w:p>
        </w:tc>
      </w:tr>
      <w:tr w:rsidR="00661D2D" w14:paraId="43A53E77" w14:textId="77777777" w:rsidTr="00B82B57">
        <w:tc>
          <w:tcPr>
            <w:tcW w:w="2830" w:type="dxa"/>
            <w:tcBorders>
              <w:top w:val="single" w:sz="4" w:space="0" w:color="auto"/>
              <w:left w:val="single" w:sz="4" w:space="0" w:color="auto"/>
              <w:bottom w:val="single" w:sz="4" w:space="0" w:color="auto"/>
              <w:right w:val="single" w:sz="4" w:space="0" w:color="auto"/>
            </w:tcBorders>
          </w:tcPr>
          <w:p w14:paraId="6B49FE93" w14:textId="201D97CC" w:rsidR="00661D2D" w:rsidRPr="00661D2D" w:rsidRDefault="00661D2D" w:rsidP="00661D2D">
            <w:pPr>
              <w:spacing w:before="80" w:after="80" w:line="240" w:lineRule="auto"/>
              <w:rPr>
                <w:rFonts w:cs="Arial"/>
                <w:szCs w:val="22"/>
              </w:rPr>
            </w:pPr>
            <w:r>
              <w:rPr>
                <w:rFonts w:cs="Arial"/>
                <w:szCs w:val="22"/>
              </w:rPr>
              <w:t>Social Worker</w:t>
            </w:r>
          </w:p>
        </w:tc>
        <w:tc>
          <w:tcPr>
            <w:tcW w:w="1560" w:type="dxa"/>
            <w:tcBorders>
              <w:top w:val="single" w:sz="4" w:space="0" w:color="auto"/>
              <w:left w:val="single" w:sz="4" w:space="0" w:color="auto"/>
              <w:bottom w:val="single" w:sz="4" w:space="0" w:color="auto"/>
              <w:right w:val="single" w:sz="4" w:space="0" w:color="auto"/>
            </w:tcBorders>
          </w:tcPr>
          <w:p w14:paraId="10B83E66" w14:textId="5F17EC0B"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8015</w:t>
            </w:r>
            <w:r w:rsidR="00B35CF2">
              <w:rPr>
                <w:rFonts w:cs="Arial"/>
                <w:color w:val="000000"/>
                <w:szCs w:val="22"/>
              </w:rPr>
              <w:t>4</w:t>
            </w:r>
          </w:p>
        </w:tc>
        <w:tc>
          <w:tcPr>
            <w:tcW w:w="1984" w:type="dxa"/>
            <w:tcBorders>
              <w:top w:val="single" w:sz="4" w:space="0" w:color="auto"/>
              <w:left w:val="single" w:sz="4" w:space="0" w:color="auto"/>
              <w:bottom w:val="single" w:sz="4" w:space="0" w:color="auto"/>
              <w:right w:val="single" w:sz="4" w:space="0" w:color="auto"/>
            </w:tcBorders>
          </w:tcPr>
          <w:p w14:paraId="073E7F3D" w14:textId="12A2611F" w:rsidR="00661D2D" w:rsidRPr="00661D2D" w:rsidRDefault="00661D2D" w:rsidP="00661D2D">
            <w:pPr>
              <w:spacing w:before="80" w:after="80" w:line="240" w:lineRule="auto"/>
              <w:jc w:val="center"/>
              <w:rPr>
                <w:rFonts w:cs="Arial"/>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03A3F2C6" w14:textId="0EB0AB0F" w:rsidR="00661D2D" w:rsidRPr="00661D2D" w:rsidRDefault="00661D2D" w:rsidP="00661D2D">
            <w:pPr>
              <w:spacing w:before="80" w:after="80" w:line="240" w:lineRule="auto"/>
              <w:jc w:val="center"/>
              <w:rPr>
                <w:rFonts w:cs="Arial"/>
                <w:szCs w:val="22"/>
              </w:rPr>
            </w:pPr>
            <w:r>
              <w:rPr>
                <w:szCs w:val="22"/>
              </w:rPr>
              <w:t>20 – 50 minutes</w:t>
            </w:r>
          </w:p>
        </w:tc>
      </w:tr>
      <w:tr w:rsidR="00661D2D" w14:paraId="43864F1F" w14:textId="77777777" w:rsidTr="00B82B57">
        <w:tc>
          <w:tcPr>
            <w:tcW w:w="2830" w:type="dxa"/>
            <w:tcBorders>
              <w:top w:val="single" w:sz="4" w:space="0" w:color="auto"/>
              <w:left w:val="single" w:sz="4" w:space="0" w:color="auto"/>
              <w:bottom w:val="single" w:sz="4" w:space="0" w:color="auto"/>
              <w:right w:val="single" w:sz="4" w:space="0" w:color="auto"/>
            </w:tcBorders>
          </w:tcPr>
          <w:p w14:paraId="61A721F2" w14:textId="6B5C46EF" w:rsidR="00661D2D" w:rsidRPr="00661D2D" w:rsidRDefault="00661D2D" w:rsidP="00661D2D">
            <w:pPr>
              <w:spacing w:before="80" w:after="80" w:line="240" w:lineRule="auto"/>
              <w:rPr>
                <w:rFonts w:cs="Arial"/>
                <w:szCs w:val="22"/>
              </w:rPr>
            </w:pPr>
            <w:r w:rsidRPr="0025189A">
              <w:rPr>
                <w:rFonts w:cs="Arial"/>
                <w:szCs w:val="22"/>
              </w:rPr>
              <w:lastRenderedPageBreak/>
              <w:t>Social Worker</w:t>
            </w:r>
          </w:p>
        </w:tc>
        <w:tc>
          <w:tcPr>
            <w:tcW w:w="1560" w:type="dxa"/>
            <w:tcBorders>
              <w:top w:val="single" w:sz="4" w:space="0" w:color="auto"/>
              <w:left w:val="single" w:sz="4" w:space="0" w:color="auto"/>
              <w:bottom w:val="single" w:sz="4" w:space="0" w:color="auto"/>
              <w:right w:val="single" w:sz="4" w:space="0" w:color="auto"/>
            </w:tcBorders>
          </w:tcPr>
          <w:p w14:paraId="63CE1CD9" w14:textId="5A790A72"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8015</w:t>
            </w:r>
            <w:r w:rsidR="00B35CF2">
              <w:rPr>
                <w:rFonts w:cs="Arial"/>
                <w:color w:val="000000"/>
                <w:szCs w:val="22"/>
              </w:rPr>
              <w:t>6</w:t>
            </w:r>
          </w:p>
        </w:tc>
        <w:tc>
          <w:tcPr>
            <w:tcW w:w="1984" w:type="dxa"/>
            <w:tcBorders>
              <w:top w:val="single" w:sz="4" w:space="0" w:color="auto"/>
              <w:left w:val="single" w:sz="4" w:space="0" w:color="auto"/>
              <w:bottom w:val="single" w:sz="4" w:space="0" w:color="auto"/>
              <w:right w:val="single" w:sz="4" w:space="0" w:color="auto"/>
            </w:tcBorders>
          </w:tcPr>
          <w:p w14:paraId="7535AC29" w14:textId="6107B8EC" w:rsidR="00661D2D" w:rsidRPr="00661D2D" w:rsidRDefault="00661D2D" w:rsidP="00661D2D">
            <w:pPr>
              <w:spacing w:before="80" w:after="80" w:line="240" w:lineRule="auto"/>
              <w:jc w:val="center"/>
              <w:rPr>
                <w:rFonts w:cs="Arial"/>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271AA059" w14:textId="2A9F04D0" w:rsidR="00661D2D" w:rsidRPr="00661D2D" w:rsidRDefault="00661D2D" w:rsidP="00661D2D">
            <w:pPr>
              <w:spacing w:before="80" w:after="80" w:line="240" w:lineRule="auto"/>
              <w:jc w:val="center"/>
              <w:rPr>
                <w:rFonts w:cs="Arial"/>
                <w:szCs w:val="22"/>
              </w:rPr>
            </w:pPr>
            <w:r>
              <w:rPr>
                <w:szCs w:val="22"/>
              </w:rPr>
              <w:t>20 – 50 minutes</w:t>
            </w:r>
          </w:p>
        </w:tc>
      </w:tr>
      <w:tr w:rsidR="00661D2D" w14:paraId="4F2C6B81" w14:textId="77777777" w:rsidTr="00B82B57">
        <w:tc>
          <w:tcPr>
            <w:tcW w:w="2830" w:type="dxa"/>
            <w:tcBorders>
              <w:top w:val="single" w:sz="4" w:space="0" w:color="auto"/>
              <w:left w:val="single" w:sz="4" w:space="0" w:color="auto"/>
              <w:bottom w:val="single" w:sz="4" w:space="0" w:color="auto"/>
              <w:right w:val="single" w:sz="4" w:space="0" w:color="auto"/>
            </w:tcBorders>
          </w:tcPr>
          <w:p w14:paraId="37E4D50D" w14:textId="4E1A2314" w:rsidR="00661D2D" w:rsidRPr="00661D2D" w:rsidRDefault="00661D2D" w:rsidP="00661D2D">
            <w:pPr>
              <w:spacing w:before="80" w:after="80" w:line="240" w:lineRule="auto"/>
              <w:rPr>
                <w:rFonts w:cs="Arial"/>
                <w:szCs w:val="22"/>
              </w:rPr>
            </w:pPr>
            <w:r w:rsidRPr="0025189A">
              <w:rPr>
                <w:rFonts w:cs="Arial"/>
                <w:szCs w:val="22"/>
              </w:rPr>
              <w:t>Social Worker</w:t>
            </w:r>
          </w:p>
        </w:tc>
        <w:tc>
          <w:tcPr>
            <w:tcW w:w="1560" w:type="dxa"/>
            <w:tcBorders>
              <w:top w:val="single" w:sz="4" w:space="0" w:color="auto"/>
              <w:left w:val="single" w:sz="4" w:space="0" w:color="auto"/>
              <w:bottom w:val="single" w:sz="4" w:space="0" w:color="auto"/>
              <w:right w:val="single" w:sz="4" w:space="0" w:color="auto"/>
            </w:tcBorders>
          </w:tcPr>
          <w:p w14:paraId="60CE1A61" w14:textId="7AD676D5"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911</w:t>
            </w:r>
            <w:r w:rsidR="00B35CF2">
              <w:rPr>
                <w:rFonts w:cs="Arial"/>
                <w:color w:val="000000"/>
                <w:szCs w:val="22"/>
              </w:rPr>
              <w:t>96</w:t>
            </w:r>
          </w:p>
        </w:tc>
        <w:tc>
          <w:tcPr>
            <w:tcW w:w="1984" w:type="dxa"/>
            <w:tcBorders>
              <w:top w:val="single" w:sz="4" w:space="0" w:color="auto"/>
              <w:left w:val="single" w:sz="4" w:space="0" w:color="auto"/>
              <w:bottom w:val="single" w:sz="4" w:space="0" w:color="auto"/>
              <w:right w:val="single" w:sz="4" w:space="0" w:color="auto"/>
            </w:tcBorders>
          </w:tcPr>
          <w:p w14:paraId="5DD6E017" w14:textId="004E10C7" w:rsidR="00661D2D" w:rsidRPr="00661D2D" w:rsidRDefault="00661D2D" w:rsidP="00661D2D">
            <w:pPr>
              <w:spacing w:before="80" w:after="80" w:line="240" w:lineRule="auto"/>
              <w:jc w:val="center"/>
              <w:rPr>
                <w:rFonts w:cs="Arial"/>
                <w:szCs w:val="22"/>
              </w:rPr>
            </w:pPr>
            <w:r>
              <w:rPr>
                <w:szCs w:val="22"/>
              </w:rPr>
              <w:t>Telehealth</w:t>
            </w:r>
          </w:p>
        </w:tc>
        <w:tc>
          <w:tcPr>
            <w:tcW w:w="2693" w:type="dxa"/>
            <w:tcBorders>
              <w:top w:val="single" w:sz="4" w:space="0" w:color="auto"/>
              <w:left w:val="single" w:sz="4" w:space="0" w:color="auto"/>
              <w:bottom w:val="single" w:sz="4" w:space="0" w:color="auto"/>
              <w:right w:val="single" w:sz="4" w:space="0" w:color="auto"/>
            </w:tcBorders>
          </w:tcPr>
          <w:p w14:paraId="175FBEEE" w14:textId="31887967" w:rsidR="00661D2D" w:rsidRPr="00661D2D" w:rsidRDefault="00661D2D" w:rsidP="00661D2D">
            <w:pPr>
              <w:spacing w:before="80" w:after="80" w:line="240" w:lineRule="auto"/>
              <w:jc w:val="center"/>
              <w:rPr>
                <w:rFonts w:cs="Arial"/>
                <w:szCs w:val="22"/>
              </w:rPr>
            </w:pPr>
            <w:r>
              <w:rPr>
                <w:szCs w:val="22"/>
              </w:rPr>
              <w:t>20 – 50 minutes</w:t>
            </w:r>
          </w:p>
        </w:tc>
      </w:tr>
      <w:tr w:rsidR="00661D2D" w14:paraId="0A947BEE" w14:textId="77777777" w:rsidTr="00B82B57">
        <w:tc>
          <w:tcPr>
            <w:tcW w:w="2830" w:type="dxa"/>
            <w:tcBorders>
              <w:top w:val="single" w:sz="4" w:space="0" w:color="auto"/>
              <w:left w:val="single" w:sz="4" w:space="0" w:color="auto"/>
              <w:bottom w:val="single" w:sz="4" w:space="0" w:color="auto"/>
              <w:right w:val="single" w:sz="4" w:space="0" w:color="auto"/>
            </w:tcBorders>
          </w:tcPr>
          <w:p w14:paraId="0CDDF3AD" w14:textId="5BC0919A" w:rsidR="00661D2D" w:rsidRPr="00661D2D" w:rsidRDefault="00661D2D" w:rsidP="00661D2D">
            <w:pPr>
              <w:spacing w:before="80" w:after="80" w:line="240" w:lineRule="auto"/>
              <w:rPr>
                <w:rFonts w:cs="Arial"/>
                <w:szCs w:val="22"/>
              </w:rPr>
            </w:pPr>
            <w:r w:rsidRPr="0025189A">
              <w:rPr>
                <w:rFonts w:cs="Arial"/>
                <w:szCs w:val="22"/>
              </w:rPr>
              <w:t>Social Worker</w:t>
            </w:r>
          </w:p>
        </w:tc>
        <w:tc>
          <w:tcPr>
            <w:tcW w:w="1560" w:type="dxa"/>
            <w:tcBorders>
              <w:top w:val="single" w:sz="4" w:space="0" w:color="auto"/>
              <w:left w:val="single" w:sz="4" w:space="0" w:color="auto"/>
              <w:bottom w:val="single" w:sz="4" w:space="0" w:color="auto"/>
              <w:right w:val="single" w:sz="4" w:space="0" w:color="auto"/>
            </w:tcBorders>
          </w:tcPr>
          <w:p w14:paraId="39D9FA6E" w14:textId="2332B685"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91</w:t>
            </w:r>
            <w:r w:rsidR="00B35CF2">
              <w:rPr>
                <w:rFonts w:cs="Arial"/>
                <w:color w:val="000000"/>
                <w:szCs w:val="22"/>
              </w:rPr>
              <w:t>204</w:t>
            </w:r>
          </w:p>
        </w:tc>
        <w:tc>
          <w:tcPr>
            <w:tcW w:w="1984" w:type="dxa"/>
            <w:tcBorders>
              <w:top w:val="single" w:sz="4" w:space="0" w:color="auto"/>
              <w:left w:val="single" w:sz="4" w:space="0" w:color="auto"/>
              <w:bottom w:val="single" w:sz="4" w:space="0" w:color="auto"/>
              <w:right w:val="single" w:sz="4" w:space="0" w:color="auto"/>
            </w:tcBorders>
          </w:tcPr>
          <w:p w14:paraId="7A692BD8" w14:textId="4DE64A01" w:rsidR="00661D2D" w:rsidRPr="00661D2D" w:rsidRDefault="00661D2D" w:rsidP="00661D2D">
            <w:pPr>
              <w:spacing w:before="80" w:after="80" w:line="240" w:lineRule="auto"/>
              <w:jc w:val="center"/>
              <w:rPr>
                <w:rFonts w:cs="Arial"/>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2FC3EE2A" w14:textId="5BA63617" w:rsidR="00661D2D" w:rsidRPr="00661D2D" w:rsidRDefault="00661D2D" w:rsidP="00661D2D">
            <w:pPr>
              <w:spacing w:before="80" w:after="80" w:line="240" w:lineRule="auto"/>
              <w:jc w:val="center"/>
              <w:rPr>
                <w:rFonts w:cs="Arial"/>
                <w:szCs w:val="22"/>
              </w:rPr>
            </w:pPr>
            <w:r>
              <w:rPr>
                <w:szCs w:val="22"/>
              </w:rPr>
              <w:t>20 – 50 minutes</w:t>
            </w:r>
          </w:p>
        </w:tc>
      </w:tr>
      <w:tr w:rsidR="00661D2D" w14:paraId="58834223" w14:textId="77777777" w:rsidTr="00B82B57">
        <w:tc>
          <w:tcPr>
            <w:tcW w:w="2830" w:type="dxa"/>
            <w:tcBorders>
              <w:top w:val="single" w:sz="4" w:space="0" w:color="auto"/>
              <w:left w:val="single" w:sz="4" w:space="0" w:color="auto"/>
              <w:bottom w:val="single" w:sz="4" w:space="0" w:color="auto"/>
              <w:right w:val="single" w:sz="4" w:space="0" w:color="auto"/>
            </w:tcBorders>
          </w:tcPr>
          <w:p w14:paraId="56ED97F6" w14:textId="059EAAE6" w:rsidR="00661D2D" w:rsidRPr="00661D2D" w:rsidRDefault="00661D2D" w:rsidP="00661D2D">
            <w:pPr>
              <w:spacing w:before="80" w:after="80" w:line="240" w:lineRule="auto"/>
              <w:rPr>
                <w:rFonts w:cs="Arial"/>
                <w:szCs w:val="22"/>
              </w:rPr>
            </w:pPr>
            <w:r w:rsidRPr="0025189A">
              <w:rPr>
                <w:rFonts w:cs="Arial"/>
                <w:szCs w:val="22"/>
              </w:rPr>
              <w:t>Social Worker</w:t>
            </w:r>
          </w:p>
        </w:tc>
        <w:tc>
          <w:tcPr>
            <w:tcW w:w="1560" w:type="dxa"/>
            <w:tcBorders>
              <w:top w:val="single" w:sz="4" w:space="0" w:color="auto"/>
              <w:left w:val="single" w:sz="4" w:space="0" w:color="auto"/>
              <w:bottom w:val="single" w:sz="4" w:space="0" w:color="auto"/>
              <w:right w:val="single" w:sz="4" w:space="0" w:color="auto"/>
            </w:tcBorders>
          </w:tcPr>
          <w:p w14:paraId="73EB8DA2" w14:textId="2DBE2207"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8016</w:t>
            </w:r>
            <w:r w:rsidR="00B35CF2">
              <w:rPr>
                <w:rFonts w:cs="Arial"/>
                <w:color w:val="000000"/>
                <w:szCs w:val="22"/>
              </w:rPr>
              <w:t>2</w:t>
            </w:r>
          </w:p>
        </w:tc>
        <w:tc>
          <w:tcPr>
            <w:tcW w:w="1984" w:type="dxa"/>
            <w:tcBorders>
              <w:top w:val="single" w:sz="4" w:space="0" w:color="auto"/>
              <w:left w:val="single" w:sz="4" w:space="0" w:color="auto"/>
              <w:bottom w:val="single" w:sz="4" w:space="0" w:color="auto"/>
              <w:right w:val="single" w:sz="4" w:space="0" w:color="auto"/>
            </w:tcBorders>
          </w:tcPr>
          <w:p w14:paraId="2EA574D1" w14:textId="7A74AD30" w:rsidR="00661D2D" w:rsidRPr="00661D2D" w:rsidRDefault="00661D2D" w:rsidP="00661D2D">
            <w:pPr>
              <w:spacing w:before="80" w:after="80" w:line="240" w:lineRule="auto"/>
              <w:jc w:val="center"/>
              <w:rPr>
                <w:rFonts w:cs="Arial"/>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1C7F3E3C" w14:textId="1275E9BF" w:rsidR="00661D2D" w:rsidRPr="00661D2D" w:rsidRDefault="00661D2D" w:rsidP="00661D2D">
            <w:pPr>
              <w:spacing w:before="80" w:after="80" w:line="240" w:lineRule="auto"/>
              <w:jc w:val="center"/>
              <w:rPr>
                <w:rFonts w:cs="Arial"/>
                <w:szCs w:val="22"/>
              </w:rPr>
            </w:pPr>
            <w:r>
              <w:rPr>
                <w:szCs w:val="22"/>
              </w:rPr>
              <w:t>50+ minutes</w:t>
            </w:r>
          </w:p>
        </w:tc>
      </w:tr>
      <w:tr w:rsidR="00661D2D" w14:paraId="0902B2CB" w14:textId="77777777" w:rsidTr="00B82B57">
        <w:tc>
          <w:tcPr>
            <w:tcW w:w="2830" w:type="dxa"/>
            <w:tcBorders>
              <w:top w:val="single" w:sz="4" w:space="0" w:color="auto"/>
              <w:left w:val="single" w:sz="4" w:space="0" w:color="auto"/>
              <w:bottom w:val="single" w:sz="4" w:space="0" w:color="auto"/>
              <w:right w:val="single" w:sz="4" w:space="0" w:color="auto"/>
            </w:tcBorders>
          </w:tcPr>
          <w:p w14:paraId="04ED6E3F" w14:textId="330EE6E3" w:rsidR="00661D2D" w:rsidRPr="00661D2D" w:rsidRDefault="00661D2D" w:rsidP="00661D2D">
            <w:pPr>
              <w:spacing w:before="80" w:after="80" w:line="240" w:lineRule="auto"/>
              <w:rPr>
                <w:rFonts w:cs="Arial"/>
                <w:szCs w:val="22"/>
              </w:rPr>
            </w:pPr>
            <w:r w:rsidRPr="0025189A">
              <w:rPr>
                <w:rFonts w:cs="Arial"/>
                <w:szCs w:val="22"/>
              </w:rPr>
              <w:t>Social Worker</w:t>
            </w:r>
          </w:p>
        </w:tc>
        <w:tc>
          <w:tcPr>
            <w:tcW w:w="1560" w:type="dxa"/>
            <w:tcBorders>
              <w:top w:val="single" w:sz="4" w:space="0" w:color="auto"/>
              <w:left w:val="single" w:sz="4" w:space="0" w:color="auto"/>
              <w:bottom w:val="single" w:sz="4" w:space="0" w:color="auto"/>
              <w:right w:val="single" w:sz="4" w:space="0" w:color="auto"/>
            </w:tcBorders>
          </w:tcPr>
          <w:p w14:paraId="23AB247B" w14:textId="25391216"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8016</w:t>
            </w:r>
            <w:r w:rsidR="00B35CF2">
              <w:rPr>
                <w:rFonts w:cs="Arial"/>
                <w:color w:val="000000"/>
                <w:szCs w:val="22"/>
              </w:rPr>
              <w:t>6</w:t>
            </w:r>
          </w:p>
        </w:tc>
        <w:tc>
          <w:tcPr>
            <w:tcW w:w="1984" w:type="dxa"/>
            <w:tcBorders>
              <w:top w:val="single" w:sz="4" w:space="0" w:color="auto"/>
              <w:left w:val="single" w:sz="4" w:space="0" w:color="auto"/>
              <w:bottom w:val="single" w:sz="4" w:space="0" w:color="auto"/>
              <w:right w:val="single" w:sz="4" w:space="0" w:color="auto"/>
            </w:tcBorders>
          </w:tcPr>
          <w:p w14:paraId="77A341FF" w14:textId="42CC731A" w:rsidR="00661D2D" w:rsidRPr="00661D2D" w:rsidRDefault="00661D2D" w:rsidP="00661D2D">
            <w:pPr>
              <w:spacing w:before="80" w:after="80" w:line="240" w:lineRule="auto"/>
              <w:jc w:val="center"/>
              <w:rPr>
                <w:rFonts w:cs="Arial"/>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4D27C022" w14:textId="5095129C" w:rsidR="00661D2D" w:rsidRPr="00661D2D" w:rsidRDefault="00661D2D" w:rsidP="00661D2D">
            <w:pPr>
              <w:spacing w:before="80" w:after="80" w:line="240" w:lineRule="auto"/>
              <w:jc w:val="center"/>
              <w:rPr>
                <w:rFonts w:cs="Arial"/>
                <w:szCs w:val="22"/>
              </w:rPr>
            </w:pPr>
            <w:r>
              <w:rPr>
                <w:szCs w:val="22"/>
              </w:rPr>
              <w:t>50+ minutes</w:t>
            </w:r>
          </w:p>
        </w:tc>
      </w:tr>
      <w:tr w:rsidR="00661D2D" w14:paraId="04AD9E9F" w14:textId="77777777" w:rsidTr="00B82B57">
        <w:tc>
          <w:tcPr>
            <w:tcW w:w="2830" w:type="dxa"/>
            <w:tcBorders>
              <w:top w:val="single" w:sz="4" w:space="0" w:color="auto"/>
              <w:left w:val="single" w:sz="4" w:space="0" w:color="auto"/>
              <w:bottom w:val="single" w:sz="4" w:space="0" w:color="auto"/>
              <w:right w:val="single" w:sz="4" w:space="0" w:color="auto"/>
            </w:tcBorders>
          </w:tcPr>
          <w:p w14:paraId="0136FFA0" w14:textId="5DBC682E" w:rsidR="00661D2D" w:rsidRPr="00661D2D" w:rsidRDefault="00661D2D" w:rsidP="00661D2D">
            <w:pPr>
              <w:spacing w:before="80" w:after="80" w:line="240" w:lineRule="auto"/>
              <w:rPr>
                <w:rFonts w:cs="Arial"/>
                <w:szCs w:val="22"/>
              </w:rPr>
            </w:pPr>
            <w:r w:rsidRPr="0025189A">
              <w:rPr>
                <w:rFonts w:cs="Arial"/>
                <w:szCs w:val="22"/>
              </w:rPr>
              <w:t>Social Worker</w:t>
            </w:r>
          </w:p>
        </w:tc>
        <w:tc>
          <w:tcPr>
            <w:tcW w:w="1560" w:type="dxa"/>
            <w:tcBorders>
              <w:top w:val="single" w:sz="4" w:space="0" w:color="auto"/>
              <w:left w:val="single" w:sz="4" w:space="0" w:color="auto"/>
              <w:bottom w:val="single" w:sz="4" w:space="0" w:color="auto"/>
              <w:right w:val="single" w:sz="4" w:space="0" w:color="auto"/>
            </w:tcBorders>
          </w:tcPr>
          <w:p w14:paraId="35F94044" w14:textId="33EEEEBD"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911</w:t>
            </w:r>
            <w:r w:rsidR="00B35CF2">
              <w:rPr>
                <w:rFonts w:cs="Arial"/>
                <w:color w:val="000000"/>
                <w:szCs w:val="22"/>
              </w:rPr>
              <w:t>97</w:t>
            </w:r>
          </w:p>
        </w:tc>
        <w:tc>
          <w:tcPr>
            <w:tcW w:w="1984" w:type="dxa"/>
            <w:tcBorders>
              <w:top w:val="single" w:sz="4" w:space="0" w:color="auto"/>
              <w:left w:val="single" w:sz="4" w:space="0" w:color="auto"/>
              <w:bottom w:val="single" w:sz="4" w:space="0" w:color="auto"/>
              <w:right w:val="single" w:sz="4" w:space="0" w:color="auto"/>
            </w:tcBorders>
          </w:tcPr>
          <w:p w14:paraId="362351D0" w14:textId="386887C9" w:rsidR="00661D2D" w:rsidRPr="00661D2D" w:rsidRDefault="00661D2D" w:rsidP="00661D2D">
            <w:pPr>
              <w:spacing w:before="80" w:after="80" w:line="240" w:lineRule="auto"/>
              <w:jc w:val="center"/>
              <w:rPr>
                <w:rFonts w:cs="Arial"/>
                <w:szCs w:val="22"/>
              </w:rPr>
            </w:pPr>
            <w:r>
              <w:rPr>
                <w:szCs w:val="22"/>
              </w:rPr>
              <w:t xml:space="preserve">Telehealth </w:t>
            </w:r>
          </w:p>
        </w:tc>
        <w:tc>
          <w:tcPr>
            <w:tcW w:w="2693" w:type="dxa"/>
            <w:tcBorders>
              <w:top w:val="single" w:sz="4" w:space="0" w:color="auto"/>
              <w:left w:val="single" w:sz="4" w:space="0" w:color="auto"/>
              <w:bottom w:val="single" w:sz="4" w:space="0" w:color="auto"/>
              <w:right w:val="single" w:sz="4" w:space="0" w:color="auto"/>
            </w:tcBorders>
          </w:tcPr>
          <w:p w14:paraId="04066717" w14:textId="01F7DCCB" w:rsidR="00661D2D" w:rsidRPr="00661D2D" w:rsidRDefault="00661D2D" w:rsidP="00661D2D">
            <w:pPr>
              <w:spacing w:before="80" w:after="80" w:line="240" w:lineRule="auto"/>
              <w:jc w:val="center"/>
              <w:rPr>
                <w:rFonts w:cs="Arial"/>
                <w:szCs w:val="22"/>
              </w:rPr>
            </w:pPr>
            <w:r>
              <w:rPr>
                <w:szCs w:val="22"/>
              </w:rPr>
              <w:t>50+ minutes</w:t>
            </w:r>
          </w:p>
        </w:tc>
      </w:tr>
      <w:tr w:rsidR="00661D2D" w14:paraId="10BE7C29" w14:textId="77777777" w:rsidTr="00B82B57">
        <w:tc>
          <w:tcPr>
            <w:tcW w:w="2830" w:type="dxa"/>
            <w:tcBorders>
              <w:top w:val="single" w:sz="4" w:space="0" w:color="auto"/>
              <w:left w:val="single" w:sz="4" w:space="0" w:color="auto"/>
              <w:bottom w:val="single" w:sz="4" w:space="0" w:color="auto"/>
              <w:right w:val="single" w:sz="4" w:space="0" w:color="auto"/>
            </w:tcBorders>
          </w:tcPr>
          <w:p w14:paraId="37AD8CFB" w14:textId="1FF5A51F" w:rsidR="00661D2D" w:rsidRPr="00661D2D" w:rsidRDefault="00661D2D" w:rsidP="00661D2D">
            <w:pPr>
              <w:spacing w:before="80" w:after="80" w:line="240" w:lineRule="auto"/>
              <w:rPr>
                <w:rFonts w:cs="Arial"/>
                <w:szCs w:val="22"/>
              </w:rPr>
            </w:pPr>
            <w:r w:rsidRPr="0025189A">
              <w:rPr>
                <w:rFonts w:cs="Arial"/>
                <w:szCs w:val="22"/>
              </w:rPr>
              <w:t>Social Worker</w:t>
            </w:r>
          </w:p>
        </w:tc>
        <w:tc>
          <w:tcPr>
            <w:tcW w:w="1560" w:type="dxa"/>
            <w:tcBorders>
              <w:top w:val="single" w:sz="4" w:space="0" w:color="auto"/>
              <w:left w:val="single" w:sz="4" w:space="0" w:color="auto"/>
              <w:bottom w:val="single" w:sz="4" w:space="0" w:color="auto"/>
              <w:right w:val="single" w:sz="4" w:space="0" w:color="auto"/>
            </w:tcBorders>
          </w:tcPr>
          <w:p w14:paraId="18065978" w14:textId="4C52889D"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91</w:t>
            </w:r>
            <w:r w:rsidR="00B35CF2">
              <w:rPr>
                <w:rFonts w:cs="Arial"/>
                <w:color w:val="000000"/>
                <w:szCs w:val="22"/>
              </w:rPr>
              <w:t>205</w:t>
            </w:r>
          </w:p>
        </w:tc>
        <w:tc>
          <w:tcPr>
            <w:tcW w:w="1984" w:type="dxa"/>
            <w:tcBorders>
              <w:top w:val="single" w:sz="4" w:space="0" w:color="auto"/>
              <w:left w:val="single" w:sz="4" w:space="0" w:color="auto"/>
              <w:bottom w:val="single" w:sz="4" w:space="0" w:color="auto"/>
              <w:right w:val="single" w:sz="4" w:space="0" w:color="auto"/>
            </w:tcBorders>
          </w:tcPr>
          <w:p w14:paraId="46A313BB" w14:textId="1D2DED9B" w:rsidR="00661D2D" w:rsidRPr="00661D2D" w:rsidRDefault="00661D2D" w:rsidP="00661D2D">
            <w:pPr>
              <w:spacing w:before="80" w:after="80" w:line="240" w:lineRule="auto"/>
              <w:jc w:val="center"/>
              <w:rPr>
                <w:rFonts w:cs="Arial"/>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7938BD2E" w14:textId="1CDDFD5D" w:rsidR="00661D2D" w:rsidRPr="00661D2D" w:rsidRDefault="00661D2D" w:rsidP="00661D2D">
            <w:pPr>
              <w:spacing w:before="80" w:after="80" w:line="240" w:lineRule="auto"/>
              <w:jc w:val="center"/>
              <w:rPr>
                <w:rFonts w:cs="Arial"/>
                <w:szCs w:val="22"/>
              </w:rPr>
            </w:pPr>
            <w:r>
              <w:rPr>
                <w:szCs w:val="22"/>
              </w:rPr>
              <w:t>50+ minutes</w:t>
            </w:r>
          </w:p>
        </w:tc>
      </w:tr>
      <w:tr w:rsidR="00B82B57" w14:paraId="19ADDF72" w14:textId="77777777" w:rsidTr="00B82B57">
        <w:tc>
          <w:tcPr>
            <w:tcW w:w="2830" w:type="dxa"/>
            <w:tcBorders>
              <w:top w:val="single" w:sz="4" w:space="0" w:color="auto"/>
              <w:left w:val="single" w:sz="4" w:space="0" w:color="auto"/>
              <w:bottom w:val="single" w:sz="4" w:space="0" w:color="auto"/>
              <w:right w:val="single" w:sz="4" w:space="0" w:color="auto"/>
            </w:tcBorders>
          </w:tcPr>
          <w:p w14:paraId="102BC055" w14:textId="1F21FDA7" w:rsidR="00B82B57" w:rsidRPr="00661D2D" w:rsidRDefault="00B82B57" w:rsidP="00B82B57">
            <w:pPr>
              <w:spacing w:before="80" w:after="80" w:line="240" w:lineRule="auto"/>
              <w:rPr>
                <w:rFonts w:cs="Arial"/>
                <w:szCs w:val="22"/>
              </w:rPr>
            </w:pPr>
            <w:r w:rsidRPr="005A4DAC">
              <w:rPr>
                <w:rFonts w:cs="Arial"/>
                <w:szCs w:val="22"/>
              </w:rPr>
              <w:t xml:space="preserve">General Practitioner </w:t>
            </w:r>
          </w:p>
        </w:tc>
        <w:tc>
          <w:tcPr>
            <w:tcW w:w="1560" w:type="dxa"/>
            <w:tcBorders>
              <w:top w:val="single" w:sz="4" w:space="0" w:color="auto"/>
              <w:left w:val="single" w:sz="4" w:space="0" w:color="auto"/>
              <w:bottom w:val="single" w:sz="4" w:space="0" w:color="auto"/>
              <w:right w:val="single" w:sz="4" w:space="0" w:color="auto"/>
            </w:tcBorders>
          </w:tcPr>
          <w:p w14:paraId="797E45C8" w14:textId="1DF5ECDA" w:rsidR="00B82B57" w:rsidRPr="00661D2D" w:rsidRDefault="00B82B57" w:rsidP="00B82B57">
            <w:pPr>
              <w:spacing w:before="80" w:after="80" w:line="240" w:lineRule="auto"/>
              <w:jc w:val="center"/>
              <w:rPr>
                <w:rFonts w:cs="Arial"/>
                <w:color w:val="000000"/>
                <w:szCs w:val="22"/>
              </w:rPr>
            </w:pPr>
            <w:r w:rsidRPr="00661D2D">
              <w:rPr>
                <w:rFonts w:cs="Arial"/>
                <w:color w:val="000000"/>
                <w:szCs w:val="22"/>
              </w:rPr>
              <w:t>27</w:t>
            </w:r>
            <w:r w:rsidR="00B35CF2">
              <w:rPr>
                <w:rFonts w:cs="Arial"/>
                <w:color w:val="000000"/>
                <w:szCs w:val="22"/>
              </w:rPr>
              <w:t>39</w:t>
            </w:r>
          </w:p>
        </w:tc>
        <w:tc>
          <w:tcPr>
            <w:tcW w:w="1984" w:type="dxa"/>
            <w:tcBorders>
              <w:top w:val="single" w:sz="4" w:space="0" w:color="auto"/>
              <w:left w:val="single" w:sz="4" w:space="0" w:color="auto"/>
              <w:bottom w:val="single" w:sz="4" w:space="0" w:color="auto"/>
              <w:right w:val="single" w:sz="4" w:space="0" w:color="auto"/>
            </w:tcBorders>
          </w:tcPr>
          <w:p w14:paraId="7C47FFBD" w14:textId="6924FCDA" w:rsidR="00B82B57" w:rsidRPr="00661D2D" w:rsidRDefault="00B82B57" w:rsidP="00B82B57">
            <w:pPr>
              <w:spacing w:before="80" w:after="80" w:line="240" w:lineRule="auto"/>
              <w:jc w:val="center"/>
              <w:rPr>
                <w:rFonts w:cs="Arial"/>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712B000D" w14:textId="701AC71A" w:rsidR="00B82B57" w:rsidRPr="00661D2D" w:rsidRDefault="00B82B57" w:rsidP="00B82B57">
            <w:pPr>
              <w:spacing w:before="80" w:after="80" w:line="240" w:lineRule="auto"/>
              <w:jc w:val="center"/>
              <w:rPr>
                <w:rFonts w:cs="Arial"/>
                <w:szCs w:val="22"/>
              </w:rPr>
            </w:pPr>
            <w:r>
              <w:rPr>
                <w:rFonts w:cs="Arial"/>
                <w:szCs w:val="22"/>
              </w:rPr>
              <w:t>30 - 40 minutes</w:t>
            </w:r>
          </w:p>
        </w:tc>
      </w:tr>
      <w:tr w:rsidR="00B82B57" w14:paraId="145AE498" w14:textId="77777777" w:rsidTr="00B82B57">
        <w:tc>
          <w:tcPr>
            <w:tcW w:w="2830" w:type="dxa"/>
            <w:tcBorders>
              <w:top w:val="single" w:sz="4" w:space="0" w:color="auto"/>
              <w:left w:val="single" w:sz="4" w:space="0" w:color="auto"/>
              <w:bottom w:val="single" w:sz="4" w:space="0" w:color="auto"/>
              <w:right w:val="single" w:sz="4" w:space="0" w:color="auto"/>
            </w:tcBorders>
          </w:tcPr>
          <w:p w14:paraId="2AA6CA1C" w14:textId="5F656265" w:rsidR="00B82B57" w:rsidRPr="00661D2D" w:rsidRDefault="00B82B57" w:rsidP="00B82B57">
            <w:pPr>
              <w:spacing w:before="80" w:after="80" w:line="240" w:lineRule="auto"/>
              <w:rPr>
                <w:rFonts w:cs="Arial"/>
                <w:szCs w:val="22"/>
              </w:rPr>
            </w:pPr>
            <w:r w:rsidRPr="005A4DAC">
              <w:rPr>
                <w:rFonts w:cs="Arial"/>
                <w:szCs w:val="22"/>
              </w:rPr>
              <w:t xml:space="preserve">General Practitioner </w:t>
            </w:r>
          </w:p>
        </w:tc>
        <w:tc>
          <w:tcPr>
            <w:tcW w:w="1560" w:type="dxa"/>
            <w:tcBorders>
              <w:top w:val="single" w:sz="4" w:space="0" w:color="auto"/>
              <w:left w:val="single" w:sz="4" w:space="0" w:color="auto"/>
              <w:bottom w:val="single" w:sz="4" w:space="0" w:color="auto"/>
              <w:right w:val="single" w:sz="4" w:space="0" w:color="auto"/>
            </w:tcBorders>
          </w:tcPr>
          <w:p w14:paraId="5BA46C23" w14:textId="10B0FD6E" w:rsidR="00B82B57" w:rsidRPr="00661D2D" w:rsidRDefault="00B82B57" w:rsidP="00B82B57">
            <w:pPr>
              <w:spacing w:before="80" w:after="80" w:line="240" w:lineRule="auto"/>
              <w:jc w:val="center"/>
              <w:rPr>
                <w:rFonts w:cs="Arial"/>
                <w:color w:val="000000"/>
                <w:szCs w:val="22"/>
              </w:rPr>
            </w:pPr>
            <w:r w:rsidRPr="00661D2D">
              <w:rPr>
                <w:rFonts w:cs="Arial"/>
                <w:color w:val="000000"/>
                <w:szCs w:val="22"/>
              </w:rPr>
              <w:t>27</w:t>
            </w:r>
            <w:r w:rsidR="00B35CF2">
              <w:rPr>
                <w:rFonts w:cs="Arial"/>
                <w:color w:val="000000"/>
                <w:szCs w:val="22"/>
              </w:rPr>
              <w:t>41</w:t>
            </w:r>
          </w:p>
        </w:tc>
        <w:tc>
          <w:tcPr>
            <w:tcW w:w="1984" w:type="dxa"/>
            <w:tcBorders>
              <w:top w:val="single" w:sz="4" w:space="0" w:color="auto"/>
              <w:left w:val="single" w:sz="4" w:space="0" w:color="auto"/>
              <w:bottom w:val="single" w:sz="4" w:space="0" w:color="auto"/>
              <w:right w:val="single" w:sz="4" w:space="0" w:color="auto"/>
            </w:tcBorders>
          </w:tcPr>
          <w:p w14:paraId="4DD55DFF" w14:textId="2BADD049" w:rsidR="00B82B57" w:rsidRPr="00661D2D" w:rsidRDefault="00B82B57" w:rsidP="00B82B57">
            <w:pPr>
              <w:spacing w:before="80" w:after="80" w:line="240" w:lineRule="auto"/>
              <w:jc w:val="center"/>
              <w:rPr>
                <w:rFonts w:cs="Arial"/>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0D83CCF7" w14:textId="348BA9D0" w:rsidR="00B82B57" w:rsidRPr="00661D2D" w:rsidRDefault="00B82B57" w:rsidP="00B82B57">
            <w:pPr>
              <w:spacing w:before="80" w:after="80" w:line="240" w:lineRule="auto"/>
              <w:jc w:val="center"/>
              <w:rPr>
                <w:rFonts w:cs="Arial"/>
                <w:szCs w:val="22"/>
              </w:rPr>
            </w:pPr>
            <w:r>
              <w:rPr>
                <w:rFonts w:cs="Arial"/>
                <w:szCs w:val="22"/>
              </w:rPr>
              <w:t>30 – 40 minutes</w:t>
            </w:r>
          </w:p>
        </w:tc>
      </w:tr>
      <w:tr w:rsidR="00B82B57" w14:paraId="04D8A8CE" w14:textId="77777777" w:rsidTr="00B82B57">
        <w:tc>
          <w:tcPr>
            <w:tcW w:w="2830" w:type="dxa"/>
            <w:tcBorders>
              <w:top w:val="single" w:sz="4" w:space="0" w:color="auto"/>
              <w:left w:val="single" w:sz="4" w:space="0" w:color="auto"/>
              <w:bottom w:val="single" w:sz="4" w:space="0" w:color="auto"/>
              <w:right w:val="single" w:sz="4" w:space="0" w:color="auto"/>
            </w:tcBorders>
          </w:tcPr>
          <w:p w14:paraId="76885520" w14:textId="7B3A1EF8" w:rsidR="00B82B57" w:rsidRPr="00661D2D" w:rsidRDefault="00B82B57" w:rsidP="00B82B57">
            <w:pPr>
              <w:spacing w:before="80" w:after="80" w:line="240" w:lineRule="auto"/>
              <w:rPr>
                <w:rFonts w:cs="Arial"/>
                <w:szCs w:val="22"/>
              </w:rPr>
            </w:pPr>
            <w:r w:rsidRPr="005A4DAC">
              <w:rPr>
                <w:rFonts w:cs="Arial"/>
                <w:szCs w:val="22"/>
              </w:rPr>
              <w:t xml:space="preserve">General Practitioner </w:t>
            </w:r>
          </w:p>
        </w:tc>
        <w:tc>
          <w:tcPr>
            <w:tcW w:w="1560" w:type="dxa"/>
            <w:tcBorders>
              <w:top w:val="single" w:sz="4" w:space="0" w:color="auto"/>
              <w:left w:val="single" w:sz="4" w:space="0" w:color="auto"/>
              <w:bottom w:val="single" w:sz="4" w:space="0" w:color="auto"/>
              <w:right w:val="single" w:sz="4" w:space="0" w:color="auto"/>
            </w:tcBorders>
          </w:tcPr>
          <w:p w14:paraId="67369659" w14:textId="71ECC8C7" w:rsidR="00B82B57" w:rsidRPr="00661D2D" w:rsidRDefault="00B82B57" w:rsidP="00B82B57">
            <w:pPr>
              <w:spacing w:before="80" w:after="80" w:line="240" w:lineRule="auto"/>
              <w:jc w:val="center"/>
              <w:rPr>
                <w:rFonts w:cs="Arial"/>
                <w:color w:val="000000"/>
                <w:szCs w:val="22"/>
              </w:rPr>
            </w:pPr>
            <w:r w:rsidRPr="00661D2D">
              <w:rPr>
                <w:rFonts w:cs="Arial"/>
                <w:color w:val="000000"/>
                <w:szCs w:val="22"/>
              </w:rPr>
              <w:t>918</w:t>
            </w:r>
            <w:r w:rsidR="00B35CF2">
              <w:rPr>
                <w:rFonts w:cs="Arial"/>
                <w:color w:val="000000"/>
                <w:szCs w:val="22"/>
              </w:rPr>
              <w:t>59</w:t>
            </w:r>
          </w:p>
        </w:tc>
        <w:tc>
          <w:tcPr>
            <w:tcW w:w="1984" w:type="dxa"/>
            <w:tcBorders>
              <w:top w:val="single" w:sz="4" w:space="0" w:color="auto"/>
              <w:left w:val="single" w:sz="4" w:space="0" w:color="auto"/>
              <w:bottom w:val="single" w:sz="4" w:space="0" w:color="auto"/>
              <w:right w:val="single" w:sz="4" w:space="0" w:color="auto"/>
            </w:tcBorders>
          </w:tcPr>
          <w:p w14:paraId="3432B990" w14:textId="461C50B1" w:rsidR="00B82B57" w:rsidRPr="00661D2D" w:rsidRDefault="00B82B57" w:rsidP="00B82B57">
            <w:pPr>
              <w:spacing w:before="80" w:after="80" w:line="240" w:lineRule="auto"/>
              <w:jc w:val="center"/>
              <w:rPr>
                <w:rFonts w:cs="Arial"/>
                <w:szCs w:val="22"/>
              </w:rPr>
            </w:pPr>
            <w:r>
              <w:rPr>
                <w:szCs w:val="22"/>
              </w:rPr>
              <w:t>Telehealth</w:t>
            </w:r>
          </w:p>
        </w:tc>
        <w:tc>
          <w:tcPr>
            <w:tcW w:w="2693" w:type="dxa"/>
            <w:tcBorders>
              <w:top w:val="single" w:sz="4" w:space="0" w:color="auto"/>
              <w:left w:val="single" w:sz="4" w:space="0" w:color="auto"/>
              <w:bottom w:val="single" w:sz="4" w:space="0" w:color="auto"/>
              <w:right w:val="single" w:sz="4" w:space="0" w:color="auto"/>
            </w:tcBorders>
          </w:tcPr>
          <w:p w14:paraId="19058C00" w14:textId="750E7C90" w:rsidR="00B82B57" w:rsidRPr="00661D2D" w:rsidRDefault="00B82B57" w:rsidP="00B82B57">
            <w:pPr>
              <w:spacing w:before="80" w:after="80" w:line="240" w:lineRule="auto"/>
              <w:jc w:val="center"/>
              <w:rPr>
                <w:rFonts w:cs="Arial"/>
                <w:szCs w:val="22"/>
              </w:rPr>
            </w:pPr>
            <w:r>
              <w:rPr>
                <w:rFonts w:cs="Arial"/>
                <w:szCs w:val="22"/>
              </w:rPr>
              <w:t xml:space="preserve">30 – 40 minutes </w:t>
            </w:r>
          </w:p>
        </w:tc>
      </w:tr>
      <w:tr w:rsidR="00B82B57" w14:paraId="6F9FA34D" w14:textId="77777777" w:rsidTr="00B82B57">
        <w:tc>
          <w:tcPr>
            <w:tcW w:w="2830" w:type="dxa"/>
            <w:tcBorders>
              <w:top w:val="single" w:sz="4" w:space="0" w:color="auto"/>
              <w:left w:val="single" w:sz="4" w:space="0" w:color="auto"/>
              <w:bottom w:val="single" w:sz="4" w:space="0" w:color="auto"/>
              <w:right w:val="single" w:sz="4" w:space="0" w:color="auto"/>
            </w:tcBorders>
          </w:tcPr>
          <w:p w14:paraId="7926B766" w14:textId="790A48B7" w:rsidR="00B82B57" w:rsidRPr="00661D2D" w:rsidRDefault="00B82B57" w:rsidP="00B82B57">
            <w:pPr>
              <w:spacing w:before="80" w:after="80" w:line="240" w:lineRule="auto"/>
              <w:rPr>
                <w:rFonts w:cs="Arial"/>
                <w:szCs w:val="22"/>
              </w:rPr>
            </w:pPr>
            <w:r w:rsidRPr="005A4DAC">
              <w:rPr>
                <w:rFonts w:cs="Arial"/>
                <w:szCs w:val="22"/>
              </w:rPr>
              <w:t xml:space="preserve">General Practitioner </w:t>
            </w:r>
          </w:p>
        </w:tc>
        <w:tc>
          <w:tcPr>
            <w:tcW w:w="1560" w:type="dxa"/>
            <w:tcBorders>
              <w:top w:val="single" w:sz="4" w:space="0" w:color="auto"/>
              <w:left w:val="single" w:sz="4" w:space="0" w:color="auto"/>
              <w:bottom w:val="single" w:sz="4" w:space="0" w:color="auto"/>
              <w:right w:val="single" w:sz="4" w:space="0" w:color="auto"/>
            </w:tcBorders>
          </w:tcPr>
          <w:p w14:paraId="5D56BF3C" w14:textId="73099B90" w:rsidR="00B82B57" w:rsidRPr="00661D2D" w:rsidRDefault="00B82B57" w:rsidP="00B82B57">
            <w:pPr>
              <w:spacing w:before="80" w:after="80" w:line="240" w:lineRule="auto"/>
              <w:jc w:val="center"/>
              <w:rPr>
                <w:rFonts w:cs="Arial"/>
                <w:color w:val="000000"/>
                <w:szCs w:val="22"/>
              </w:rPr>
            </w:pPr>
            <w:r w:rsidRPr="00661D2D">
              <w:rPr>
                <w:rFonts w:cs="Arial"/>
                <w:color w:val="000000"/>
                <w:szCs w:val="22"/>
              </w:rPr>
              <w:t>918</w:t>
            </w:r>
            <w:r w:rsidR="00B35CF2">
              <w:rPr>
                <w:rFonts w:cs="Arial"/>
                <w:color w:val="000000"/>
                <w:szCs w:val="22"/>
              </w:rPr>
              <w:t>64</w:t>
            </w:r>
          </w:p>
        </w:tc>
        <w:tc>
          <w:tcPr>
            <w:tcW w:w="1984" w:type="dxa"/>
            <w:tcBorders>
              <w:top w:val="single" w:sz="4" w:space="0" w:color="auto"/>
              <w:left w:val="single" w:sz="4" w:space="0" w:color="auto"/>
              <w:bottom w:val="single" w:sz="4" w:space="0" w:color="auto"/>
              <w:right w:val="single" w:sz="4" w:space="0" w:color="auto"/>
            </w:tcBorders>
          </w:tcPr>
          <w:p w14:paraId="63F35250" w14:textId="47507DC7" w:rsidR="00B82B57" w:rsidRPr="00661D2D" w:rsidRDefault="00B82B57" w:rsidP="00B82B57">
            <w:pPr>
              <w:spacing w:before="80" w:after="80" w:line="240" w:lineRule="auto"/>
              <w:jc w:val="center"/>
              <w:rPr>
                <w:rFonts w:cs="Arial"/>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08A9A806" w14:textId="0DBC304F" w:rsidR="00B82B57" w:rsidRPr="00661D2D" w:rsidRDefault="00B82B57" w:rsidP="00B82B57">
            <w:pPr>
              <w:spacing w:before="80" w:after="80" w:line="240" w:lineRule="auto"/>
              <w:jc w:val="center"/>
              <w:rPr>
                <w:rFonts w:cs="Arial"/>
                <w:szCs w:val="22"/>
              </w:rPr>
            </w:pPr>
            <w:r>
              <w:rPr>
                <w:rFonts w:cs="Arial"/>
                <w:szCs w:val="22"/>
              </w:rPr>
              <w:t>30 – 40 minutes</w:t>
            </w:r>
          </w:p>
        </w:tc>
      </w:tr>
      <w:tr w:rsidR="00B82B57" w14:paraId="2427963E" w14:textId="77777777" w:rsidTr="00B82B57">
        <w:tc>
          <w:tcPr>
            <w:tcW w:w="2830" w:type="dxa"/>
            <w:tcBorders>
              <w:top w:val="single" w:sz="4" w:space="0" w:color="auto"/>
              <w:left w:val="single" w:sz="4" w:space="0" w:color="auto"/>
              <w:bottom w:val="single" w:sz="4" w:space="0" w:color="auto"/>
              <w:right w:val="single" w:sz="4" w:space="0" w:color="auto"/>
            </w:tcBorders>
          </w:tcPr>
          <w:p w14:paraId="2FD5BD7B" w14:textId="50E511A6" w:rsidR="00B82B57" w:rsidRPr="00661D2D" w:rsidRDefault="00B82B57" w:rsidP="00B82B57">
            <w:pPr>
              <w:spacing w:before="80" w:after="80" w:line="240" w:lineRule="auto"/>
              <w:rPr>
                <w:rFonts w:cs="Arial"/>
                <w:szCs w:val="22"/>
              </w:rPr>
            </w:pPr>
            <w:r w:rsidRPr="005A4DAC">
              <w:rPr>
                <w:rFonts w:cs="Arial"/>
                <w:szCs w:val="22"/>
              </w:rPr>
              <w:t xml:space="preserve">General Practitioner </w:t>
            </w:r>
          </w:p>
        </w:tc>
        <w:tc>
          <w:tcPr>
            <w:tcW w:w="1560" w:type="dxa"/>
            <w:tcBorders>
              <w:top w:val="single" w:sz="4" w:space="0" w:color="auto"/>
              <w:left w:val="single" w:sz="4" w:space="0" w:color="auto"/>
              <w:bottom w:val="single" w:sz="4" w:space="0" w:color="auto"/>
              <w:right w:val="single" w:sz="4" w:space="0" w:color="auto"/>
            </w:tcBorders>
          </w:tcPr>
          <w:p w14:paraId="35D2D50D" w14:textId="5428BD8B" w:rsidR="00B82B57" w:rsidRPr="00661D2D" w:rsidRDefault="00B82B57" w:rsidP="00B82B57">
            <w:pPr>
              <w:spacing w:before="80" w:after="80" w:line="240" w:lineRule="auto"/>
              <w:jc w:val="center"/>
              <w:rPr>
                <w:rFonts w:cs="Arial"/>
                <w:color w:val="000000"/>
                <w:szCs w:val="22"/>
              </w:rPr>
            </w:pPr>
            <w:r w:rsidRPr="00661D2D">
              <w:rPr>
                <w:rFonts w:cs="Arial"/>
                <w:color w:val="000000"/>
                <w:szCs w:val="22"/>
              </w:rPr>
              <w:t>27</w:t>
            </w:r>
            <w:r w:rsidR="00B35CF2">
              <w:rPr>
                <w:rFonts w:cs="Arial"/>
                <w:color w:val="000000"/>
                <w:szCs w:val="22"/>
              </w:rPr>
              <w:t>43</w:t>
            </w:r>
          </w:p>
        </w:tc>
        <w:tc>
          <w:tcPr>
            <w:tcW w:w="1984" w:type="dxa"/>
            <w:tcBorders>
              <w:top w:val="single" w:sz="4" w:space="0" w:color="auto"/>
              <w:left w:val="single" w:sz="4" w:space="0" w:color="auto"/>
              <w:bottom w:val="single" w:sz="4" w:space="0" w:color="auto"/>
              <w:right w:val="single" w:sz="4" w:space="0" w:color="auto"/>
            </w:tcBorders>
          </w:tcPr>
          <w:p w14:paraId="7444247E" w14:textId="4B051F1F" w:rsidR="00B82B57" w:rsidRPr="00661D2D" w:rsidRDefault="00B82B57" w:rsidP="00B82B57">
            <w:pPr>
              <w:spacing w:before="80" w:after="80" w:line="240" w:lineRule="auto"/>
              <w:jc w:val="center"/>
              <w:rPr>
                <w:rFonts w:cs="Arial"/>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7538EEA1" w14:textId="26AC31AF" w:rsidR="00B82B57" w:rsidRPr="00661D2D" w:rsidRDefault="00B82B57" w:rsidP="00B82B57">
            <w:pPr>
              <w:spacing w:before="80" w:after="80" w:line="240" w:lineRule="auto"/>
              <w:jc w:val="center"/>
              <w:rPr>
                <w:rFonts w:cs="Arial"/>
                <w:szCs w:val="22"/>
              </w:rPr>
            </w:pPr>
            <w:r>
              <w:rPr>
                <w:rFonts w:cs="Arial"/>
                <w:szCs w:val="22"/>
              </w:rPr>
              <w:t>40+ minutes</w:t>
            </w:r>
          </w:p>
        </w:tc>
      </w:tr>
      <w:tr w:rsidR="00B82B57" w14:paraId="7F7D1C31" w14:textId="77777777" w:rsidTr="00B82B57">
        <w:tc>
          <w:tcPr>
            <w:tcW w:w="2830" w:type="dxa"/>
            <w:tcBorders>
              <w:top w:val="single" w:sz="4" w:space="0" w:color="auto"/>
              <w:left w:val="single" w:sz="4" w:space="0" w:color="auto"/>
              <w:bottom w:val="single" w:sz="4" w:space="0" w:color="auto"/>
              <w:right w:val="single" w:sz="4" w:space="0" w:color="auto"/>
            </w:tcBorders>
          </w:tcPr>
          <w:p w14:paraId="1A35B8CD" w14:textId="6262A142" w:rsidR="00B82B57" w:rsidRPr="00661D2D" w:rsidRDefault="00B82B57" w:rsidP="00B82B57">
            <w:pPr>
              <w:spacing w:before="80" w:after="80" w:line="240" w:lineRule="auto"/>
              <w:rPr>
                <w:rFonts w:cs="Arial"/>
                <w:szCs w:val="22"/>
              </w:rPr>
            </w:pPr>
            <w:r w:rsidRPr="005A4DAC">
              <w:rPr>
                <w:rFonts w:cs="Arial"/>
                <w:szCs w:val="22"/>
              </w:rPr>
              <w:t xml:space="preserve">General Practitioner </w:t>
            </w:r>
          </w:p>
        </w:tc>
        <w:tc>
          <w:tcPr>
            <w:tcW w:w="1560" w:type="dxa"/>
            <w:tcBorders>
              <w:top w:val="single" w:sz="4" w:space="0" w:color="auto"/>
              <w:left w:val="single" w:sz="4" w:space="0" w:color="auto"/>
              <w:bottom w:val="single" w:sz="4" w:space="0" w:color="auto"/>
              <w:right w:val="single" w:sz="4" w:space="0" w:color="auto"/>
            </w:tcBorders>
          </w:tcPr>
          <w:p w14:paraId="19FF5183" w14:textId="629CE328" w:rsidR="00B82B57" w:rsidRPr="00661D2D" w:rsidRDefault="00B82B57" w:rsidP="00B82B57">
            <w:pPr>
              <w:spacing w:before="80" w:after="80" w:line="240" w:lineRule="auto"/>
              <w:jc w:val="center"/>
              <w:rPr>
                <w:rFonts w:cs="Arial"/>
                <w:color w:val="000000"/>
                <w:szCs w:val="22"/>
              </w:rPr>
            </w:pPr>
            <w:r w:rsidRPr="00661D2D">
              <w:rPr>
                <w:rFonts w:cs="Arial"/>
                <w:color w:val="000000"/>
                <w:szCs w:val="22"/>
              </w:rPr>
              <w:t>27</w:t>
            </w:r>
            <w:r w:rsidR="00B35CF2">
              <w:rPr>
                <w:rFonts w:cs="Arial"/>
                <w:color w:val="000000"/>
                <w:szCs w:val="22"/>
              </w:rPr>
              <w:t>45</w:t>
            </w:r>
          </w:p>
        </w:tc>
        <w:tc>
          <w:tcPr>
            <w:tcW w:w="1984" w:type="dxa"/>
            <w:tcBorders>
              <w:top w:val="single" w:sz="4" w:space="0" w:color="auto"/>
              <w:left w:val="single" w:sz="4" w:space="0" w:color="auto"/>
              <w:bottom w:val="single" w:sz="4" w:space="0" w:color="auto"/>
              <w:right w:val="single" w:sz="4" w:space="0" w:color="auto"/>
            </w:tcBorders>
          </w:tcPr>
          <w:p w14:paraId="72E6DB8A" w14:textId="7BB2753D" w:rsidR="00B82B57" w:rsidRPr="00661D2D" w:rsidRDefault="00B82B57" w:rsidP="00B82B57">
            <w:pPr>
              <w:spacing w:before="80" w:after="80" w:line="240" w:lineRule="auto"/>
              <w:jc w:val="center"/>
              <w:rPr>
                <w:rFonts w:cs="Arial"/>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1D812BE1" w14:textId="4E893652" w:rsidR="00B82B57" w:rsidRPr="00661D2D" w:rsidRDefault="00B82B57" w:rsidP="00B82B57">
            <w:pPr>
              <w:spacing w:before="80" w:after="80" w:line="240" w:lineRule="auto"/>
              <w:jc w:val="center"/>
              <w:rPr>
                <w:rFonts w:cs="Arial"/>
                <w:szCs w:val="22"/>
              </w:rPr>
            </w:pPr>
            <w:r>
              <w:rPr>
                <w:rFonts w:cs="Arial"/>
                <w:szCs w:val="22"/>
              </w:rPr>
              <w:t>40+ minutes</w:t>
            </w:r>
          </w:p>
        </w:tc>
      </w:tr>
      <w:tr w:rsidR="00B82B57" w14:paraId="341DC5A2" w14:textId="77777777" w:rsidTr="00B82B57">
        <w:tc>
          <w:tcPr>
            <w:tcW w:w="2830" w:type="dxa"/>
            <w:tcBorders>
              <w:top w:val="single" w:sz="4" w:space="0" w:color="auto"/>
              <w:left w:val="single" w:sz="4" w:space="0" w:color="auto"/>
              <w:bottom w:val="single" w:sz="4" w:space="0" w:color="auto"/>
              <w:right w:val="single" w:sz="4" w:space="0" w:color="auto"/>
            </w:tcBorders>
          </w:tcPr>
          <w:p w14:paraId="74BE91C3" w14:textId="037F21F2" w:rsidR="00B82B57" w:rsidRPr="00661D2D" w:rsidRDefault="00B82B57" w:rsidP="00B82B57">
            <w:pPr>
              <w:spacing w:before="80" w:after="80" w:line="240" w:lineRule="auto"/>
              <w:rPr>
                <w:rFonts w:cs="Arial"/>
                <w:szCs w:val="22"/>
              </w:rPr>
            </w:pPr>
            <w:r w:rsidRPr="005A4DAC">
              <w:rPr>
                <w:rFonts w:cs="Arial"/>
                <w:szCs w:val="22"/>
              </w:rPr>
              <w:t xml:space="preserve">General Practitioner </w:t>
            </w:r>
          </w:p>
        </w:tc>
        <w:tc>
          <w:tcPr>
            <w:tcW w:w="1560" w:type="dxa"/>
            <w:tcBorders>
              <w:top w:val="single" w:sz="4" w:space="0" w:color="auto"/>
              <w:left w:val="single" w:sz="4" w:space="0" w:color="auto"/>
              <w:bottom w:val="single" w:sz="4" w:space="0" w:color="auto"/>
              <w:right w:val="single" w:sz="4" w:space="0" w:color="auto"/>
            </w:tcBorders>
          </w:tcPr>
          <w:p w14:paraId="4DEADBA0" w14:textId="6E6EB12A" w:rsidR="00B82B57" w:rsidRPr="00661D2D" w:rsidRDefault="00B82B57" w:rsidP="00B82B57">
            <w:pPr>
              <w:spacing w:before="80" w:after="80" w:line="240" w:lineRule="auto"/>
              <w:jc w:val="center"/>
              <w:rPr>
                <w:rFonts w:cs="Arial"/>
                <w:color w:val="000000"/>
                <w:szCs w:val="22"/>
              </w:rPr>
            </w:pPr>
            <w:r w:rsidRPr="00661D2D">
              <w:rPr>
                <w:rFonts w:cs="Arial"/>
                <w:color w:val="000000"/>
                <w:szCs w:val="22"/>
              </w:rPr>
              <w:t>918</w:t>
            </w:r>
            <w:r w:rsidR="00B35CF2">
              <w:rPr>
                <w:rFonts w:cs="Arial"/>
                <w:color w:val="000000"/>
                <w:szCs w:val="22"/>
              </w:rPr>
              <w:t>61</w:t>
            </w:r>
          </w:p>
        </w:tc>
        <w:tc>
          <w:tcPr>
            <w:tcW w:w="1984" w:type="dxa"/>
            <w:tcBorders>
              <w:top w:val="single" w:sz="4" w:space="0" w:color="auto"/>
              <w:left w:val="single" w:sz="4" w:space="0" w:color="auto"/>
              <w:bottom w:val="single" w:sz="4" w:space="0" w:color="auto"/>
              <w:right w:val="single" w:sz="4" w:space="0" w:color="auto"/>
            </w:tcBorders>
          </w:tcPr>
          <w:p w14:paraId="45F877A5" w14:textId="08489149" w:rsidR="00B82B57" w:rsidRPr="00661D2D" w:rsidRDefault="00B82B57" w:rsidP="00B82B57">
            <w:pPr>
              <w:spacing w:before="80" w:after="80" w:line="240" w:lineRule="auto"/>
              <w:jc w:val="center"/>
              <w:rPr>
                <w:rFonts w:cs="Arial"/>
                <w:szCs w:val="22"/>
              </w:rPr>
            </w:pPr>
            <w:r>
              <w:rPr>
                <w:szCs w:val="22"/>
              </w:rPr>
              <w:t xml:space="preserve">Telehealth </w:t>
            </w:r>
          </w:p>
        </w:tc>
        <w:tc>
          <w:tcPr>
            <w:tcW w:w="2693" w:type="dxa"/>
            <w:tcBorders>
              <w:top w:val="single" w:sz="4" w:space="0" w:color="auto"/>
              <w:left w:val="single" w:sz="4" w:space="0" w:color="auto"/>
              <w:bottom w:val="single" w:sz="4" w:space="0" w:color="auto"/>
              <w:right w:val="single" w:sz="4" w:space="0" w:color="auto"/>
            </w:tcBorders>
          </w:tcPr>
          <w:p w14:paraId="6812CBB5" w14:textId="00F5CEF8" w:rsidR="00B82B57" w:rsidRPr="00661D2D" w:rsidRDefault="00B82B57" w:rsidP="00B82B57">
            <w:pPr>
              <w:spacing w:before="80" w:after="80" w:line="240" w:lineRule="auto"/>
              <w:jc w:val="center"/>
              <w:rPr>
                <w:rFonts w:cs="Arial"/>
                <w:szCs w:val="22"/>
              </w:rPr>
            </w:pPr>
            <w:r>
              <w:rPr>
                <w:rFonts w:cs="Arial"/>
                <w:szCs w:val="22"/>
              </w:rPr>
              <w:t>40+ minutes</w:t>
            </w:r>
          </w:p>
        </w:tc>
      </w:tr>
      <w:tr w:rsidR="00661D2D" w14:paraId="593D71EB" w14:textId="77777777" w:rsidTr="00B82B57">
        <w:tc>
          <w:tcPr>
            <w:tcW w:w="2830" w:type="dxa"/>
            <w:tcBorders>
              <w:top w:val="single" w:sz="4" w:space="0" w:color="auto"/>
              <w:left w:val="single" w:sz="4" w:space="0" w:color="auto"/>
              <w:bottom w:val="single" w:sz="4" w:space="0" w:color="auto"/>
              <w:right w:val="single" w:sz="4" w:space="0" w:color="auto"/>
            </w:tcBorders>
          </w:tcPr>
          <w:p w14:paraId="23875D56" w14:textId="26A9F5FE" w:rsidR="00661D2D" w:rsidRPr="00661D2D" w:rsidRDefault="00661D2D" w:rsidP="00661D2D">
            <w:pPr>
              <w:spacing w:before="80" w:after="80" w:line="240" w:lineRule="auto"/>
              <w:rPr>
                <w:rFonts w:cs="Arial"/>
                <w:szCs w:val="22"/>
              </w:rPr>
            </w:pPr>
            <w:r w:rsidRPr="00237DB1">
              <w:rPr>
                <w:rFonts w:cs="Arial"/>
                <w:szCs w:val="22"/>
              </w:rPr>
              <w:t>G</w:t>
            </w:r>
            <w:r w:rsidR="00B82B57">
              <w:rPr>
                <w:rFonts w:cs="Arial"/>
                <w:szCs w:val="22"/>
              </w:rPr>
              <w:t xml:space="preserve">eneral Practitioner </w:t>
            </w:r>
          </w:p>
        </w:tc>
        <w:tc>
          <w:tcPr>
            <w:tcW w:w="1560" w:type="dxa"/>
            <w:tcBorders>
              <w:top w:val="single" w:sz="4" w:space="0" w:color="auto"/>
              <w:left w:val="single" w:sz="4" w:space="0" w:color="auto"/>
              <w:bottom w:val="single" w:sz="4" w:space="0" w:color="auto"/>
              <w:right w:val="single" w:sz="4" w:space="0" w:color="auto"/>
            </w:tcBorders>
          </w:tcPr>
          <w:p w14:paraId="1B147A2C" w14:textId="6D6E90DB" w:rsidR="00661D2D" w:rsidRPr="00661D2D" w:rsidRDefault="00661D2D" w:rsidP="00661D2D">
            <w:pPr>
              <w:spacing w:before="80" w:after="80" w:line="240" w:lineRule="auto"/>
              <w:jc w:val="center"/>
              <w:rPr>
                <w:rFonts w:cs="Arial"/>
                <w:color w:val="000000"/>
                <w:szCs w:val="22"/>
              </w:rPr>
            </w:pPr>
            <w:r w:rsidRPr="00661D2D">
              <w:rPr>
                <w:rFonts w:cs="Arial"/>
                <w:color w:val="000000"/>
                <w:szCs w:val="22"/>
              </w:rPr>
              <w:t>918</w:t>
            </w:r>
            <w:r w:rsidR="00B35CF2">
              <w:rPr>
                <w:rFonts w:cs="Arial"/>
                <w:color w:val="000000"/>
                <w:szCs w:val="22"/>
              </w:rPr>
              <w:t>65</w:t>
            </w:r>
          </w:p>
        </w:tc>
        <w:tc>
          <w:tcPr>
            <w:tcW w:w="1984" w:type="dxa"/>
            <w:tcBorders>
              <w:top w:val="single" w:sz="4" w:space="0" w:color="auto"/>
              <w:left w:val="single" w:sz="4" w:space="0" w:color="auto"/>
              <w:bottom w:val="single" w:sz="4" w:space="0" w:color="auto"/>
              <w:right w:val="single" w:sz="4" w:space="0" w:color="auto"/>
            </w:tcBorders>
          </w:tcPr>
          <w:p w14:paraId="7B9F99DC" w14:textId="62FA5530" w:rsidR="00661D2D" w:rsidRPr="00661D2D" w:rsidRDefault="00661D2D" w:rsidP="00661D2D">
            <w:pPr>
              <w:spacing w:before="80" w:after="80" w:line="240" w:lineRule="auto"/>
              <w:jc w:val="center"/>
              <w:rPr>
                <w:rFonts w:cs="Arial"/>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34DE8FBF" w14:textId="7111B823" w:rsidR="00661D2D" w:rsidRPr="00661D2D" w:rsidRDefault="009A70C3" w:rsidP="00661D2D">
            <w:pPr>
              <w:spacing w:before="80" w:after="80" w:line="240" w:lineRule="auto"/>
              <w:jc w:val="center"/>
              <w:rPr>
                <w:rFonts w:cs="Arial"/>
                <w:szCs w:val="22"/>
              </w:rPr>
            </w:pPr>
            <w:r>
              <w:rPr>
                <w:rFonts w:cs="Arial"/>
                <w:szCs w:val="22"/>
              </w:rPr>
              <w:t>40+ minutes</w:t>
            </w:r>
          </w:p>
        </w:tc>
      </w:tr>
      <w:tr w:rsidR="009A70C3" w14:paraId="2A422773" w14:textId="77777777" w:rsidTr="00B82B57">
        <w:tc>
          <w:tcPr>
            <w:tcW w:w="2830" w:type="dxa"/>
            <w:tcBorders>
              <w:top w:val="single" w:sz="4" w:space="0" w:color="auto"/>
              <w:left w:val="single" w:sz="4" w:space="0" w:color="auto"/>
              <w:bottom w:val="single" w:sz="4" w:space="0" w:color="auto"/>
              <w:right w:val="single" w:sz="4" w:space="0" w:color="auto"/>
            </w:tcBorders>
          </w:tcPr>
          <w:p w14:paraId="11C678C0" w14:textId="502DAA0A" w:rsidR="009A70C3" w:rsidRPr="00237DB1" w:rsidRDefault="009A70C3" w:rsidP="009A70C3">
            <w:pPr>
              <w:spacing w:before="80" w:after="80" w:line="240" w:lineRule="auto"/>
              <w:rPr>
                <w:rFonts w:cs="Arial"/>
                <w:szCs w:val="22"/>
              </w:rPr>
            </w:pPr>
            <w:proofErr w:type="gramStart"/>
            <w:r>
              <w:rPr>
                <w:rFonts w:cs="Arial"/>
                <w:szCs w:val="22"/>
              </w:rPr>
              <w:t>O</w:t>
            </w:r>
            <w:r w:rsidR="00B82B57">
              <w:rPr>
                <w:rFonts w:cs="Arial"/>
                <w:szCs w:val="22"/>
              </w:rPr>
              <w:t>ther</w:t>
            </w:r>
            <w:proofErr w:type="gramEnd"/>
            <w:r w:rsidR="00B82B57">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06131F2B" w14:textId="1EA5F0D8" w:rsidR="009A70C3" w:rsidRPr="009A70C3" w:rsidRDefault="00B35CF2" w:rsidP="009A70C3">
            <w:pPr>
              <w:spacing w:before="80" w:after="80" w:line="240" w:lineRule="auto"/>
              <w:jc w:val="center"/>
              <w:rPr>
                <w:rFonts w:cs="Arial"/>
                <w:color w:val="000000"/>
                <w:szCs w:val="22"/>
              </w:rPr>
            </w:pPr>
            <w:r>
              <w:rPr>
                <w:rFonts w:cs="Arial"/>
                <w:color w:val="000000"/>
                <w:szCs w:val="22"/>
              </w:rPr>
              <w:t>309</w:t>
            </w:r>
          </w:p>
        </w:tc>
        <w:tc>
          <w:tcPr>
            <w:tcW w:w="1984" w:type="dxa"/>
            <w:tcBorders>
              <w:top w:val="single" w:sz="4" w:space="0" w:color="auto"/>
              <w:left w:val="single" w:sz="4" w:space="0" w:color="auto"/>
              <w:bottom w:val="single" w:sz="4" w:space="0" w:color="auto"/>
              <w:right w:val="single" w:sz="4" w:space="0" w:color="auto"/>
            </w:tcBorders>
          </w:tcPr>
          <w:p w14:paraId="269F57B0" w14:textId="429E3C93" w:rsidR="009A70C3" w:rsidRDefault="009A70C3" w:rsidP="009A70C3">
            <w:pPr>
              <w:spacing w:before="80" w:after="80" w:line="240" w:lineRule="auto"/>
              <w:jc w:val="center"/>
              <w:rPr>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49F3D513" w14:textId="2E76FECC" w:rsidR="009A70C3" w:rsidRDefault="009A70C3" w:rsidP="009A70C3">
            <w:pPr>
              <w:spacing w:before="80" w:after="80" w:line="240" w:lineRule="auto"/>
              <w:jc w:val="center"/>
              <w:rPr>
                <w:rFonts w:cs="Arial"/>
                <w:szCs w:val="22"/>
              </w:rPr>
            </w:pPr>
            <w:r>
              <w:rPr>
                <w:rFonts w:cs="Arial"/>
                <w:szCs w:val="22"/>
              </w:rPr>
              <w:t>30 - 40 minutes</w:t>
            </w:r>
          </w:p>
        </w:tc>
      </w:tr>
      <w:tr w:rsidR="00B82B57" w14:paraId="5893D97B" w14:textId="77777777" w:rsidTr="00B82B57">
        <w:tc>
          <w:tcPr>
            <w:tcW w:w="2830" w:type="dxa"/>
            <w:tcBorders>
              <w:top w:val="single" w:sz="4" w:space="0" w:color="auto"/>
              <w:left w:val="single" w:sz="4" w:space="0" w:color="auto"/>
              <w:bottom w:val="single" w:sz="4" w:space="0" w:color="auto"/>
              <w:right w:val="single" w:sz="4" w:space="0" w:color="auto"/>
            </w:tcBorders>
          </w:tcPr>
          <w:p w14:paraId="0D3A804D" w14:textId="2273F315" w:rsidR="00B82B57" w:rsidRPr="00237DB1" w:rsidRDefault="00B82B57" w:rsidP="00B82B57">
            <w:pPr>
              <w:spacing w:before="80" w:after="80" w:line="240" w:lineRule="auto"/>
              <w:rPr>
                <w:rFonts w:cs="Arial"/>
                <w:szCs w:val="22"/>
              </w:rPr>
            </w:pPr>
            <w:proofErr w:type="gramStart"/>
            <w:r w:rsidRPr="00B116D5">
              <w:rPr>
                <w:rFonts w:cs="Arial"/>
                <w:szCs w:val="22"/>
              </w:rPr>
              <w:t>Other</w:t>
            </w:r>
            <w:proofErr w:type="gramEnd"/>
            <w:r w:rsidRPr="00B116D5">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1858BE6D" w14:textId="3B39FF8F" w:rsidR="00B82B57" w:rsidRPr="009A70C3" w:rsidRDefault="00B35CF2" w:rsidP="00B82B57">
            <w:pPr>
              <w:spacing w:before="80" w:after="80" w:line="240" w:lineRule="auto"/>
              <w:jc w:val="center"/>
              <w:rPr>
                <w:rFonts w:cs="Arial"/>
                <w:color w:val="000000"/>
                <w:szCs w:val="22"/>
              </w:rPr>
            </w:pPr>
            <w:r>
              <w:rPr>
                <w:rFonts w:cs="Arial"/>
                <w:color w:val="000000"/>
                <w:szCs w:val="22"/>
              </w:rPr>
              <w:t>311</w:t>
            </w:r>
          </w:p>
        </w:tc>
        <w:tc>
          <w:tcPr>
            <w:tcW w:w="1984" w:type="dxa"/>
            <w:tcBorders>
              <w:top w:val="single" w:sz="4" w:space="0" w:color="auto"/>
              <w:left w:val="single" w:sz="4" w:space="0" w:color="auto"/>
              <w:bottom w:val="single" w:sz="4" w:space="0" w:color="auto"/>
              <w:right w:val="single" w:sz="4" w:space="0" w:color="auto"/>
            </w:tcBorders>
          </w:tcPr>
          <w:p w14:paraId="1F8E14C5" w14:textId="4B86A633" w:rsidR="00B82B57" w:rsidRDefault="00B82B57" w:rsidP="00B82B57">
            <w:pPr>
              <w:spacing w:before="80" w:after="80" w:line="240" w:lineRule="auto"/>
              <w:jc w:val="center"/>
              <w:rPr>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28BF93BF" w14:textId="2619AC8E" w:rsidR="00B82B57" w:rsidRDefault="00B82B57" w:rsidP="00B82B57">
            <w:pPr>
              <w:spacing w:before="80" w:after="80" w:line="240" w:lineRule="auto"/>
              <w:jc w:val="center"/>
              <w:rPr>
                <w:rFonts w:cs="Arial"/>
                <w:szCs w:val="22"/>
              </w:rPr>
            </w:pPr>
            <w:r>
              <w:rPr>
                <w:rFonts w:cs="Arial"/>
                <w:szCs w:val="22"/>
              </w:rPr>
              <w:t>30 – 40 minutes</w:t>
            </w:r>
          </w:p>
        </w:tc>
      </w:tr>
      <w:tr w:rsidR="00B82B57" w14:paraId="5ECE3594" w14:textId="77777777" w:rsidTr="00B82B57">
        <w:tc>
          <w:tcPr>
            <w:tcW w:w="2830" w:type="dxa"/>
            <w:tcBorders>
              <w:top w:val="single" w:sz="4" w:space="0" w:color="auto"/>
              <w:left w:val="single" w:sz="4" w:space="0" w:color="auto"/>
              <w:bottom w:val="single" w:sz="4" w:space="0" w:color="auto"/>
              <w:right w:val="single" w:sz="4" w:space="0" w:color="auto"/>
            </w:tcBorders>
          </w:tcPr>
          <w:p w14:paraId="24659D32" w14:textId="430E48B7" w:rsidR="00B82B57" w:rsidRPr="00237DB1" w:rsidRDefault="00B82B57" w:rsidP="00B82B57">
            <w:pPr>
              <w:spacing w:before="80" w:after="80" w:line="240" w:lineRule="auto"/>
              <w:rPr>
                <w:rFonts w:cs="Arial"/>
                <w:szCs w:val="22"/>
              </w:rPr>
            </w:pPr>
            <w:proofErr w:type="gramStart"/>
            <w:r w:rsidRPr="00B116D5">
              <w:rPr>
                <w:rFonts w:cs="Arial"/>
                <w:szCs w:val="22"/>
              </w:rPr>
              <w:t>Other</w:t>
            </w:r>
            <w:proofErr w:type="gramEnd"/>
            <w:r w:rsidRPr="00B116D5">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694C5FE1" w14:textId="48471D9D" w:rsidR="00B82B57" w:rsidRPr="009A70C3" w:rsidRDefault="00B82B57" w:rsidP="00B82B57">
            <w:pPr>
              <w:spacing w:before="80" w:after="80" w:line="240" w:lineRule="auto"/>
              <w:jc w:val="center"/>
              <w:rPr>
                <w:rFonts w:cs="Arial"/>
                <w:color w:val="000000"/>
                <w:szCs w:val="22"/>
              </w:rPr>
            </w:pPr>
            <w:r w:rsidRPr="009A70C3">
              <w:rPr>
                <w:rFonts w:cs="Arial"/>
                <w:color w:val="000000"/>
                <w:szCs w:val="22"/>
              </w:rPr>
              <w:t>918</w:t>
            </w:r>
            <w:r w:rsidR="00B35CF2">
              <w:rPr>
                <w:rFonts w:cs="Arial"/>
                <w:color w:val="000000"/>
                <w:szCs w:val="22"/>
              </w:rPr>
              <w:t>62</w:t>
            </w:r>
          </w:p>
        </w:tc>
        <w:tc>
          <w:tcPr>
            <w:tcW w:w="1984" w:type="dxa"/>
            <w:tcBorders>
              <w:top w:val="single" w:sz="4" w:space="0" w:color="auto"/>
              <w:left w:val="single" w:sz="4" w:space="0" w:color="auto"/>
              <w:bottom w:val="single" w:sz="4" w:space="0" w:color="auto"/>
              <w:right w:val="single" w:sz="4" w:space="0" w:color="auto"/>
            </w:tcBorders>
          </w:tcPr>
          <w:p w14:paraId="320716FA" w14:textId="07A2C15B" w:rsidR="00B82B57" w:rsidRDefault="00B82B57" w:rsidP="00B82B57">
            <w:pPr>
              <w:spacing w:before="80" w:after="80" w:line="240" w:lineRule="auto"/>
              <w:jc w:val="center"/>
              <w:rPr>
                <w:szCs w:val="22"/>
              </w:rPr>
            </w:pPr>
            <w:r>
              <w:rPr>
                <w:szCs w:val="22"/>
              </w:rPr>
              <w:t>Telehealth</w:t>
            </w:r>
          </w:p>
        </w:tc>
        <w:tc>
          <w:tcPr>
            <w:tcW w:w="2693" w:type="dxa"/>
            <w:tcBorders>
              <w:top w:val="single" w:sz="4" w:space="0" w:color="auto"/>
              <w:left w:val="single" w:sz="4" w:space="0" w:color="auto"/>
              <w:bottom w:val="single" w:sz="4" w:space="0" w:color="auto"/>
              <w:right w:val="single" w:sz="4" w:space="0" w:color="auto"/>
            </w:tcBorders>
          </w:tcPr>
          <w:p w14:paraId="55093F4C" w14:textId="41FD9243" w:rsidR="00B82B57" w:rsidRDefault="00B82B57" w:rsidP="00B82B57">
            <w:pPr>
              <w:spacing w:before="80" w:after="80" w:line="240" w:lineRule="auto"/>
              <w:jc w:val="center"/>
              <w:rPr>
                <w:rFonts w:cs="Arial"/>
                <w:szCs w:val="22"/>
              </w:rPr>
            </w:pPr>
            <w:r>
              <w:rPr>
                <w:rFonts w:cs="Arial"/>
                <w:szCs w:val="22"/>
              </w:rPr>
              <w:t xml:space="preserve">30 – 40 minutes </w:t>
            </w:r>
          </w:p>
        </w:tc>
      </w:tr>
      <w:tr w:rsidR="00B82B57" w14:paraId="38FC6A36" w14:textId="77777777" w:rsidTr="00B82B57">
        <w:tc>
          <w:tcPr>
            <w:tcW w:w="2830" w:type="dxa"/>
            <w:tcBorders>
              <w:top w:val="single" w:sz="4" w:space="0" w:color="auto"/>
              <w:left w:val="single" w:sz="4" w:space="0" w:color="auto"/>
              <w:bottom w:val="single" w:sz="4" w:space="0" w:color="auto"/>
              <w:right w:val="single" w:sz="4" w:space="0" w:color="auto"/>
            </w:tcBorders>
          </w:tcPr>
          <w:p w14:paraId="03D4272A" w14:textId="5D68C6DB" w:rsidR="00B82B57" w:rsidRPr="00237DB1" w:rsidRDefault="00B82B57" w:rsidP="00B82B57">
            <w:pPr>
              <w:spacing w:before="80" w:after="80" w:line="240" w:lineRule="auto"/>
              <w:rPr>
                <w:rFonts w:cs="Arial"/>
                <w:szCs w:val="22"/>
              </w:rPr>
            </w:pPr>
            <w:proofErr w:type="gramStart"/>
            <w:r w:rsidRPr="00B116D5">
              <w:rPr>
                <w:rFonts w:cs="Arial"/>
                <w:szCs w:val="22"/>
              </w:rPr>
              <w:t>Other</w:t>
            </w:r>
            <w:proofErr w:type="gramEnd"/>
            <w:r w:rsidRPr="00B116D5">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7CEF2EE6" w14:textId="3C9FA766" w:rsidR="00B82B57" w:rsidRPr="009A70C3" w:rsidRDefault="00B82B57" w:rsidP="00B82B57">
            <w:pPr>
              <w:spacing w:before="80" w:after="80" w:line="240" w:lineRule="auto"/>
              <w:jc w:val="center"/>
              <w:rPr>
                <w:rFonts w:cs="Arial"/>
                <w:color w:val="000000"/>
                <w:szCs w:val="22"/>
              </w:rPr>
            </w:pPr>
            <w:r w:rsidRPr="009A70C3">
              <w:rPr>
                <w:rFonts w:cs="Arial"/>
                <w:color w:val="000000"/>
                <w:szCs w:val="22"/>
              </w:rPr>
              <w:t>918</w:t>
            </w:r>
            <w:r w:rsidR="00B35CF2">
              <w:rPr>
                <w:rFonts w:cs="Arial"/>
                <w:color w:val="000000"/>
                <w:szCs w:val="22"/>
              </w:rPr>
              <w:t>66</w:t>
            </w:r>
          </w:p>
        </w:tc>
        <w:tc>
          <w:tcPr>
            <w:tcW w:w="1984" w:type="dxa"/>
            <w:tcBorders>
              <w:top w:val="single" w:sz="4" w:space="0" w:color="auto"/>
              <w:left w:val="single" w:sz="4" w:space="0" w:color="auto"/>
              <w:bottom w:val="single" w:sz="4" w:space="0" w:color="auto"/>
              <w:right w:val="single" w:sz="4" w:space="0" w:color="auto"/>
            </w:tcBorders>
          </w:tcPr>
          <w:p w14:paraId="7EE73A0B" w14:textId="09E076D6" w:rsidR="00B82B57" w:rsidRDefault="00B82B57" w:rsidP="00B82B57">
            <w:pPr>
              <w:spacing w:before="80" w:after="80" w:line="240" w:lineRule="auto"/>
              <w:jc w:val="center"/>
              <w:rPr>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07AAA805" w14:textId="37E0E38A" w:rsidR="00B82B57" w:rsidRDefault="00B82B57" w:rsidP="00B82B57">
            <w:pPr>
              <w:spacing w:before="80" w:after="80" w:line="240" w:lineRule="auto"/>
              <w:jc w:val="center"/>
              <w:rPr>
                <w:rFonts w:cs="Arial"/>
                <w:szCs w:val="22"/>
              </w:rPr>
            </w:pPr>
            <w:r>
              <w:rPr>
                <w:rFonts w:cs="Arial"/>
                <w:szCs w:val="22"/>
              </w:rPr>
              <w:t>30 – 40 minutes</w:t>
            </w:r>
          </w:p>
        </w:tc>
      </w:tr>
      <w:tr w:rsidR="00B82B57" w14:paraId="78EA944E" w14:textId="77777777" w:rsidTr="00B82B57">
        <w:tc>
          <w:tcPr>
            <w:tcW w:w="2830" w:type="dxa"/>
            <w:tcBorders>
              <w:top w:val="single" w:sz="4" w:space="0" w:color="auto"/>
              <w:left w:val="single" w:sz="4" w:space="0" w:color="auto"/>
              <w:bottom w:val="single" w:sz="4" w:space="0" w:color="auto"/>
              <w:right w:val="single" w:sz="4" w:space="0" w:color="auto"/>
            </w:tcBorders>
          </w:tcPr>
          <w:p w14:paraId="668B96C5" w14:textId="2E8F23D4" w:rsidR="00B82B57" w:rsidRPr="00237DB1" w:rsidRDefault="00B82B57" w:rsidP="00B82B57">
            <w:pPr>
              <w:spacing w:before="80" w:after="80" w:line="240" w:lineRule="auto"/>
              <w:rPr>
                <w:rFonts w:cs="Arial"/>
                <w:szCs w:val="22"/>
              </w:rPr>
            </w:pPr>
            <w:proofErr w:type="gramStart"/>
            <w:r w:rsidRPr="00B116D5">
              <w:rPr>
                <w:rFonts w:cs="Arial"/>
                <w:szCs w:val="22"/>
              </w:rPr>
              <w:t>Other</w:t>
            </w:r>
            <w:proofErr w:type="gramEnd"/>
            <w:r w:rsidRPr="00B116D5">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1423DF82" w14:textId="63324089" w:rsidR="00B82B57" w:rsidRPr="009A70C3" w:rsidRDefault="00B35CF2" w:rsidP="00B82B57">
            <w:pPr>
              <w:spacing w:before="80" w:after="80" w:line="240" w:lineRule="auto"/>
              <w:jc w:val="center"/>
              <w:rPr>
                <w:rFonts w:cs="Arial"/>
                <w:color w:val="000000"/>
                <w:szCs w:val="22"/>
              </w:rPr>
            </w:pPr>
            <w:r>
              <w:rPr>
                <w:rFonts w:cs="Arial"/>
                <w:color w:val="000000"/>
                <w:szCs w:val="22"/>
              </w:rPr>
              <w:t>313</w:t>
            </w:r>
          </w:p>
        </w:tc>
        <w:tc>
          <w:tcPr>
            <w:tcW w:w="1984" w:type="dxa"/>
            <w:tcBorders>
              <w:top w:val="single" w:sz="4" w:space="0" w:color="auto"/>
              <w:left w:val="single" w:sz="4" w:space="0" w:color="auto"/>
              <w:bottom w:val="single" w:sz="4" w:space="0" w:color="auto"/>
              <w:right w:val="single" w:sz="4" w:space="0" w:color="auto"/>
            </w:tcBorders>
          </w:tcPr>
          <w:p w14:paraId="3F422CD5" w14:textId="033B9AC1" w:rsidR="00B82B57" w:rsidRDefault="00B82B57" w:rsidP="00B82B57">
            <w:pPr>
              <w:spacing w:before="80" w:after="80" w:line="240" w:lineRule="auto"/>
              <w:jc w:val="center"/>
              <w:rPr>
                <w:szCs w:val="22"/>
              </w:rPr>
            </w:pPr>
            <w:r>
              <w:rPr>
                <w:szCs w:val="22"/>
              </w:rPr>
              <w:t xml:space="preserve">In person </w:t>
            </w:r>
          </w:p>
        </w:tc>
        <w:tc>
          <w:tcPr>
            <w:tcW w:w="2693" w:type="dxa"/>
            <w:tcBorders>
              <w:top w:val="single" w:sz="4" w:space="0" w:color="auto"/>
              <w:left w:val="single" w:sz="4" w:space="0" w:color="auto"/>
              <w:bottom w:val="single" w:sz="4" w:space="0" w:color="auto"/>
              <w:right w:val="single" w:sz="4" w:space="0" w:color="auto"/>
            </w:tcBorders>
          </w:tcPr>
          <w:p w14:paraId="68BEC077" w14:textId="4985FEBF" w:rsidR="00B82B57" w:rsidRDefault="00B82B57" w:rsidP="00B82B57">
            <w:pPr>
              <w:spacing w:before="80" w:after="80" w:line="240" w:lineRule="auto"/>
              <w:jc w:val="center"/>
              <w:rPr>
                <w:rFonts w:cs="Arial"/>
                <w:szCs w:val="22"/>
              </w:rPr>
            </w:pPr>
            <w:r>
              <w:rPr>
                <w:rFonts w:cs="Arial"/>
                <w:szCs w:val="22"/>
              </w:rPr>
              <w:t>40+ minutes</w:t>
            </w:r>
          </w:p>
        </w:tc>
      </w:tr>
      <w:tr w:rsidR="00B82B57" w14:paraId="689CA568" w14:textId="77777777" w:rsidTr="00B82B57">
        <w:tc>
          <w:tcPr>
            <w:tcW w:w="2830" w:type="dxa"/>
            <w:tcBorders>
              <w:top w:val="single" w:sz="4" w:space="0" w:color="auto"/>
              <w:left w:val="single" w:sz="4" w:space="0" w:color="auto"/>
              <w:bottom w:val="single" w:sz="4" w:space="0" w:color="auto"/>
              <w:right w:val="single" w:sz="4" w:space="0" w:color="auto"/>
            </w:tcBorders>
          </w:tcPr>
          <w:p w14:paraId="1A063560" w14:textId="72ABBD3E" w:rsidR="00B82B57" w:rsidRPr="00237DB1" w:rsidRDefault="00B82B57" w:rsidP="00B82B57">
            <w:pPr>
              <w:spacing w:before="80" w:after="80" w:line="240" w:lineRule="auto"/>
              <w:rPr>
                <w:rFonts w:cs="Arial"/>
                <w:szCs w:val="22"/>
              </w:rPr>
            </w:pPr>
            <w:proofErr w:type="gramStart"/>
            <w:r w:rsidRPr="00B116D5">
              <w:rPr>
                <w:rFonts w:cs="Arial"/>
                <w:szCs w:val="22"/>
              </w:rPr>
              <w:t>Other</w:t>
            </w:r>
            <w:proofErr w:type="gramEnd"/>
            <w:r w:rsidRPr="00B116D5">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7B3A6522" w14:textId="4B6B007F" w:rsidR="00B82B57" w:rsidRPr="009A70C3" w:rsidRDefault="00B35CF2" w:rsidP="00B82B57">
            <w:pPr>
              <w:spacing w:before="80" w:after="80" w:line="240" w:lineRule="auto"/>
              <w:jc w:val="center"/>
              <w:rPr>
                <w:rFonts w:cs="Arial"/>
                <w:color w:val="000000"/>
                <w:szCs w:val="22"/>
              </w:rPr>
            </w:pPr>
            <w:r>
              <w:rPr>
                <w:rFonts w:cs="Arial"/>
                <w:color w:val="000000"/>
                <w:szCs w:val="22"/>
              </w:rPr>
              <w:t>315</w:t>
            </w:r>
          </w:p>
        </w:tc>
        <w:tc>
          <w:tcPr>
            <w:tcW w:w="1984" w:type="dxa"/>
            <w:tcBorders>
              <w:top w:val="single" w:sz="4" w:space="0" w:color="auto"/>
              <w:left w:val="single" w:sz="4" w:space="0" w:color="auto"/>
              <w:bottom w:val="single" w:sz="4" w:space="0" w:color="auto"/>
              <w:right w:val="single" w:sz="4" w:space="0" w:color="auto"/>
            </w:tcBorders>
          </w:tcPr>
          <w:p w14:paraId="0A46D193" w14:textId="20AC9BA2" w:rsidR="00B82B57" w:rsidRDefault="00B82B57" w:rsidP="00B82B57">
            <w:pPr>
              <w:spacing w:before="80" w:after="80" w:line="240" w:lineRule="auto"/>
              <w:jc w:val="center"/>
              <w:rPr>
                <w:szCs w:val="22"/>
              </w:rPr>
            </w:pPr>
            <w:r>
              <w:rPr>
                <w:szCs w:val="22"/>
              </w:rPr>
              <w:t>In person</w:t>
            </w:r>
          </w:p>
        </w:tc>
        <w:tc>
          <w:tcPr>
            <w:tcW w:w="2693" w:type="dxa"/>
            <w:tcBorders>
              <w:top w:val="single" w:sz="4" w:space="0" w:color="auto"/>
              <w:left w:val="single" w:sz="4" w:space="0" w:color="auto"/>
              <w:bottom w:val="single" w:sz="4" w:space="0" w:color="auto"/>
              <w:right w:val="single" w:sz="4" w:space="0" w:color="auto"/>
            </w:tcBorders>
          </w:tcPr>
          <w:p w14:paraId="59E2B092" w14:textId="348AC885" w:rsidR="00B82B57" w:rsidRDefault="00B82B57" w:rsidP="00B82B57">
            <w:pPr>
              <w:spacing w:before="80" w:after="80" w:line="240" w:lineRule="auto"/>
              <w:jc w:val="center"/>
              <w:rPr>
                <w:rFonts w:cs="Arial"/>
                <w:szCs w:val="22"/>
              </w:rPr>
            </w:pPr>
            <w:r>
              <w:rPr>
                <w:rFonts w:cs="Arial"/>
                <w:szCs w:val="22"/>
              </w:rPr>
              <w:t>40+ minutes</w:t>
            </w:r>
          </w:p>
        </w:tc>
      </w:tr>
      <w:tr w:rsidR="00B82B57" w14:paraId="27D10DD6" w14:textId="77777777" w:rsidTr="00B82B57">
        <w:tc>
          <w:tcPr>
            <w:tcW w:w="2830" w:type="dxa"/>
            <w:tcBorders>
              <w:top w:val="single" w:sz="4" w:space="0" w:color="auto"/>
              <w:left w:val="single" w:sz="4" w:space="0" w:color="auto"/>
              <w:bottom w:val="single" w:sz="4" w:space="0" w:color="auto"/>
              <w:right w:val="single" w:sz="4" w:space="0" w:color="auto"/>
            </w:tcBorders>
          </w:tcPr>
          <w:p w14:paraId="64A84F22" w14:textId="18B1EBE8" w:rsidR="00B82B57" w:rsidRPr="00237DB1" w:rsidRDefault="00B82B57" w:rsidP="00B82B57">
            <w:pPr>
              <w:spacing w:before="80" w:after="80" w:line="240" w:lineRule="auto"/>
              <w:rPr>
                <w:rFonts w:cs="Arial"/>
                <w:szCs w:val="22"/>
              </w:rPr>
            </w:pPr>
            <w:proofErr w:type="gramStart"/>
            <w:r w:rsidRPr="00B116D5">
              <w:rPr>
                <w:rFonts w:cs="Arial"/>
                <w:szCs w:val="22"/>
              </w:rPr>
              <w:t>Other</w:t>
            </w:r>
            <w:proofErr w:type="gramEnd"/>
            <w:r w:rsidRPr="00B116D5">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27F0BCF2" w14:textId="539B950F" w:rsidR="00B82B57" w:rsidRPr="009A70C3" w:rsidRDefault="00B82B57" w:rsidP="00B82B57">
            <w:pPr>
              <w:spacing w:before="80" w:after="80" w:line="240" w:lineRule="auto"/>
              <w:jc w:val="center"/>
              <w:rPr>
                <w:rFonts w:cs="Arial"/>
                <w:color w:val="000000"/>
                <w:szCs w:val="22"/>
              </w:rPr>
            </w:pPr>
            <w:r w:rsidRPr="009A70C3">
              <w:rPr>
                <w:rFonts w:cs="Arial"/>
                <w:color w:val="000000"/>
                <w:szCs w:val="22"/>
              </w:rPr>
              <w:t>918</w:t>
            </w:r>
            <w:r w:rsidR="00B35CF2">
              <w:rPr>
                <w:rFonts w:cs="Arial"/>
                <w:color w:val="000000"/>
                <w:szCs w:val="22"/>
              </w:rPr>
              <w:t>63</w:t>
            </w:r>
          </w:p>
        </w:tc>
        <w:tc>
          <w:tcPr>
            <w:tcW w:w="1984" w:type="dxa"/>
            <w:tcBorders>
              <w:top w:val="single" w:sz="4" w:space="0" w:color="auto"/>
              <w:left w:val="single" w:sz="4" w:space="0" w:color="auto"/>
              <w:bottom w:val="single" w:sz="4" w:space="0" w:color="auto"/>
              <w:right w:val="single" w:sz="4" w:space="0" w:color="auto"/>
            </w:tcBorders>
          </w:tcPr>
          <w:p w14:paraId="598D517A" w14:textId="18DB4E34" w:rsidR="00B82B57" w:rsidRDefault="00B82B57" w:rsidP="00B82B57">
            <w:pPr>
              <w:spacing w:before="80" w:after="80" w:line="240" w:lineRule="auto"/>
              <w:jc w:val="center"/>
              <w:rPr>
                <w:szCs w:val="22"/>
              </w:rPr>
            </w:pPr>
            <w:r>
              <w:rPr>
                <w:szCs w:val="22"/>
              </w:rPr>
              <w:t xml:space="preserve">Telehealth </w:t>
            </w:r>
          </w:p>
        </w:tc>
        <w:tc>
          <w:tcPr>
            <w:tcW w:w="2693" w:type="dxa"/>
            <w:tcBorders>
              <w:top w:val="single" w:sz="4" w:space="0" w:color="auto"/>
              <w:left w:val="single" w:sz="4" w:space="0" w:color="auto"/>
              <w:bottom w:val="single" w:sz="4" w:space="0" w:color="auto"/>
              <w:right w:val="single" w:sz="4" w:space="0" w:color="auto"/>
            </w:tcBorders>
          </w:tcPr>
          <w:p w14:paraId="1D7B8CB0" w14:textId="4B3B55B5" w:rsidR="00B82B57" w:rsidRDefault="00B82B57" w:rsidP="00B82B57">
            <w:pPr>
              <w:spacing w:before="80" w:after="80" w:line="240" w:lineRule="auto"/>
              <w:jc w:val="center"/>
              <w:rPr>
                <w:rFonts w:cs="Arial"/>
                <w:szCs w:val="22"/>
              </w:rPr>
            </w:pPr>
            <w:r>
              <w:rPr>
                <w:rFonts w:cs="Arial"/>
                <w:szCs w:val="22"/>
              </w:rPr>
              <w:t>40+ minutes</w:t>
            </w:r>
          </w:p>
        </w:tc>
      </w:tr>
      <w:tr w:rsidR="00B82B57" w14:paraId="0FBAFA44" w14:textId="77777777" w:rsidTr="00B82B57">
        <w:tc>
          <w:tcPr>
            <w:tcW w:w="2830" w:type="dxa"/>
            <w:tcBorders>
              <w:top w:val="single" w:sz="4" w:space="0" w:color="auto"/>
              <w:left w:val="single" w:sz="4" w:space="0" w:color="auto"/>
              <w:bottom w:val="single" w:sz="4" w:space="0" w:color="auto"/>
              <w:right w:val="single" w:sz="4" w:space="0" w:color="auto"/>
            </w:tcBorders>
          </w:tcPr>
          <w:p w14:paraId="1FDB4DE5" w14:textId="1970CB98" w:rsidR="00B82B57" w:rsidRPr="00237DB1" w:rsidRDefault="00B82B57" w:rsidP="00B82B57">
            <w:pPr>
              <w:spacing w:before="80" w:after="80" w:line="240" w:lineRule="auto"/>
              <w:rPr>
                <w:rFonts w:cs="Arial"/>
                <w:szCs w:val="22"/>
              </w:rPr>
            </w:pPr>
            <w:proofErr w:type="gramStart"/>
            <w:r w:rsidRPr="00B116D5">
              <w:rPr>
                <w:rFonts w:cs="Arial"/>
                <w:szCs w:val="22"/>
              </w:rPr>
              <w:t>Other</w:t>
            </w:r>
            <w:proofErr w:type="gramEnd"/>
            <w:r w:rsidRPr="00B116D5">
              <w:rPr>
                <w:rFonts w:cs="Arial"/>
                <w:szCs w:val="22"/>
              </w:rPr>
              <w:t xml:space="preserve"> medical practitioner</w:t>
            </w:r>
          </w:p>
        </w:tc>
        <w:tc>
          <w:tcPr>
            <w:tcW w:w="1560" w:type="dxa"/>
            <w:tcBorders>
              <w:top w:val="single" w:sz="4" w:space="0" w:color="auto"/>
              <w:left w:val="single" w:sz="4" w:space="0" w:color="auto"/>
              <w:bottom w:val="single" w:sz="4" w:space="0" w:color="auto"/>
              <w:right w:val="single" w:sz="4" w:space="0" w:color="auto"/>
            </w:tcBorders>
          </w:tcPr>
          <w:p w14:paraId="3B481C17" w14:textId="1BA36D27" w:rsidR="00B82B57" w:rsidRPr="009A70C3" w:rsidRDefault="00B82B57" w:rsidP="00B82B57">
            <w:pPr>
              <w:spacing w:before="80" w:after="80" w:line="240" w:lineRule="auto"/>
              <w:jc w:val="center"/>
              <w:rPr>
                <w:rFonts w:cs="Arial"/>
                <w:color w:val="000000"/>
                <w:szCs w:val="22"/>
              </w:rPr>
            </w:pPr>
            <w:r w:rsidRPr="009A70C3">
              <w:rPr>
                <w:rFonts w:cs="Arial"/>
                <w:color w:val="000000"/>
                <w:szCs w:val="22"/>
              </w:rPr>
              <w:t>918</w:t>
            </w:r>
            <w:r w:rsidR="00B35CF2">
              <w:rPr>
                <w:rFonts w:cs="Arial"/>
                <w:color w:val="000000"/>
                <w:szCs w:val="22"/>
              </w:rPr>
              <w:t>67</w:t>
            </w:r>
          </w:p>
        </w:tc>
        <w:tc>
          <w:tcPr>
            <w:tcW w:w="1984" w:type="dxa"/>
            <w:tcBorders>
              <w:top w:val="single" w:sz="4" w:space="0" w:color="auto"/>
              <w:left w:val="single" w:sz="4" w:space="0" w:color="auto"/>
              <w:bottom w:val="single" w:sz="4" w:space="0" w:color="auto"/>
              <w:right w:val="single" w:sz="4" w:space="0" w:color="auto"/>
            </w:tcBorders>
          </w:tcPr>
          <w:p w14:paraId="586A6649" w14:textId="3053DBC9" w:rsidR="00B82B57" w:rsidRDefault="00B82B57" w:rsidP="00B82B57">
            <w:pPr>
              <w:spacing w:before="80" w:after="80" w:line="240" w:lineRule="auto"/>
              <w:jc w:val="center"/>
              <w:rPr>
                <w:szCs w:val="22"/>
              </w:rPr>
            </w:pPr>
            <w:r>
              <w:rPr>
                <w:szCs w:val="22"/>
              </w:rPr>
              <w:t>Phone</w:t>
            </w:r>
          </w:p>
        </w:tc>
        <w:tc>
          <w:tcPr>
            <w:tcW w:w="2693" w:type="dxa"/>
            <w:tcBorders>
              <w:top w:val="single" w:sz="4" w:space="0" w:color="auto"/>
              <w:left w:val="single" w:sz="4" w:space="0" w:color="auto"/>
              <w:bottom w:val="single" w:sz="4" w:space="0" w:color="auto"/>
              <w:right w:val="single" w:sz="4" w:space="0" w:color="auto"/>
            </w:tcBorders>
          </w:tcPr>
          <w:p w14:paraId="04E2E6C0" w14:textId="3E53CDDB" w:rsidR="00B82B57" w:rsidRDefault="00B82B57" w:rsidP="00B82B57">
            <w:pPr>
              <w:spacing w:before="80" w:after="80" w:line="240" w:lineRule="auto"/>
              <w:jc w:val="center"/>
              <w:rPr>
                <w:rFonts w:cs="Arial"/>
                <w:szCs w:val="22"/>
              </w:rPr>
            </w:pPr>
            <w:r>
              <w:rPr>
                <w:rFonts w:cs="Arial"/>
                <w:szCs w:val="22"/>
              </w:rPr>
              <w:t>40+ minutes</w:t>
            </w:r>
          </w:p>
        </w:tc>
      </w:tr>
    </w:tbl>
    <w:p w14:paraId="532660AA" w14:textId="300D20E1" w:rsidR="000F3F3B" w:rsidRPr="00BE3ED5" w:rsidRDefault="000F3F3B" w:rsidP="009A70C3">
      <w:pPr>
        <w:spacing w:before="0"/>
      </w:pPr>
    </w:p>
    <w:sectPr w:rsidR="000F3F3B" w:rsidRPr="00BE3ED5" w:rsidSect="00DF7EA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DAD9" w14:textId="77777777" w:rsidR="00C75FA3" w:rsidRDefault="00C75FA3" w:rsidP="006B56BB">
      <w:r>
        <w:separator/>
      </w:r>
    </w:p>
    <w:p w14:paraId="1CB9B58A" w14:textId="77777777" w:rsidR="00C75FA3" w:rsidRDefault="00C75FA3"/>
  </w:endnote>
  <w:endnote w:type="continuationSeparator" w:id="0">
    <w:p w14:paraId="1F008200" w14:textId="77777777" w:rsidR="00C75FA3" w:rsidRDefault="00C75FA3" w:rsidP="006B56BB">
      <w:r>
        <w:continuationSeparator/>
      </w:r>
    </w:p>
    <w:p w14:paraId="7187FC9C" w14:textId="77777777" w:rsidR="00C75FA3" w:rsidRDefault="00C75FA3"/>
  </w:endnote>
  <w:endnote w:type="continuationNotice" w:id="1">
    <w:p w14:paraId="6776A193" w14:textId="77777777" w:rsidR="00C75FA3" w:rsidRDefault="00C7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F309F8"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157EC52" w:rsidR="00F51321" w:rsidRDefault="0029045F" w:rsidP="00F51321">
    <w:pPr>
      <w:pStyle w:val="Footer"/>
      <w:tabs>
        <w:tab w:val="clear" w:pos="9026"/>
        <w:tab w:val="right" w:pos="10466"/>
      </w:tabs>
    </w:pPr>
    <w:r>
      <w:rPr>
        <w:b/>
      </w:rPr>
      <w:t>Family and Carer MBS changes under the Better Access initiative</w:t>
    </w:r>
    <w:r w:rsidRPr="00E863C4">
      <w:rPr>
        <w:b/>
      </w:rPr>
      <w:t xml:space="preserve"> – </w:t>
    </w:r>
    <w:r>
      <w:rPr>
        <w:b/>
      </w:rPr>
      <w:t>Factsheet</w:t>
    </w:r>
    <w:r>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F309F8" w:rsidP="00F51321">
    <w:pPr>
      <w:pStyle w:val="Footer"/>
      <w:jc w:val="left"/>
      <w:rPr>
        <w:rStyle w:val="Hyperlink"/>
        <w:szCs w:val="18"/>
      </w:rPr>
    </w:pPr>
    <w:hyperlink r:id="rId1" w:history="1">
      <w:r w:rsidR="00F51321" w:rsidRPr="00E863C4">
        <w:rPr>
          <w:rStyle w:val="Hyperlink"/>
          <w:szCs w:val="18"/>
        </w:rPr>
        <w:t>MBS Online</w:t>
      </w:r>
    </w:hyperlink>
  </w:p>
  <w:p w14:paraId="0D093570" w14:textId="738756D8" w:rsidR="00F51321" w:rsidRPr="009B32BA" w:rsidRDefault="00F51321" w:rsidP="00F51321">
    <w:pPr>
      <w:pStyle w:val="Footer"/>
      <w:jc w:val="left"/>
      <w:rPr>
        <w:szCs w:val="18"/>
      </w:rPr>
    </w:pPr>
    <w:r w:rsidRPr="00870B05">
      <w:t>Last updated</w:t>
    </w:r>
    <w:r>
      <w:t xml:space="preserve"> – </w:t>
    </w:r>
    <w:r w:rsidR="00A614B3">
      <w:t>10 February 202</w:t>
    </w:r>
    <w:r w:rsidR="00A36BB0">
      <w:t>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F309F8"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5F4E61FC" w:rsidR="00064168" w:rsidRDefault="0029045F" w:rsidP="00064168">
    <w:pPr>
      <w:pStyle w:val="Footer"/>
      <w:tabs>
        <w:tab w:val="clear" w:pos="9026"/>
        <w:tab w:val="right" w:pos="10466"/>
      </w:tabs>
    </w:pPr>
    <w:r>
      <w:rPr>
        <w:b/>
      </w:rPr>
      <w:t>Family and Carer MBS changes under the Better Access initiative</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F309F8" w:rsidP="00064168">
    <w:pPr>
      <w:pStyle w:val="Footer"/>
      <w:jc w:val="left"/>
      <w:rPr>
        <w:rStyle w:val="Hyperlink"/>
        <w:szCs w:val="18"/>
      </w:rPr>
    </w:pPr>
    <w:hyperlink r:id="rId1" w:history="1">
      <w:r w:rsidR="00064168" w:rsidRPr="00E863C4">
        <w:rPr>
          <w:rStyle w:val="Hyperlink"/>
          <w:szCs w:val="18"/>
        </w:rPr>
        <w:t>MBS Online</w:t>
      </w:r>
    </w:hyperlink>
  </w:p>
  <w:p w14:paraId="03585E81" w14:textId="074EF044" w:rsidR="00064168" w:rsidRPr="009B32BA" w:rsidRDefault="00064168" w:rsidP="00064168">
    <w:pPr>
      <w:pStyle w:val="Footer"/>
      <w:jc w:val="left"/>
      <w:rPr>
        <w:szCs w:val="18"/>
      </w:rPr>
    </w:pPr>
    <w:r w:rsidRPr="00870B05">
      <w:t>Last updated</w:t>
    </w:r>
    <w:r>
      <w:t xml:space="preserve"> – </w:t>
    </w:r>
    <w:r w:rsidR="00A614B3">
      <w:t>10 February 20</w:t>
    </w:r>
    <w:r w:rsidR="00A36BB0">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4236" w14:textId="77777777" w:rsidR="00C75FA3" w:rsidRDefault="00C75FA3" w:rsidP="006B56BB">
      <w:r>
        <w:separator/>
      </w:r>
    </w:p>
    <w:p w14:paraId="1C93F07B" w14:textId="77777777" w:rsidR="00C75FA3" w:rsidRDefault="00C75FA3"/>
  </w:footnote>
  <w:footnote w:type="continuationSeparator" w:id="0">
    <w:p w14:paraId="4C868369" w14:textId="77777777" w:rsidR="00C75FA3" w:rsidRDefault="00C75FA3" w:rsidP="006B56BB">
      <w:r>
        <w:continuationSeparator/>
      </w:r>
    </w:p>
    <w:p w14:paraId="5F6C3A78" w14:textId="77777777" w:rsidR="00C75FA3" w:rsidRDefault="00C75FA3"/>
  </w:footnote>
  <w:footnote w:type="continuationNotice" w:id="1">
    <w:p w14:paraId="24805F0E" w14:textId="77777777" w:rsidR="00C75FA3" w:rsidRDefault="00C75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308D349D">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EF38F6D2"/>
    <w:lvl w:ilvl="0" w:tplc="B0728626">
      <w:start w:val="1"/>
      <w:numFmt w:val="bullet"/>
      <w:pStyle w:val="ListBullet"/>
      <w:lvlText w:val=""/>
      <w:lvlJc w:val="left"/>
      <w:pPr>
        <w:ind w:left="644" w:hanging="360"/>
      </w:pPr>
      <w:rPr>
        <w:rFonts w:ascii="Symbol" w:hAnsi="Symbol" w:hint="default"/>
        <w:color w:val="358189" w:themeColor="accent2"/>
        <w:spacing w:val="0"/>
        <w:w w:val="100"/>
        <w:sz w:val="24"/>
      </w:rPr>
    </w:lvl>
    <w:lvl w:ilvl="1" w:tplc="0C090003">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2" w15:restartNumberingAfterBreak="0">
    <w:nsid w:val="1A155EC7"/>
    <w:multiLevelType w:val="hybridMultilevel"/>
    <w:tmpl w:val="71F0A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555F08"/>
    <w:multiLevelType w:val="hybridMultilevel"/>
    <w:tmpl w:val="5960252A"/>
    <w:lvl w:ilvl="0" w:tplc="092A0CDA">
      <w:start w:val="1"/>
      <w:numFmt w:val="bullet"/>
      <w:lvlText w:val=""/>
      <w:lvlJc w:val="left"/>
      <w:pPr>
        <w:ind w:left="644" w:hanging="360"/>
      </w:pPr>
      <w:rPr>
        <w:rFonts w:ascii="Symbol" w:hAnsi="Symbol" w:hint="default"/>
        <w:color w:val="358189" w:themeColor="accent2"/>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9"/>
  </w:num>
  <w:num w:numId="3">
    <w:abstractNumId w:val="21"/>
  </w:num>
  <w:num w:numId="4">
    <w:abstractNumId w:val="8"/>
  </w:num>
  <w:num w:numId="5">
    <w:abstractNumId w:val="8"/>
    <w:lvlOverride w:ilvl="0">
      <w:startOverride w:val="1"/>
    </w:lvlOverride>
  </w:num>
  <w:num w:numId="6">
    <w:abstractNumId w:val="9"/>
  </w:num>
  <w:num w:numId="7">
    <w:abstractNumId w:val="16"/>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0"/>
  </w:num>
  <w:num w:numId="18">
    <w:abstractNumId w:val="13"/>
  </w:num>
  <w:num w:numId="19">
    <w:abstractNumId w:val="15"/>
  </w:num>
  <w:num w:numId="20">
    <w:abstractNumId w:val="10"/>
  </w:num>
  <w:num w:numId="21">
    <w:abstractNumId w:val="15"/>
  </w:num>
  <w:num w:numId="22">
    <w:abstractNumId w:val="22"/>
  </w:num>
  <w:num w:numId="23">
    <w:abstractNumId w:val="19"/>
  </w:num>
  <w:num w:numId="24">
    <w:abstractNumId w:val="21"/>
  </w:num>
  <w:num w:numId="25">
    <w:abstractNumId w:val="8"/>
  </w:num>
  <w:num w:numId="26">
    <w:abstractNumId w:val="17"/>
  </w:num>
  <w:num w:numId="27">
    <w:abstractNumId w:val="11"/>
  </w:num>
  <w:num w:numId="28">
    <w:abstractNumId w:val="14"/>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3277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B8B"/>
    <w:rsid w:val="00007FD8"/>
    <w:rsid w:val="000117F8"/>
    <w:rsid w:val="0001460F"/>
    <w:rsid w:val="00022629"/>
    <w:rsid w:val="00024DFE"/>
    <w:rsid w:val="00026139"/>
    <w:rsid w:val="000274F0"/>
    <w:rsid w:val="00027601"/>
    <w:rsid w:val="00033321"/>
    <w:rsid w:val="000338E5"/>
    <w:rsid w:val="00033ECC"/>
    <w:rsid w:val="0003422F"/>
    <w:rsid w:val="00046FF0"/>
    <w:rsid w:val="00050176"/>
    <w:rsid w:val="00050342"/>
    <w:rsid w:val="00064168"/>
    <w:rsid w:val="00067456"/>
    <w:rsid w:val="00071506"/>
    <w:rsid w:val="0007154F"/>
    <w:rsid w:val="0007562D"/>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3F3B"/>
    <w:rsid w:val="0010616D"/>
    <w:rsid w:val="00110478"/>
    <w:rsid w:val="0011711B"/>
    <w:rsid w:val="00117F8A"/>
    <w:rsid w:val="00121B9B"/>
    <w:rsid w:val="00122ADC"/>
    <w:rsid w:val="001245EF"/>
    <w:rsid w:val="00127F8D"/>
    <w:rsid w:val="00130F59"/>
    <w:rsid w:val="00133EC0"/>
    <w:rsid w:val="00141CE5"/>
    <w:rsid w:val="00144908"/>
    <w:rsid w:val="0014562A"/>
    <w:rsid w:val="00156D96"/>
    <w:rsid w:val="001571C7"/>
    <w:rsid w:val="00160293"/>
    <w:rsid w:val="00161094"/>
    <w:rsid w:val="001703CB"/>
    <w:rsid w:val="0017665C"/>
    <w:rsid w:val="00177AD2"/>
    <w:rsid w:val="001815A8"/>
    <w:rsid w:val="001840FA"/>
    <w:rsid w:val="00190079"/>
    <w:rsid w:val="0019622E"/>
    <w:rsid w:val="001966A7"/>
    <w:rsid w:val="001A194C"/>
    <w:rsid w:val="001A4627"/>
    <w:rsid w:val="001A4979"/>
    <w:rsid w:val="001B15D3"/>
    <w:rsid w:val="001B3443"/>
    <w:rsid w:val="001C0326"/>
    <w:rsid w:val="001C192F"/>
    <w:rsid w:val="001C3C42"/>
    <w:rsid w:val="001D7869"/>
    <w:rsid w:val="001D7D59"/>
    <w:rsid w:val="002026CD"/>
    <w:rsid w:val="002033FC"/>
    <w:rsid w:val="002044BB"/>
    <w:rsid w:val="00205B60"/>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2696"/>
    <w:rsid w:val="0026311C"/>
    <w:rsid w:val="0026668C"/>
    <w:rsid w:val="00266AC1"/>
    <w:rsid w:val="0027178C"/>
    <w:rsid w:val="00271954"/>
    <w:rsid w:val="002719FA"/>
    <w:rsid w:val="00272668"/>
    <w:rsid w:val="0027330B"/>
    <w:rsid w:val="002779C0"/>
    <w:rsid w:val="002803AD"/>
    <w:rsid w:val="00282052"/>
    <w:rsid w:val="002831A3"/>
    <w:rsid w:val="0028519E"/>
    <w:rsid w:val="002856A5"/>
    <w:rsid w:val="002872ED"/>
    <w:rsid w:val="0029045F"/>
    <w:rsid w:val="002905C2"/>
    <w:rsid w:val="00295AF2"/>
    <w:rsid w:val="00295C91"/>
    <w:rsid w:val="00297151"/>
    <w:rsid w:val="002B20E6"/>
    <w:rsid w:val="002B323D"/>
    <w:rsid w:val="002B42A3"/>
    <w:rsid w:val="002C0CDD"/>
    <w:rsid w:val="002C38C4"/>
    <w:rsid w:val="002C46AA"/>
    <w:rsid w:val="002D51C8"/>
    <w:rsid w:val="002E1A1D"/>
    <w:rsid w:val="002E4081"/>
    <w:rsid w:val="002E5B78"/>
    <w:rsid w:val="002F3AE3"/>
    <w:rsid w:val="002F545D"/>
    <w:rsid w:val="0030464B"/>
    <w:rsid w:val="0030786C"/>
    <w:rsid w:val="003233DE"/>
    <w:rsid w:val="0032466B"/>
    <w:rsid w:val="003330EB"/>
    <w:rsid w:val="003415FD"/>
    <w:rsid w:val="003429F0"/>
    <w:rsid w:val="00345A82"/>
    <w:rsid w:val="0035097A"/>
    <w:rsid w:val="003540A4"/>
    <w:rsid w:val="00357BCC"/>
    <w:rsid w:val="00360E4E"/>
    <w:rsid w:val="00366F87"/>
    <w:rsid w:val="00370AAA"/>
    <w:rsid w:val="00375F77"/>
    <w:rsid w:val="0037658F"/>
    <w:rsid w:val="0038066B"/>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3209"/>
    <w:rsid w:val="003B43AD"/>
    <w:rsid w:val="003C0FEC"/>
    <w:rsid w:val="003C24C6"/>
    <w:rsid w:val="003C2AC8"/>
    <w:rsid w:val="003D033A"/>
    <w:rsid w:val="003D17F9"/>
    <w:rsid w:val="003D2D88"/>
    <w:rsid w:val="003D41EA"/>
    <w:rsid w:val="003D4850"/>
    <w:rsid w:val="003D535A"/>
    <w:rsid w:val="003E0EB0"/>
    <w:rsid w:val="003E5265"/>
    <w:rsid w:val="003E68C8"/>
    <w:rsid w:val="003F0955"/>
    <w:rsid w:val="003F5F4D"/>
    <w:rsid w:val="003F646F"/>
    <w:rsid w:val="00400F00"/>
    <w:rsid w:val="00404F8B"/>
    <w:rsid w:val="00405256"/>
    <w:rsid w:val="00405ADD"/>
    <w:rsid w:val="00410031"/>
    <w:rsid w:val="00415C81"/>
    <w:rsid w:val="00421975"/>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868E5"/>
    <w:rsid w:val="004929A9"/>
    <w:rsid w:val="004A78D9"/>
    <w:rsid w:val="004B38C3"/>
    <w:rsid w:val="004C1BCD"/>
    <w:rsid w:val="004C6BCF"/>
    <w:rsid w:val="004D58BF"/>
    <w:rsid w:val="004E424E"/>
    <w:rsid w:val="004E4335"/>
    <w:rsid w:val="004E5226"/>
    <w:rsid w:val="004F13EE"/>
    <w:rsid w:val="004F2022"/>
    <w:rsid w:val="004F7C05"/>
    <w:rsid w:val="00501C94"/>
    <w:rsid w:val="00506432"/>
    <w:rsid w:val="00506E82"/>
    <w:rsid w:val="0052051D"/>
    <w:rsid w:val="00545EE6"/>
    <w:rsid w:val="005524BD"/>
    <w:rsid w:val="005550E7"/>
    <w:rsid w:val="005564FB"/>
    <w:rsid w:val="005572C7"/>
    <w:rsid w:val="00562EF6"/>
    <w:rsid w:val="005650ED"/>
    <w:rsid w:val="00575754"/>
    <w:rsid w:val="00581A71"/>
    <w:rsid w:val="00581FBA"/>
    <w:rsid w:val="005858A4"/>
    <w:rsid w:val="00591E20"/>
    <w:rsid w:val="00595408"/>
    <w:rsid w:val="00595E84"/>
    <w:rsid w:val="005A0C59"/>
    <w:rsid w:val="005A48EB"/>
    <w:rsid w:val="005A6CFB"/>
    <w:rsid w:val="005C4A38"/>
    <w:rsid w:val="005C5AEB"/>
    <w:rsid w:val="005D067B"/>
    <w:rsid w:val="005D5F4E"/>
    <w:rsid w:val="005E0A3F"/>
    <w:rsid w:val="005E1AF9"/>
    <w:rsid w:val="005E2D76"/>
    <w:rsid w:val="005E6883"/>
    <w:rsid w:val="005E772F"/>
    <w:rsid w:val="005E79D8"/>
    <w:rsid w:val="005F4ECA"/>
    <w:rsid w:val="006041BE"/>
    <w:rsid w:val="006043C7"/>
    <w:rsid w:val="00624B52"/>
    <w:rsid w:val="00630794"/>
    <w:rsid w:val="00631DF4"/>
    <w:rsid w:val="00634175"/>
    <w:rsid w:val="0063574E"/>
    <w:rsid w:val="006379C9"/>
    <w:rsid w:val="006408AC"/>
    <w:rsid w:val="00642C06"/>
    <w:rsid w:val="00642F20"/>
    <w:rsid w:val="006511B6"/>
    <w:rsid w:val="00657FF8"/>
    <w:rsid w:val="00661D2D"/>
    <w:rsid w:val="006646FA"/>
    <w:rsid w:val="00666B0F"/>
    <w:rsid w:val="00670D99"/>
    <w:rsid w:val="00670E2B"/>
    <w:rsid w:val="006734BB"/>
    <w:rsid w:val="0067697A"/>
    <w:rsid w:val="00680100"/>
    <w:rsid w:val="006821EB"/>
    <w:rsid w:val="006B2286"/>
    <w:rsid w:val="006B56BB"/>
    <w:rsid w:val="006C085B"/>
    <w:rsid w:val="006C77A8"/>
    <w:rsid w:val="006D4098"/>
    <w:rsid w:val="006D7681"/>
    <w:rsid w:val="006D7B2E"/>
    <w:rsid w:val="006E02EA"/>
    <w:rsid w:val="006E0968"/>
    <w:rsid w:val="006E2AF6"/>
    <w:rsid w:val="006F5073"/>
    <w:rsid w:val="006F799C"/>
    <w:rsid w:val="00701275"/>
    <w:rsid w:val="007062DE"/>
    <w:rsid w:val="00707F56"/>
    <w:rsid w:val="00713558"/>
    <w:rsid w:val="00720D08"/>
    <w:rsid w:val="00725A0E"/>
    <w:rsid w:val="007263B9"/>
    <w:rsid w:val="007334F8"/>
    <w:rsid w:val="007339CD"/>
    <w:rsid w:val="007359D8"/>
    <w:rsid w:val="007362D4"/>
    <w:rsid w:val="00741A9E"/>
    <w:rsid w:val="007631C9"/>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E6BA6"/>
    <w:rsid w:val="007F2220"/>
    <w:rsid w:val="007F4B3E"/>
    <w:rsid w:val="00802CC3"/>
    <w:rsid w:val="00804420"/>
    <w:rsid w:val="008127AF"/>
    <w:rsid w:val="00812B46"/>
    <w:rsid w:val="00815700"/>
    <w:rsid w:val="0082246B"/>
    <w:rsid w:val="0082306A"/>
    <w:rsid w:val="008264EB"/>
    <w:rsid w:val="00826B8F"/>
    <w:rsid w:val="00831A52"/>
    <w:rsid w:val="00831E8A"/>
    <w:rsid w:val="00835C76"/>
    <w:rsid w:val="008376E2"/>
    <w:rsid w:val="00843049"/>
    <w:rsid w:val="008437CA"/>
    <w:rsid w:val="0085209B"/>
    <w:rsid w:val="00856B66"/>
    <w:rsid w:val="00856EC3"/>
    <w:rsid w:val="008601AC"/>
    <w:rsid w:val="00861A5F"/>
    <w:rsid w:val="008644AD"/>
    <w:rsid w:val="00865735"/>
    <w:rsid w:val="00865DDB"/>
    <w:rsid w:val="00867538"/>
    <w:rsid w:val="008709F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3B55"/>
    <w:rsid w:val="00945E7F"/>
    <w:rsid w:val="009557C1"/>
    <w:rsid w:val="00960D6E"/>
    <w:rsid w:val="00974B59"/>
    <w:rsid w:val="0098340B"/>
    <w:rsid w:val="009840E5"/>
    <w:rsid w:val="00986830"/>
    <w:rsid w:val="009924C3"/>
    <w:rsid w:val="00993102"/>
    <w:rsid w:val="009A70C3"/>
    <w:rsid w:val="009B1570"/>
    <w:rsid w:val="009C6F10"/>
    <w:rsid w:val="009D148F"/>
    <w:rsid w:val="009D3D70"/>
    <w:rsid w:val="009E6F7E"/>
    <w:rsid w:val="009E7A57"/>
    <w:rsid w:val="009F4803"/>
    <w:rsid w:val="009F4F6A"/>
    <w:rsid w:val="00A13EB5"/>
    <w:rsid w:val="00A16E36"/>
    <w:rsid w:val="00A211A6"/>
    <w:rsid w:val="00A24961"/>
    <w:rsid w:val="00A24B10"/>
    <w:rsid w:val="00A277EF"/>
    <w:rsid w:val="00A30E9B"/>
    <w:rsid w:val="00A36BB0"/>
    <w:rsid w:val="00A4512D"/>
    <w:rsid w:val="00A50244"/>
    <w:rsid w:val="00A614B3"/>
    <w:rsid w:val="00A627D7"/>
    <w:rsid w:val="00A656C7"/>
    <w:rsid w:val="00A705AF"/>
    <w:rsid w:val="00A719F6"/>
    <w:rsid w:val="00A72454"/>
    <w:rsid w:val="00A74262"/>
    <w:rsid w:val="00A77696"/>
    <w:rsid w:val="00A80557"/>
    <w:rsid w:val="00A81D33"/>
    <w:rsid w:val="00A8341C"/>
    <w:rsid w:val="00A86DE9"/>
    <w:rsid w:val="00A930AE"/>
    <w:rsid w:val="00AA1A95"/>
    <w:rsid w:val="00AA260F"/>
    <w:rsid w:val="00AB1EE7"/>
    <w:rsid w:val="00AB4B37"/>
    <w:rsid w:val="00AB5762"/>
    <w:rsid w:val="00AC2679"/>
    <w:rsid w:val="00AC4BE4"/>
    <w:rsid w:val="00AD05E6"/>
    <w:rsid w:val="00AD0D3F"/>
    <w:rsid w:val="00AD3364"/>
    <w:rsid w:val="00AD6F87"/>
    <w:rsid w:val="00AE1D7D"/>
    <w:rsid w:val="00AE2A8B"/>
    <w:rsid w:val="00AE3F64"/>
    <w:rsid w:val="00AF7386"/>
    <w:rsid w:val="00AF7934"/>
    <w:rsid w:val="00B00B81"/>
    <w:rsid w:val="00B04580"/>
    <w:rsid w:val="00B04B09"/>
    <w:rsid w:val="00B16A51"/>
    <w:rsid w:val="00B32222"/>
    <w:rsid w:val="00B35CF2"/>
    <w:rsid w:val="00B3618D"/>
    <w:rsid w:val="00B36233"/>
    <w:rsid w:val="00B42851"/>
    <w:rsid w:val="00B45350"/>
    <w:rsid w:val="00B45AC7"/>
    <w:rsid w:val="00B5372F"/>
    <w:rsid w:val="00B53987"/>
    <w:rsid w:val="00B61129"/>
    <w:rsid w:val="00B67E7F"/>
    <w:rsid w:val="00B72257"/>
    <w:rsid w:val="00B75B59"/>
    <w:rsid w:val="00B76DB3"/>
    <w:rsid w:val="00B82B57"/>
    <w:rsid w:val="00B839B2"/>
    <w:rsid w:val="00B94252"/>
    <w:rsid w:val="00B94677"/>
    <w:rsid w:val="00B96A03"/>
    <w:rsid w:val="00B9715A"/>
    <w:rsid w:val="00BA14BE"/>
    <w:rsid w:val="00BA2732"/>
    <w:rsid w:val="00BA293D"/>
    <w:rsid w:val="00BA2C32"/>
    <w:rsid w:val="00BA49BC"/>
    <w:rsid w:val="00BA56B7"/>
    <w:rsid w:val="00BA7A1E"/>
    <w:rsid w:val="00BB2F6C"/>
    <w:rsid w:val="00BB3875"/>
    <w:rsid w:val="00BB5860"/>
    <w:rsid w:val="00BB6AAD"/>
    <w:rsid w:val="00BC325F"/>
    <w:rsid w:val="00BC4A19"/>
    <w:rsid w:val="00BC4E6D"/>
    <w:rsid w:val="00BD0617"/>
    <w:rsid w:val="00BD0A9E"/>
    <w:rsid w:val="00BD2E9B"/>
    <w:rsid w:val="00BD7FB2"/>
    <w:rsid w:val="00BE3ED5"/>
    <w:rsid w:val="00BF44CE"/>
    <w:rsid w:val="00C00930"/>
    <w:rsid w:val="00C060AD"/>
    <w:rsid w:val="00C113BF"/>
    <w:rsid w:val="00C114CC"/>
    <w:rsid w:val="00C17E01"/>
    <w:rsid w:val="00C2176E"/>
    <w:rsid w:val="00C23430"/>
    <w:rsid w:val="00C27D67"/>
    <w:rsid w:val="00C40059"/>
    <w:rsid w:val="00C435AF"/>
    <w:rsid w:val="00C4631F"/>
    <w:rsid w:val="00C47CDE"/>
    <w:rsid w:val="00C50E16"/>
    <w:rsid w:val="00C55258"/>
    <w:rsid w:val="00C75FA3"/>
    <w:rsid w:val="00C82EEB"/>
    <w:rsid w:val="00C971DC"/>
    <w:rsid w:val="00CA16B7"/>
    <w:rsid w:val="00CA5F8B"/>
    <w:rsid w:val="00CA62AE"/>
    <w:rsid w:val="00CB03B8"/>
    <w:rsid w:val="00CB5B1A"/>
    <w:rsid w:val="00CC220B"/>
    <w:rsid w:val="00CC5C43"/>
    <w:rsid w:val="00CD02AE"/>
    <w:rsid w:val="00CD2A4F"/>
    <w:rsid w:val="00CD4684"/>
    <w:rsid w:val="00CE03CA"/>
    <w:rsid w:val="00CE22F1"/>
    <w:rsid w:val="00CE50F2"/>
    <w:rsid w:val="00CE6502"/>
    <w:rsid w:val="00CF365A"/>
    <w:rsid w:val="00CF7D3C"/>
    <w:rsid w:val="00D01F09"/>
    <w:rsid w:val="00D03527"/>
    <w:rsid w:val="00D05E2C"/>
    <w:rsid w:val="00D147EB"/>
    <w:rsid w:val="00D260BB"/>
    <w:rsid w:val="00D272F1"/>
    <w:rsid w:val="00D3341B"/>
    <w:rsid w:val="00D34667"/>
    <w:rsid w:val="00D401E1"/>
    <w:rsid w:val="00D40631"/>
    <w:rsid w:val="00D408B4"/>
    <w:rsid w:val="00D44330"/>
    <w:rsid w:val="00D524C8"/>
    <w:rsid w:val="00D57F68"/>
    <w:rsid w:val="00D70E24"/>
    <w:rsid w:val="00D72B61"/>
    <w:rsid w:val="00D743E0"/>
    <w:rsid w:val="00D950FF"/>
    <w:rsid w:val="00DA3D1D"/>
    <w:rsid w:val="00DA424F"/>
    <w:rsid w:val="00DB6286"/>
    <w:rsid w:val="00DB645F"/>
    <w:rsid w:val="00DB76E9"/>
    <w:rsid w:val="00DC0A67"/>
    <w:rsid w:val="00DC1D5E"/>
    <w:rsid w:val="00DC5220"/>
    <w:rsid w:val="00DD2061"/>
    <w:rsid w:val="00DD58E3"/>
    <w:rsid w:val="00DD7DAB"/>
    <w:rsid w:val="00DE3355"/>
    <w:rsid w:val="00DE45C3"/>
    <w:rsid w:val="00DF0C60"/>
    <w:rsid w:val="00DF486F"/>
    <w:rsid w:val="00DF5B5B"/>
    <w:rsid w:val="00DF7619"/>
    <w:rsid w:val="00DF7EA0"/>
    <w:rsid w:val="00E042D8"/>
    <w:rsid w:val="00E07EE7"/>
    <w:rsid w:val="00E1103B"/>
    <w:rsid w:val="00E17B44"/>
    <w:rsid w:val="00E20F27"/>
    <w:rsid w:val="00E22443"/>
    <w:rsid w:val="00E25B1F"/>
    <w:rsid w:val="00E27FEA"/>
    <w:rsid w:val="00E341F6"/>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A7858"/>
    <w:rsid w:val="00EB3226"/>
    <w:rsid w:val="00EC213A"/>
    <w:rsid w:val="00EC7744"/>
    <w:rsid w:val="00ED0DAD"/>
    <w:rsid w:val="00ED0F46"/>
    <w:rsid w:val="00ED2373"/>
    <w:rsid w:val="00ED24F9"/>
    <w:rsid w:val="00ED2E38"/>
    <w:rsid w:val="00EE3E8A"/>
    <w:rsid w:val="00EF0920"/>
    <w:rsid w:val="00EF58B8"/>
    <w:rsid w:val="00EF6ECA"/>
    <w:rsid w:val="00F024E1"/>
    <w:rsid w:val="00F06C10"/>
    <w:rsid w:val="00F104C2"/>
    <w:rsid w:val="00F1096F"/>
    <w:rsid w:val="00F12589"/>
    <w:rsid w:val="00F12595"/>
    <w:rsid w:val="00F134D9"/>
    <w:rsid w:val="00F1403D"/>
    <w:rsid w:val="00F1463F"/>
    <w:rsid w:val="00F21302"/>
    <w:rsid w:val="00F2430D"/>
    <w:rsid w:val="00F321DE"/>
    <w:rsid w:val="00F33777"/>
    <w:rsid w:val="00F3753B"/>
    <w:rsid w:val="00F40648"/>
    <w:rsid w:val="00F425D3"/>
    <w:rsid w:val="00F47DA2"/>
    <w:rsid w:val="00F51321"/>
    <w:rsid w:val="00F519FC"/>
    <w:rsid w:val="00F6239D"/>
    <w:rsid w:val="00F71515"/>
    <w:rsid w:val="00F715D2"/>
    <w:rsid w:val="00F7274F"/>
    <w:rsid w:val="00F74E84"/>
    <w:rsid w:val="00F76FA8"/>
    <w:rsid w:val="00F85AFE"/>
    <w:rsid w:val="00F93F08"/>
    <w:rsid w:val="00F94CED"/>
    <w:rsid w:val="00FA02BB"/>
    <w:rsid w:val="00FA2CEE"/>
    <w:rsid w:val="00FA318C"/>
    <w:rsid w:val="00FB6F92"/>
    <w:rsid w:val="00FC026E"/>
    <w:rsid w:val="00FC2ADB"/>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1"/>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05B60"/>
    <w:pPr>
      <w:keepNext/>
      <w:spacing w:before="240" w:after="60"/>
      <w:outlineLvl w:val="0"/>
    </w:pPr>
    <w:rPr>
      <w:rFonts w:ascii="Arial" w:hAnsi="Arial" w:cs="Arial"/>
      <w:b/>
      <w:bCs/>
      <w:color w:val="3F4A75" w:themeColor="text2"/>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581A71"/>
    <w:rPr>
      <w:sz w:val="16"/>
      <w:szCs w:val="16"/>
    </w:rPr>
  </w:style>
  <w:style w:type="paragraph" w:styleId="CommentSubject">
    <w:name w:val="annotation subject"/>
    <w:basedOn w:val="CommentText"/>
    <w:next w:val="CommentText"/>
    <w:link w:val="CommentSubjectChar"/>
    <w:semiHidden/>
    <w:unhideWhenUsed/>
    <w:rsid w:val="00581A7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81A71"/>
    <w:rPr>
      <w:rFonts w:ascii="Arial" w:eastAsiaTheme="minorEastAsia" w:hAnsi="Arial" w:cstheme="minorBidi"/>
      <w:b/>
      <w:bCs/>
      <w:color w:val="000000" w:themeColor="text1"/>
      <w:lang w:eastAsia="en-US"/>
    </w:rPr>
  </w:style>
  <w:style w:type="character" w:customStyle="1" w:styleId="Heading2-altChar">
    <w:name w:val="Heading 2 - alt Char"/>
    <w:basedOn w:val="DefaultParagraphFont"/>
    <w:link w:val="Heading2-alt"/>
    <w:locked/>
    <w:rsid w:val="003C24C6"/>
    <w:rPr>
      <w:rFonts w:ascii="Arial" w:eastAsiaTheme="majorEastAsia" w:hAnsi="Arial" w:cs="Arial"/>
      <w:b/>
      <w:bCs/>
      <w:iCs/>
      <w:color w:val="358189"/>
      <w:sz w:val="32"/>
      <w:szCs w:val="28"/>
      <w:lang w:eastAsia="en-US"/>
    </w:rPr>
  </w:style>
  <w:style w:type="paragraph" w:customStyle="1" w:styleId="Heading2-alt">
    <w:name w:val="Heading 2 - alt"/>
    <w:basedOn w:val="Heading2"/>
    <w:link w:val="Heading2-altChar"/>
    <w:qFormat/>
    <w:rsid w:val="003C24C6"/>
    <w:rPr>
      <w:rFonts w:eastAsiaTheme="majorEastAsia"/>
      <w:sz w:val="32"/>
    </w:rPr>
  </w:style>
  <w:style w:type="character" w:styleId="FootnoteReference">
    <w:name w:val="footnote reference"/>
    <w:basedOn w:val="DefaultParagraphFont"/>
    <w:semiHidden/>
    <w:unhideWhenUsed/>
    <w:rsid w:val="00943B55"/>
    <w:rPr>
      <w:vertAlign w:val="superscript"/>
    </w:rPr>
  </w:style>
  <w:style w:type="paragraph" w:styleId="ListParagraph">
    <w:name w:val="List Paragraph"/>
    <w:basedOn w:val="Normal"/>
    <w:uiPriority w:val="34"/>
    <w:qFormat/>
    <w:rsid w:val="00CF365A"/>
    <w:pPr>
      <w:ind w:left="720"/>
      <w:contextualSpacing/>
    </w:pPr>
  </w:style>
  <w:style w:type="paragraph" w:customStyle="1" w:styleId="FactsheetH1">
    <w:name w:val="Fact sheet H1"/>
    <w:basedOn w:val="Heading1"/>
    <w:link w:val="FactsheetH1Char"/>
    <w:qFormat/>
    <w:rsid w:val="00421975"/>
    <w:rPr>
      <w:color w:val="358189" w:themeColor="accent2"/>
      <w:sz w:val="36"/>
    </w:rPr>
  </w:style>
  <w:style w:type="paragraph" w:customStyle="1" w:styleId="FactsheetH2">
    <w:name w:val="Fact sheet H2"/>
    <w:basedOn w:val="Heading2-alt"/>
    <w:link w:val="FactsheetH2Char"/>
    <w:qFormat/>
    <w:rsid w:val="00205B60"/>
    <w:rPr>
      <w:color w:val="3F4A75" w:themeColor="accent1"/>
      <w:szCs w:val="24"/>
    </w:rPr>
  </w:style>
  <w:style w:type="character" w:customStyle="1" w:styleId="FactsheetH1Char">
    <w:name w:val="Fact sheet H1 Char"/>
    <w:basedOn w:val="Heading2Char"/>
    <w:link w:val="FactsheetH1"/>
    <w:rsid w:val="00421975"/>
    <w:rPr>
      <w:rFonts w:ascii="Arial" w:hAnsi="Arial" w:cs="Arial"/>
      <w:b/>
      <w:bCs/>
      <w:iCs w:val="0"/>
      <w:color w:val="358189" w:themeColor="accent2"/>
      <w:kern w:val="28"/>
      <w:sz w:val="36"/>
      <w:szCs w:val="36"/>
      <w:lang w:eastAsia="en-US"/>
    </w:rPr>
  </w:style>
  <w:style w:type="character" w:customStyle="1" w:styleId="FactsheetH2Char">
    <w:name w:val="Fact sheet H2 Char"/>
    <w:basedOn w:val="Heading2-altChar"/>
    <w:link w:val="FactsheetH2"/>
    <w:rsid w:val="00205B60"/>
    <w:rPr>
      <w:rFonts w:ascii="Arial" w:eastAsiaTheme="majorEastAsia" w:hAnsi="Arial" w:cs="Arial"/>
      <w:b/>
      <w:bCs/>
      <w:iCs/>
      <w:color w:val="3F4A75" w:themeColor="accent1"/>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21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613690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www.health.gov.au/our-work/better-access-evaluation" TargetMode="External"/><Relationship Id="rId18" Type="http://schemas.openxmlformats.org/officeDocument/2006/relationships/hyperlink" Target="https://www.health.gov.au/topics/private-health-insurance/private-health-insurance-reforms" TargetMode="External"/><Relationship Id="rId26" Type="http://schemas.openxmlformats.org/officeDocument/2006/relationships/hyperlink" Target="http://www.mbsonline.gov.au/" TargetMode="Externa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s://www.health.gov.au/resources/publications/taskforce-final-report-primary-care"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bsonline.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health.gov.au/internet/main/publishing.nsf/content/mbsreviewtaskforce"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s://www.pc.gov.au/inquiries/completed/mental-health/report" TargetMode="External"/><Relationship Id="rId14" Type="http://schemas.openxmlformats.org/officeDocument/2006/relationships/hyperlink" Target="http://www.mbsonline.gov.au/" TargetMode="External"/><Relationship Id="rId22" Type="http://schemas.openxmlformats.org/officeDocument/2006/relationships/hyperlink" Target="http://www.mbsonline.gov.au/internet/mbsonline/publishing.nsf/Content/download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2438</Words>
  <Characters>14921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2023-03-03T00:16:00Z</dcterms:created>
  <dcterms:modified xsi:type="dcterms:W3CDTF">2023-03-03T00:17:00Z</dcterms:modified>
</cp:coreProperties>
</file>