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28C2F" w14:textId="7CF5A26D" w:rsidR="00AB53A4" w:rsidRDefault="008D15B1" w:rsidP="00AC2D1D">
      <w:pPr>
        <w:pStyle w:val="Heading1"/>
        <w:spacing w:before="120"/>
      </w:pPr>
      <w:bookmarkStart w:id="0" w:name="_GoBack"/>
      <w:bookmarkEnd w:id="0"/>
      <w:r>
        <w:t>N</w:t>
      </w:r>
      <w:r w:rsidR="000C2307">
        <w:t>ew item for computed tomography (CT) angiography of the pulmonary arteries</w:t>
      </w:r>
      <w:r w:rsidR="00B31CEC">
        <w:t xml:space="preserve"> and </w:t>
      </w:r>
      <w:r w:rsidR="00AC77A0">
        <w:t>minor amendments</w:t>
      </w:r>
      <w:r w:rsidR="0029680B">
        <w:t xml:space="preserve"> </w:t>
      </w:r>
      <w:r w:rsidR="005A7744">
        <w:t>–</w:t>
      </w:r>
      <w:r w:rsidR="0029680B">
        <w:t xml:space="preserve"> </w:t>
      </w:r>
      <w:r w:rsidR="00C06E51">
        <w:t>fact</w:t>
      </w:r>
      <w:r w:rsidR="005A7744">
        <w:t xml:space="preserve"> </w:t>
      </w:r>
      <w:r w:rsidR="00C06E51">
        <w:t>sheet</w:t>
      </w:r>
      <w:r w:rsidR="00AA08BD">
        <w:t xml:space="preserve"> </w:t>
      </w:r>
    </w:p>
    <w:p w14:paraId="21118A44" w14:textId="1C6A722F" w:rsidR="00117186" w:rsidRPr="00117186" w:rsidRDefault="00117186" w:rsidP="00117186">
      <w:r>
        <w:t xml:space="preserve">Last Updated </w:t>
      </w:r>
      <w:r w:rsidR="008D15B1">
        <w:t>1</w:t>
      </w:r>
      <w:r w:rsidR="00FA251E">
        <w:t>5</w:t>
      </w:r>
      <w:r w:rsidR="008D15B1">
        <w:t xml:space="preserve"> </w:t>
      </w:r>
      <w:r>
        <w:t>October 2020</w:t>
      </w:r>
    </w:p>
    <w:p w14:paraId="7DD8CC99" w14:textId="428D6758" w:rsidR="0029680B" w:rsidRDefault="00DD16DC" w:rsidP="00AA1AA8">
      <w:pPr>
        <w:pStyle w:val="ListParagraph"/>
        <w:ind w:left="357" w:hanging="357"/>
      </w:pPr>
      <w:bookmarkStart w:id="1" w:name="_Hlk535506978"/>
      <w:r>
        <w:t xml:space="preserve">From 1 </w:t>
      </w:r>
      <w:r w:rsidR="000C2307">
        <w:t xml:space="preserve">November </w:t>
      </w:r>
      <w:r>
        <w:t xml:space="preserve">2020, </w:t>
      </w:r>
      <w:r w:rsidR="000C2307">
        <w:t>a new item is being introduced for CT angiography of the pulmonary arteries.</w:t>
      </w:r>
      <w:r w:rsidR="00AC77A0">
        <w:t xml:space="preserve">  The restriction between vascular ultrasound of regions other than the lower limb and </w:t>
      </w:r>
      <w:proofErr w:type="spellStart"/>
      <w:r w:rsidR="00AC77A0">
        <w:t>musculo</w:t>
      </w:r>
      <w:proofErr w:type="spellEnd"/>
      <w:r w:rsidR="00AC77A0">
        <w:t xml:space="preserve">-skeletal ultrasound of the lower limb </w:t>
      </w:r>
      <w:r w:rsidR="004718B5">
        <w:t xml:space="preserve">is being </w:t>
      </w:r>
      <w:r w:rsidR="00AC77A0">
        <w:t>removed.  This restriction was included in error on 1 May 2020.</w:t>
      </w:r>
    </w:p>
    <w:bookmarkEnd w:id="1"/>
    <w:p w14:paraId="012E0E82" w14:textId="30D152F1" w:rsidR="00045810" w:rsidRDefault="00C06E51" w:rsidP="00C06E51">
      <w:pPr>
        <w:pStyle w:val="ListParagraph"/>
      </w:pPr>
      <w:r w:rsidRPr="00C06E51">
        <w:t xml:space="preserve">These changes are relevant </w:t>
      </w:r>
      <w:r w:rsidR="00AD490F">
        <w:t xml:space="preserve">to providers delivering and claiming CT angiography and vascular ultrasound services </w:t>
      </w:r>
      <w:r w:rsidR="000C2307">
        <w:t xml:space="preserve">and requesters of those services. </w:t>
      </w:r>
    </w:p>
    <w:p w14:paraId="5EEF4DB1" w14:textId="77777777" w:rsidR="00C06E51" w:rsidRDefault="00C06E51" w:rsidP="00C06E51">
      <w:pPr>
        <w:pStyle w:val="ListParagraph"/>
      </w:pPr>
      <w:r>
        <w:t>Provider b</w:t>
      </w:r>
      <w:r w:rsidRPr="00C06E51">
        <w:t xml:space="preserve">illing </w:t>
      </w:r>
      <w:r>
        <w:t xml:space="preserve">arrangements </w:t>
      </w:r>
      <w:r w:rsidRPr="00C06E51">
        <w:t xml:space="preserve">from 1 </w:t>
      </w:r>
      <w:r>
        <w:t xml:space="preserve">May 2020 </w:t>
      </w:r>
      <w:r w:rsidRPr="00C06E51">
        <w:t>will need to be adjusted to reflect these changes.</w:t>
      </w:r>
    </w:p>
    <w:p w14:paraId="1D846F8C" w14:textId="77777777" w:rsidR="0017279A" w:rsidRDefault="004E0510" w:rsidP="00AC2D1D">
      <w:pPr>
        <w:spacing w:after="120"/>
        <w:sectPr w:rsidR="0017279A" w:rsidSect="00F50994">
          <w:headerReference w:type="default" r:id="rId8"/>
          <w:footerReference w:type="default" r:id="rId9"/>
          <w:type w:val="continuous"/>
          <w:pgSz w:w="11906" w:h="16838"/>
          <w:pgMar w:top="3261" w:right="720" w:bottom="720" w:left="720" w:header="708" w:footer="708" w:gutter="0"/>
          <w:cols w:space="708"/>
          <w:docGrid w:linePitch="360"/>
        </w:sectPr>
      </w:pPr>
      <w:r>
        <w:rPr>
          <w:rStyle w:val="BookTitle"/>
        </w:rPr>
        <w:pict w14:anchorId="69133D4E">
          <v:rect id="_x0000_i1026" style="width:500.25pt;height:1.35pt" o:hrpct="990" o:hralign="center" o:hrstd="t" o:hr="t" fillcolor="#a0a0a0" stroked="f"/>
        </w:pict>
      </w:r>
    </w:p>
    <w:p w14:paraId="7CB8108B" w14:textId="77777777" w:rsidR="00F074CE" w:rsidRDefault="00F074CE" w:rsidP="00AC2D1D">
      <w:pPr>
        <w:pStyle w:val="Heading2"/>
        <w:spacing w:before="120"/>
      </w:pPr>
      <w:r w:rsidRPr="00AB53A4">
        <w:t>What are the changes</w:t>
      </w:r>
      <w:r w:rsidR="002A3C7C" w:rsidRPr="00AB53A4">
        <w:t>?</w:t>
      </w:r>
    </w:p>
    <w:p w14:paraId="573B3469" w14:textId="1E3BE4E8" w:rsidR="00AC77A0" w:rsidRPr="00AC77A0" w:rsidRDefault="00AC77A0" w:rsidP="00AC2D1D">
      <w:pPr>
        <w:rPr>
          <w:b/>
          <w:sz w:val="24"/>
          <w:szCs w:val="24"/>
        </w:rPr>
      </w:pPr>
      <w:r w:rsidRPr="00AC77A0">
        <w:rPr>
          <w:b/>
          <w:sz w:val="24"/>
          <w:szCs w:val="24"/>
        </w:rPr>
        <w:t>New item for CT angiography of the pulmonary arteries</w:t>
      </w:r>
    </w:p>
    <w:p w14:paraId="30AF9ACF" w14:textId="4C4ED016" w:rsidR="000C2307" w:rsidRDefault="000C2307" w:rsidP="00EB1FCC">
      <w:r>
        <w:t xml:space="preserve">From 1 November 2020, </w:t>
      </w:r>
      <w:r w:rsidR="00EB1FCC">
        <w:t xml:space="preserve">Medicare Benefits Schedule (MBS) </w:t>
      </w:r>
      <w:r>
        <w:t xml:space="preserve">item 57357 is being introduced for CT </w:t>
      </w:r>
      <w:r w:rsidR="002924C5">
        <w:t>angiography</w:t>
      </w:r>
      <w:r>
        <w:t xml:space="preserve"> of the pulmonary arteries. </w:t>
      </w:r>
    </w:p>
    <w:p w14:paraId="0E853CF4" w14:textId="77777777" w:rsidR="006340C0" w:rsidRDefault="000C2307" w:rsidP="00E63887">
      <w:pPr>
        <w:autoSpaceDE w:val="0"/>
        <w:autoSpaceDN w:val="0"/>
        <w:adjustRightInd w:val="0"/>
        <w:spacing w:after="120"/>
        <w:rPr>
          <w:rStyle w:val="Descriptorheader"/>
        </w:rPr>
      </w:pPr>
      <w:r w:rsidRPr="00F71FBF">
        <w:rPr>
          <w:rStyle w:val="Descriptorheader"/>
        </w:rPr>
        <w:t>Service/Descriptor:</w:t>
      </w:r>
      <w:r>
        <w:rPr>
          <w:rStyle w:val="Descriptorheader"/>
        </w:rPr>
        <w:t xml:space="preserve"> </w:t>
      </w:r>
    </w:p>
    <w:p w14:paraId="1A971AAB" w14:textId="77777777" w:rsidR="00AC77A0" w:rsidRPr="00AC2D1D" w:rsidRDefault="00AC77A0" w:rsidP="00AC2D1D">
      <w:pPr>
        <w:autoSpaceDE w:val="0"/>
        <w:autoSpaceDN w:val="0"/>
        <w:adjustRightInd w:val="0"/>
        <w:spacing w:after="120"/>
        <w:rPr>
          <w:rFonts w:eastAsiaTheme="minorHAnsi" w:cs="Arial"/>
          <w:szCs w:val="20"/>
        </w:rPr>
      </w:pPr>
      <w:r w:rsidRPr="00AC2D1D">
        <w:rPr>
          <w:rFonts w:eastAsiaTheme="minorHAnsi" w:cs="Arial"/>
          <w:szCs w:val="20"/>
        </w:rPr>
        <w:t>Computed tomography—angiography with intravenous contrast medium of any or all, or any part, of the pulmonary arteries and their branches, including any scans performed before intravenous contrast injection—one or more data acquisitions, including image editing, and maximum intensity projections or 3 dimensional surface shaded display, with hardcopy or digital recording of multiple projections, if:</w:t>
      </w:r>
    </w:p>
    <w:p w14:paraId="31E6D449" w14:textId="77777777" w:rsidR="00AC77A0" w:rsidRPr="00AC77A0" w:rsidRDefault="00AC77A0" w:rsidP="00AC2D1D">
      <w:pPr>
        <w:numPr>
          <w:ilvl w:val="0"/>
          <w:numId w:val="38"/>
        </w:numPr>
        <w:spacing w:after="40" w:line="240" w:lineRule="auto"/>
        <w:rPr>
          <w:rFonts w:asciiTheme="majorHAnsi" w:eastAsia="Times New Roman" w:hAnsiTheme="majorHAnsi" w:cstheme="majorHAnsi"/>
          <w:color w:val="000000"/>
          <w:szCs w:val="20"/>
          <w:lang w:eastAsia="en-AU"/>
        </w:rPr>
      </w:pPr>
      <w:r w:rsidRPr="00AC77A0">
        <w:rPr>
          <w:rFonts w:asciiTheme="majorHAnsi" w:eastAsia="Times New Roman" w:hAnsiTheme="majorHAnsi" w:cstheme="majorHAnsi"/>
          <w:color w:val="000000"/>
          <w:szCs w:val="20"/>
          <w:lang w:eastAsia="en-AU"/>
        </w:rPr>
        <w:t>the service is not a service to which another item in this group applies; and</w:t>
      </w:r>
    </w:p>
    <w:p w14:paraId="7F6AB6E7" w14:textId="77777777" w:rsidR="00AC77A0" w:rsidRPr="00AC77A0" w:rsidRDefault="00AC77A0" w:rsidP="00AC2D1D">
      <w:pPr>
        <w:numPr>
          <w:ilvl w:val="0"/>
          <w:numId w:val="38"/>
        </w:numPr>
        <w:spacing w:after="40" w:line="240" w:lineRule="auto"/>
        <w:rPr>
          <w:rFonts w:asciiTheme="majorHAnsi" w:eastAsia="Times New Roman" w:hAnsiTheme="majorHAnsi" w:cstheme="majorHAnsi"/>
          <w:color w:val="000000"/>
          <w:szCs w:val="20"/>
          <w:lang w:eastAsia="en-AU"/>
        </w:rPr>
      </w:pPr>
      <w:r w:rsidRPr="00AC77A0">
        <w:rPr>
          <w:rFonts w:asciiTheme="majorHAnsi" w:eastAsia="Times New Roman" w:hAnsiTheme="majorHAnsi" w:cstheme="majorHAnsi"/>
          <w:color w:val="000000"/>
          <w:szCs w:val="20"/>
          <w:lang w:eastAsia="en-AU"/>
        </w:rPr>
        <w:t>the service is not a study performed to image the coronary arteries; and</w:t>
      </w:r>
    </w:p>
    <w:p w14:paraId="7C51A10C" w14:textId="77777777" w:rsidR="00EB1FCC" w:rsidRPr="00AC2D1D" w:rsidRDefault="00AC77A0" w:rsidP="00AC2D1D">
      <w:pPr>
        <w:numPr>
          <w:ilvl w:val="0"/>
          <w:numId w:val="38"/>
        </w:numPr>
        <w:autoSpaceDE w:val="0"/>
        <w:autoSpaceDN w:val="0"/>
        <w:adjustRightInd w:val="0"/>
        <w:spacing w:after="40" w:line="240" w:lineRule="auto"/>
        <w:rPr>
          <w:rFonts w:asciiTheme="minorHAnsi" w:hAnsiTheme="minorHAnsi" w:cstheme="minorHAnsi"/>
          <w:bCs/>
          <w:iCs/>
          <w:noProof/>
          <w:spacing w:val="5"/>
          <w:szCs w:val="20"/>
        </w:rPr>
      </w:pPr>
      <w:r w:rsidRPr="00AC77A0">
        <w:rPr>
          <w:rFonts w:asciiTheme="majorHAnsi" w:eastAsia="Times New Roman" w:hAnsiTheme="majorHAnsi" w:cstheme="majorHAnsi"/>
          <w:color w:val="000000"/>
          <w:szCs w:val="20"/>
          <w:lang w:eastAsia="en-AU"/>
        </w:rPr>
        <w:t>the service is:</w:t>
      </w:r>
    </w:p>
    <w:p w14:paraId="49875AE1" w14:textId="324DB3F0" w:rsidR="00EB1FCC" w:rsidRPr="00AC2D1D" w:rsidRDefault="00AC77A0" w:rsidP="00AC2D1D">
      <w:pPr>
        <w:numPr>
          <w:ilvl w:val="1"/>
          <w:numId w:val="38"/>
        </w:numPr>
        <w:tabs>
          <w:tab w:val="clear" w:pos="1440"/>
        </w:tabs>
        <w:autoSpaceDE w:val="0"/>
        <w:autoSpaceDN w:val="0"/>
        <w:adjustRightInd w:val="0"/>
        <w:spacing w:after="40" w:line="240" w:lineRule="auto"/>
        <w:ind w:left="1134" w:hanging="283"/>
        <w:rPr>
          <w:rFonts w:asciiTheme="minorHAnsi" w:hAnsiTheme="minorHAnsi" w:cstheme="minorHAnsi"/>
          <w:bCs/>
          <w:iCs/>
          <w:noProof/>
          <w:spacing w:val="5"/>
          <w:szCs w:val="20"/>
        </w:rPr>
      </w:pPr>
      <w:r w:rsidRPr="00AC77A0">
        <w:rPr>
          <w:rFonts w:asciiTheme="majorHAnsi" w:eastAsia="Times New Roman" w:hAnsiTheme="majorHAnsi" w:cstheme="majorHAnsi"/>
          <w:color w:val="000000"/>
          <w:szCs w:val="20"/>
          <w:lang w:eastAsia="en-AU"/>
        </w:rPr>
        <w:t>performed for the exclusion of pulmonary arterial stenosis, occlusion, aneurysm or embolism and is requested by a specialist or consultant physician; or</w:t>
      </w:r>
    </w:p>
    <w:p w14:paraId="4DF5499C" w14:textId="69FCCD29" w:rsidR="00EB1FCC" w:rsidRPr="00AC2D1D" w:rsidRDefault="00AC77A0" w:rsidP="00AC2D1D">
      <w:pPr>
        <w:numPr>
          <w:ilvl w:val="1"/>
          <w:numId w:val="38"/>
        </w:numPr>
        <w:tabs>
          <w:tab w:val="clear" w:pos="1440"/>
        </w:tabs>
        <w:autoSpaceDE w:val="0"/>
        <w:autoSpaceDN w:val="0"/>
        <w:adjustRightInd w:val="0"/>
        <w:spacing w:after="40" w:line="240" w:lineRule="auto"/>
        <w:ind w:left="1134" w:hanging="283"/>
        <w:rPr>
          <w:rFonts w:asciiTheme="minorHAnsi" w:hAnsiTheme="minorHAnsi" w:cstheme="minorHAnsi"/>
          <w:bCs/>
          <w:iCs/>
          <w:noProof/>
          <w:spacing w:val="5"/>
          <w:szCs w:val="20"/>
        </w:rPr>
      </w:pPr>
      <w:r w:rsidRPr="00AC77A0">
        <w:rPr>
          <w:rFonts w:asciiTheme="majorHAnsi" w:eastAsia="Times New Roman" w:hAnsiTheme="majorHAnsi" w:cstheme="majorHAnsi"/>
          <w:color w:val="000000"/>
          <w:szCs w:val="20"/>
          <w:lang w:eastAsia="en-AU"/>
        </w:rPr>
        <w:t>performed for the exclusion of pulmonary arterial stenosis, occlusion or aneurysm and is requested by a medical practitioner (other than a specialist or consultant physician) and the request indicates that the patient’s case has been discussed with a specialist or consultant physician; or</w:t>
      </w:r>
    </w:p>
    <w:p w14:paraId="03202B11" w14:textId="132E5B3A" w:rsidR="006340C0" w:rsidRDefault="00AC77A0" w:rsidP="00AC2D1D">
      <w:pPr>
        <w:numPr>
          <w:ilvl w:val="1"/>
          <w:numId w:val="38"/>
        </w:numPr>
        <w:tabs>
          <w:tab w:val="clear" w:pos="1440"/>
        </w:tabs>
        <w:autoSpaceDE w:val="0"/>
        <w:autoSpaceDN w:val="0"/>
        <w:adjustRightInd w:val="0"/>
        <w:spacing w:after="120" w:line="240" w:lineRule="auto"/>
        <w:ind w:left="1135" w:hanging="284"/>
        <w:rPr>
          <w:rStyle w:val="Descriptorheader"/>
          <w:rFonts w:cstheme="minorHAnsi"/>
          <w:b w:val="0"/>
          <w:sz w:val="20"/>
          <w:szCs w:val="20"/>
        </w:rPr>
      </w:pPr>
      <w:proofErr w:type="gramStart"/>
      <w:r w:rsidRPr="00AC77A0">
        <w:rPr>
          <w:rFonts w:asciiTheme="majorHAnsi" w:eastAsia="Times New Roman" w:hAnsiTheme="majorHAnsi" w:cstheme="majorHAnsi"/>
          <w:color w:val="000000"/>
          <w:szCs w:val="20"/>
          <w:lang w:eastAsia="en-AU"/>
        </w:rPr>
        <w:t>for</w:t>
      </w:r>
      <w:proofErr w:type="gramEnd"/>
      <w:r w:rsidRPr="00AC77A0">
        <w:rPr>
          <w:rFonts w:asciiTheme="majorHAnsi" w:eastAsia="Times New Roman" w:hAnsiTheme="majorHAnsi" w:cstheme="majorHAnsi"/>
          <w:color w:val="000000"/>
          <w:szCs w:val="20"/>
          <w:lang w:eastAsia="en-AU"/>
        </w:rPr>
        <w:t xml:space="preserve"> the exclusion of pulmonary embolism and is requested be a medical practitioner (other than a specialist or consultant physician) (</w:t>
      </w:r>
      <w:r w:rsidRPr="00AC77A0">
        <w:rPr>
          <w:rFonts w:asciiTheme="minorHAnsi" w:eastAsia="Times New Roman" w:hAnsiTheme="minorHAnsi" w:cstheme="minorHAnsi"/>
          <w:color w:val="000000"/>
          <w:szCs w:val="20"/>
          <w:lang w:eastAsia="en-AU"/>
        </w:rPr>
        <w:t>R)</w:t>
      </w:r>
      <w:r w:rsidRPr="00AC77A0">
        <w:rPr>
          <w:rStyle w:val="Descriptorheader"/>
          <w:rFonts w:cstheme="minorHAnsi"/>
          <w:b w:val="0"/>
          <w:sz w:val="20"/>
          <w:szCs w:val="20"/>
        </w:rPr>
        <w:t xml:space="preserve"> </w:t>
      </w:r>
      <w:r w:rsidR="006340C0" w:rsidRPr="00AC77A0">
        <w:rPr>
          <w:rStyle w:val="Descriptorheader"/>
          <w:rFonts w:cstheme="minorHAnsi"/>
          <w:b w:val="0"/>
          <w:sz w:val="20"/>
          <w:szCs w:val="20"/>
        </w:rPr>
        <w:t>(Anaes.)</w:t>
      </w:r>
    </w:p>
    <w:p w14:paraId="23CD6680" w14:textId="6386B376" w:rsidR="00AC77A0" w:rsidRPr="00AC77A0" w:rsidRDefault="00AC77A0" w:rsidP="00AC2D1D">
      <w:pPr>
        <w:autoSpaceDE w:val="0"/>
        <w:autoSpaceDN w:val="0"/>
        <w:adjustRightInd w:val="0"/>
        <w:spacing w:after="120" w:line="240" w:lineRule="auto"/>
        <w:rPr>
          <w:rStyle w:val="Descriptorheader"/>
          <w:rFonts w:cstheme="minorHAnsi"/>
          <w:b w:val="0"/>
          <w:sz w:val="20"/>
          <w:szCs w:val="20"/>
        </w:rPr>
      </w:pPr>
      <w:r>
        <w:rPr>
          <w:rStyle w:val="Descriptorheader"/>
          <w:rFonts w:cstheme="minorHAnsi"/>
          <w:b w:val="0"/>
          <w:sz w:val="20"/>
          <w:szCs w:val="20"/>
        </w:rPr>
        <w:t>Schedule fee:  $517.65</w:t>
      </w:r>
    </w:p>
    <w:p w14:paraId="0C29668D" w14:textId="77777777" w:rsidR="00AD490F" w:rsidRDefault="00AD490F">
      <w:pPr>
        <w:spacing w:line="259" w:lineRule="auto"/>
        <w:rPr>
          <w:rStyle w:val="Descriptorheader"/>
        </w:rPr>
      </w:pPr>
      <w:r>
        <w:rPr>
          <w:rStyle w:val="Descriptorheader"/>
        </w:rPr>
        <w:br w:type="page"/>
      </w:r>
    </w:p>
    <w:p w14:paraId="25F7AB89" w14:textId="0D29803D" w:rsidR="00AC77A0" w:rsidRDefault="00AC77A0">
      <w:pPr>
        <w:autoSpaceDE w:val="0"/>
        <w:autoSpaceDN w:val="0"/>
        <w:adjustRightInd w:val="0"/>
        <w:rPr>
          <w:rStyle w:val="Descriptorheader"/>
        </w:rPr>
      </w:pPr>
      <w:r w:rsidRPr="00F71FBF">
        <w:rPr>
          <w:rStyle w:val="Descriptorheader"/>
        </w:rPr>
        <w:lastRenderedPageBreak/>
        <w:t xml:space="preserve">Benefit: </w:t>
      </w:r>
    </w:p>
    <w:p w14:paraId="297C632A" w14:textId="746E7E55" w:rsidR="00AC77A0" w:rsidRDefault="00AC77A0" w:rsidP="00E567F6">
      <w:pPr>
        <w:autoSpaceDE w:val="0"/>
        <w:autoSpaceDN w:val="0"/>
        <w:adjustRightInd w:val="0"/>
        <w:spacing w:after="0"/>
        <w:rPr>
          <w:rFonts w:eastAsiaTheme="minorHAnsi" w:cs="Arial"/>
          <w:szCs w:val="20"/>
        </w:rPr>
      </w:pPr>
      <w:r w:rsidRPr="007E5242">
        <w:rPr>
          <w:rStyle w:val="Descriptorheader"/>
        </w:rPr>
        <w:t>85%</w:t>
      </w:r>
      <w:r>
        <w:rPr>
          <w:rFonts w:eastAsiaTheme="minorHAnsi" w:cs="Arial"/>
          <w:szCs w:val="20"/>
        </w:rPr>
        <w:t xml:space="preserve"> = $440.05 </w:t>
      </w:r>
      <w:r w:rsidR="00EB1FCC">
        <w:rPr>
          <w:rFonts w:eastAsiaTheme="minorHAnsi" w:cs="Arial"/>
          <w:szCs w:val="20"/>
        </w:rPr>
        <w:tab/>
      </w:r>
      <w:r>
        <w:rPr>
          <w:rFonts w:eastAsiaTheme="minorHAnsi" w:cs="Arial"/>
          <w:szCs w:val="20"/>
        </w:rPr>
        <w:t>Bulk billed benefit = $491.80.</w:t>
      </w:r>
    </w:p>
    <w:p w14:paraId="7A77E5CF" w14:textId="77777777" w:rsidR="004B2E02" w:rsidRDefault="004B2E02" w:rsidP="008D15B1">
      <w:pPr>
        <w:autoSpaceDE w:val="0"/>
        <w:autoSpaceDN w:val="0"/>
        <w:adjustRightInd w:val="0"/>
        <w:spacing w:after="0"/>
        <w:rPr>
          <w:rStyle w:val="Descriptorheader"/>
        </w:rPr>
      </w:pPr>
    </w:p>
    <w:p w14:paraId="7B093A80" w14:textId="6918E0E0" w:rsidR="00E72701" w:rsidRDefault="006340C0">
      <w:pPr>
        <w:autoSpaceDE w:val="0"/>
        <w:autoSpaceDN w:val="0"/>
        <w:adjustRightInd w:val="0"/>
        <w:rPr>
          <w:rStyle w:val="Descriptorheader"/>
        </w:rPr>
      </w:pPr>
      <w:r>
        <w:rPr>
          <w:rStyle w:val="Descriptorheader"/>
        </w:rPr>
        <w:t>I</w:t>
      </w:r>
      <w:r w:rsidR="000C2307" w:rsidRPr="00C44545">
        <w:rPr>
          <w:rStyle w:val="Descriptorheader"/>
        </w:rPr>
        <w:t>ndication</w:t>
      </w:r>
    </w:p>
    <w:p w14:paraId="6CA04CDB" w14:textId="06D27359" w:rsidR="000C2307" w:rsidRDefault="000C2307">
      <w:pPr>
        <w:autoSpaceDE w:val="0"/>
        <w:autoSpaceDN w:val="0"/>
        <w:adjustRightInd w:val="0"/>
        <w:rPr>
          <w:rFonts w:eastAsiaTheme="minorHAnsi" w:cs="Arial"/>
          <w:szCs w:val="20"/>
        </w:rPr>
      </w:pPr>
      <w:r w:rsidRPr="00261000">
        <w:rPr>
          <w:rFonts w:eastAsiaTheme="minorHAnsi" w:cs="Arial"/>
          <w:szCs w:val="20"/>
        </w:rPr>
        <w:t xml:space="preserve">This item applies to examinations of the </w:t>
      </w:r>
      <w:r w:rsidR="006340C0">
        <w:rPr>
          <w:rFonts w:eastAsiaTheme="minorHAnsi" w:cs="Arial"/>
          <w:szCs w:val="20"/>
        </w:rPr>
        <w:t xml:space="preserve">pulmonary arteries.  Where the </w:t>
      </w:r>
      <w:r>
        <w:rPr>
          <w:rFonts w:eastAsiaTheme="minorHAnsi" w:cs="Arial"/>
          <w:szCs w:val="20"/>
        </w:rPr>
        <w:t>service has been requ</w:t>
      </w:r>
      <w:r w:rsidR="006340C0">
        <w:rPr>
          <w:rFonts w:eastAsiaTheme="minorHAnsi" w:cs="Arial"/>
          <w:szCs w:val="20"/>
        </w:rPr>
        <w:t xml:space="preserve">ested by a general practitioner for other than the </w:t>
      </w:r>
      <w:r w:rsidR="00732171">
        <w:rPr>
          <w:rFonts w:eastAsiaTheme="minorHAnsi" w:cs="Arial"/>
          <w:szCs w:val="20"/>
        </w:rPr>
        <w:t>exclusion</w:t>
      </w:r>
      <w:r w:rsidR="006340C0">
        <w:rPr>
          <w:rFonts w:eastAsiaTheme="minorHAnsi" w:cs="Arial"/>
          <w:szCs w:val="20"/>
        </w:rPr>
        <w:t xml:space="preserve"> of pulmonary embolism, </w:t>
      </w:r>
      <w:r>
        <w:rPr>
          <w:rFonts w:eastAsiaTheme="minorHAnsi" w:cs="Arial"/>
          <w:szCs w:val="20"/>
        </w:rPr>
        <w:t>the item should not be itemised by providers on bulk billing forms or accounts/receipts to be used for Medicare claiming purposes unless the request indicates that the</w:t>
      </w:r>
      <w:r w:rsidR="00AC77A0">
        <w:rPr>
          <w:rFonts w:eastAsiaTheme="minorHAnsi" w:cs="Arial"/>
          <w:szCs w:val="20"/>
        </w:rPr>
        <w:t xml:space="preserve"> general practitioner </w:t>
      </w:r>
      <w:r w:rsidR="00C360F8">
        <w:rPr>
          <w:rFonts w:eastAsiaTheme="minorHAnsi" w:cs="Arial"/>
          <w:szCs w:val="20"/>
        </w:rPr>
        <w:t xml:space="preserve">has discussed the patient’s case with a specialist or consultant physician. </w:t>
      </w:r>
      <w:r w:rsidR="00AC77A0">
        <w:rPr>
          <w:rFonts w:eastAsiaTheme="minorHAnsi" w:cs="Arial"/>
          <w:szCs w:val="20"/>
        </w:rPr>
        <w:t xml:space="preserve"> </w:t>
      </w:r>
    </w:p>
    <w:p w14:paraId="4EB15BA0" w14:textId="3A393162" w:rsidR="00871376" w:rsidRPr="00E63887" w:rsidRDefault="00AC77A0">
      <w:pPr>
        <w:rPr>
          <w:b/>
          <w:sz w:val="24"/>
          <w:szCs w:val="24"/>
        </w:rPr>
      </w:pPr>
      <w:r w:rsidRPr="00E63887">
        <w:rPr>
          <w:b/>
          <w:sz w:val="24"/>
          <w:szCs w:val="24"/>
        </w:rPr>
        <w:t>Correction to vascular ultrasound restrictions</w:t>
      </w:r>
    </w:p>
    <w:p w14:paraId="3F284642" w14:textId="4DF180E8" w:rsidR="00AC77A0" w:rsidRDefault="000D0B66">
      <w:r>
        <w:t xml:space="preserve">One of the </w:t>
      </w:r>
      <w:r w:rsidR="00E63887">
        <w:t>MBS Review Taskforce recommendations implemented on 1 May 2020</w:t>
      </w:r>
      <w:r>
        <w:t xml:space="preserve"> was that </w:t>
      </w:r>
      <w:r w:rsidR="00F8483E" w:rsidRPr="00F8483E">
        <w:t xml:space="preserve">the item descriptors for general ultrasound (not including interventional items), obstetric and gynaecological and musculoskeletal ultrasound </w:t>
      </w:r>
      <w:r w:rsidR="00AC2D1D">
        <w:t xml:space="preserve">were amended </w:t>
      </w:r>
      <w:r w:rsidR="00F8483E" w:rsidRPr="00F8483E">
        <w:t>to remove co-claiming restrictions with cardiac or vascular ultrasound (with the exception of lower leg ultrasound).</w:t>
      </w:r>
    </w:p>
    <w:p w14:paraId="0E5E7BA6" w14:textId="44EB3233" w:rsidR="00F8483E" w:rsidRDefault="00AC2D1D">
      <w:r>
        <w:t>The</w:t>
      </w:r>
      <w:r w:rsidR="00F8483E">
        <w:t xml:space="preserve"> restriction with lower leg </w:t>
      </w:r>
      <w:proofErr w:type="spellStart"/>
      <w:r w:rsidR="00F8483E">
        <w:t>musculo</w:t>
      </w:r>
      <w:proofErr w:type="spellEnd"/>
      <w:r w:rsidR="00F8483E">
        <w:t xml:space="preserve">-skeletal items was incorrectly added to all vascular ultrasound items, not just those items covering the lower limb.  </w:t>
      </w:r>
    </w:p>
    <w:p w14:paraId="1D329BD9" w14:textId="0DF1BA47" w:rsidR="00F8483E" w:rsidRDefault="00F8483E">
      <w:r>
        <w:t xml:space="preserve">This error is being correct from 1 November 2020 by removing references to the following musculoskeletal ultrasound items </w:t>
      </w:r>
      <w:r w:rsidRPr="00F8483E">
        <w:t xml:space="preserve">55880, 55881, 55882, 55883, 55884, 55885, 55886, 55887, 55888, 55889, 55890, 55891, 55892, 55893, 55894 </w:t>
      </w:r>
      <w:r>
        <w:t xml:space="preserve">and </w:t>
      </w:r>
      <w:r w:rsidRPr="00F8483E">
        <w:t>55895</w:t>
      </w:r>
      <w:r>
        <w:t xml:space="preserve"> from vascular ultrasound items 55248 to 55280, 55282, 55284 and 55292.</w:t>
      </w:r>
    </w:p>
    <w:p w14:paraId="0514F926" w14:textId="77777777" w:rsidR="00135417" w:rsidRDefault="00135417" w:rsidP="00AB53A4">
      <w:pPr>
        <w:pStyle w:val="Heading2"/>
      </w:pPr>
      <w:r>
        <w:t xml:space="preserve">Why </w:t>
      </w:r>
      <w:r w:rsidR="009F52D4">
        <w:t>are the changes being made</w:t>
      </w:r>
      <w:r>
        <w:t>?</w:t>
      </w:r>
    </w:p>
    <w:p w14:paraId="10A6C920" w14:textId="19BE008D" w:rsidR="001E6F63" w:rsidRDefault="001E6F63" w:rsidP="00433682">
      <w:bookmarkStart w:id="2" w:name="_Hlk535386664"/>
      <w:r>
        <w:t>The</w:t>
      </w:r>
      <w:r w:rsidR="00E72701">
        <w:t xml:space="preserve"> </w:t>
      </w:r>
      <w:r w:rsidR="004A74AE">
        <w:t xml:space="preserve">changes are being made to </w:t>
      </w:r>
      <w:r w:rsidR="00E72701">
        <w:t xml:space="preserve">inadvertent </w:t>
      </w:r>
      <w:r w:rsidR="00F33741">
        <w:t>implementation outcome</w:t>
      </w:r>
      <w:r w:rsidR="004A74AE">
        <w:t>s and errors</w:t>
      </w:r>
      <w:r w:rsidR="00F33741">
        <w:t xml:space="preserve"> from the recommendations of the </w:t>
      </w:r>
      <w:r>
        <w:t>MBS</w:t>
      </w:r>
      <w:r w:rsidR="004511F2">
        <w:t> </w:t>
      </w:r>
      <w:r>
        <w:t>Review</w:t>
      </w:r>
      <w:r w:rsidR="004511F2">
        <w:t> </w:t>
      </w:r>
      <w:r>
        <w:t>Taskforce</w:t>
      </w:r>
      <w:r w:rsidR="00F33741">
        <w:t xml:space="preserve">.  </w:t>
      </w:r>
      <w:r>
        <w:t xml:space="preserve">More information about the Taskforce and associated </w:t>
      </w:r>
      <w:r w:rsidR="00F33741">
        <w:t xml:space="preserve">Diagnostic Imaging Clinical </w:t>
      </w:r>
      <w:r>
        <w:t>Committees</w:t>
      </w:r>
      <w:r w:rsidR="00AC2D1D">
        <w:t>, including the final reports,</w:t>
      </w:r>
      <w:r>
        <w:t xml:space="preserve"> is available </w:t>
      </w:r>
      <w:r w:rsidR="00AC2D1D">
        <w:t xml:space="preserve">on the </w:t>
      </w:r>
      <w:hyperlink r:id="rId10" w:history="1">
        <w:r w:rsidR="00FE50B6" w:rsidRPr="00FE50B6">
          <w:rPr>
            <w:rStyle w:val="Hyperlink"/>
          </w:rPr>
          <w:t>Medicare Benefits Schedule Review</w:t>
        </w:r>
      </w:hyperlink>
      <w:r w:rsidR="00AC2D1D">
        <w:rPr>
          <w:rStyle w:val="Hyperlink"/>
        </w:rPr>
        <w:t xml:space="preserve"> Taskforce</w:t>
      </w:r>
      <w:r w:rsidR="00FE50B6">
        <w:t xml:space="preserve"> </w:t>
      </w:r>
      <w:r w:rsidR="00AC2D1D">
        <w:t xml:space="preserve">webpage </w:t>
      </w:r>
      <w:r w:rsidR="00FE50B6">
        <w:t xml:space="preserve">in the consumer section of the Department of Health website </w:t>
      </w:r>
      <w:r w:rsidR="00FE50B6" w:rsidRPr="00AA1AA8">
        <w:t>(</w:t>
      </w:r>
      <w:hyperlink r:id="rId11" w:history="1">
        <w:r w:rsidR="00FE50B6" w:rsidRPr="007E7EB0">
          <w:rPr>
            <w:rStyle w:val="Hyperlink"/>
          </w:rPr>
          <w:t>www.health.gov.au</w:t>
        </w:r>
      </w:hyperlink>
      <w:r w:rsidR="00FE50B6">
        <w:rPr>
          <w:rStyle w:val="Hyperlink"/>
        </w:rPr>
        <w:t>)</w:t>
      </w:r>
      <w:r>
        <w:t xml:space="preserve">. </w:t>
      </w:r>
    </w:p>
    <w:bookmarkEnd w:id="2"/>
    <w:p w14:paraId="36B85E72" w14:textId="77777777" w:rsidR="00425089" w:rsidRDefault="00425089" w:rsidP="00AB53A4">
      <w:pPr>
        <w:pStyle w:val="Heading2"/>
      </w:pPr>
      <w:r>
        <w:t xml:space="preserve">What does this mean for </w:t>
      </w:r>
      <w:r w:rsidR="00135417">
        <w:t>providers</w:t>
      </w:r>
      <w:r w:rsidR="006A667E">
        <w:t xml:space="preserve"> and requesters of diagnostic imaging services</w:t>
      </w:r>
      <w:r>
        <w:t>?</w:t>
      </w:r>
    </w:p>
    <w:p w14:paraId="2670F30C" w14:textId="77777777" w:rsidR="00F33741" w:rsidRDefault="00F33741" w:rsidP="00AC77A0">
      <w:r>
        <w:t>Provider b</w:t>
      </w:r>
      <w:r w:rsidRPr="00C06E51">
        <w:t xml:space="preserve">illing </w:t>
      </w:r>
      <w:r>
        <w:t xml:space="preserve">arrangements </w:t>
      </w:r>
      <w:r w:rsidRPr="00C06E51">
        <w:t xml:space="preserve">from 1 </w:t>
      </w:r>
      <w:r>
        <w:t xml:space="preserve">May 2020 </w:t>
      </w:r>
      <w:r w:rsidRPr="00C06E51">
        <w:t>will need to be adjusted to reflect these changes.</w:t>
      </w:r>
    </w:p>
    <w:p w14:paraId="5A0C0092" w14:textId="529FDCB8" w:rsidR="00836241" w:rsidRDefault="00F33741" w:rsidP="002B70AC">
      <w:r>
        <w:t xml:space="preserve">GPs will now be able to request CT angiography for the </w:t>
      </w:r>
      <w:r w:rsidR="00732171">
        <w:t>exclusion</w:t>
      </w:r>
      <w:r>
        <w:t xml:space="preserve"> of pulmonary embolism without needing to consult with a specialist first.</w:t>
      </w:r>
      <w:r w:rsidR="00836241">
        <w:t xml:space="preserve">  </w:t>
      </w:r>
    </w:p>
    <w:p w14:paraId="31971016" w14:textId="77777777" w:rsidR="00BF00A9" w:rsidRDefault="008766AD" w:rsidP="00AB53A4">
      <w:pPr>
        <w:pStyle w:val="Heading2"/>
      </w:pPr>
      <w:r>
        <w:t>How will</w:t>
      </w:r>
      <w:r w:rsidR="009F52D4">
        <w:t xml:space="preserve"> these changes affect patients</w:t>
      </w:r>
      <w:r w:rsidR="00BF00A9" w:rsidRPr="001A7FB7">
        <w:t>?</w:t>
      </w:r>
    </w:p>
    <w:p w14:paraId="0B50F5E9" w14:textId="04351F8B" w:rsidR="00BE027E" w:rsidRPr="00AA1AA8" w:rsidRDefault="00F33741" w:rsidP="00AA1AA8">
      <w:r>
        <w:t>The changes will not affect patients as they are accessing services under an existing item</w:t>
      </w:r>
      <w:r w:rsidR="00CF1764" w:rsidRPr="00AA1AA8">
        <w:t>.</w:t>
      </w:r>
      <w:r w:rsidR="001212AB" w:rsidRPr="00AA1AA8">
        <w:t xml:space="preserve"> </w:t>
      </w:r>
    </w:p>
    <w:p w14:paraId="3BF69DEC" w14:textId="77777777" w:rsidR="00595BBD" w:rsidRDefault="00595BBD" w:rsidP="00AB53A4">
      <w:pPr>
        <w:pStyle w:val="Heading2"/>
      </w:pPr>
      <w:r w:rsidRPr="001A7FB7">
        <w:t>Who was consulted on the changes?</w:t>
      </w:r>
    </w:p>
    <w:p w14:paraId="2FFAF89E" w14:textId="05A51705" w:rsidR="0071557D" w:rsidRDefault="0071557D" w:rsidP="00F74DFC">
      <w:r>
        <w:t>The descriptor for the new item was developed in consultation with the Royal Australian and New Zealand Colleg</w:t>
      </w:r>
      <w:r w:rsidR="00AC2D1D">
        <w:t>e</w:t>
      </w:r>
      <w:r>
        <w:t xml:space="preserve"> of Radiologists, the Australian Diagnostic Imaging Association, the Royal </w:t>
      </w:r>
      <w:r w:rsidR="00732171">
        <w:t>Australian</w:t>
      </w:r>
      <w:r>
        <w:t xml:space="preserve"> College of General Practi</w:t>
      </w:r>
      <w:r w:rsidR="00732171">
        <w:t>tio</w:t>
      </w:r>
      <w:r>
        <w:t>ners, the Australian College of Rural and Remote Medicine and the Australian Medical Association.</w:t>
      </w:r>
    </w:p>
    <w:p w14:paraId="60354A04" w14:textId="77777777" w:rsidR="00595BBD" w:rsidRDefault="00595BBD" w:rsidP="00AB53A4">
      <w:pPr>
        <w:pStyle w:val="Heading2"/>
      </w:pPr>
      <w:r w:rsidRPr="001A7FB7">
        <w:lastRenderedPageBreak/>
        <w:t>How will the changes be monitored</w:t>
      </w:r>
      <w:r w:rsidR="000367AA">
        <w:t xml:space="preserve"> and reviewed</w:t>
      </w:r>
      <w:r w:rsidRPr="001A7FB7">
        <w:t>?</w:t>
      </w:r>
    </w:p>
    <w:p w14:paraId="776555D0" w14:textId="77777777" w:rsidR="00C13ABA" w:rsidRDefault="00760067" w:rsidP="00155BD4">
      <w:r>
        <w:t>The changes will be monitored and reviewed through analysis of MBS utilisation figures.</w:t>
      </w:r>
    </w:p>
    <w:p w14:paraId="059A0F04" w14:textId="77777777" w:rsidR="00F93F71" w:rsidRDefault="00F93F71" w:rsidP="00AA1AA8">
      <w:pPr>
        <w:pStyle w:val="Heading2"/>
        <w:keepNext/>
      </w:pPr>
      <w:r>
        <w:t>Where can I find more information?</w:t>
      </w:r>
    </w:p>
    <w:p w14:paraId="023EC913"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2" w:history="1">
        <w:r w:rsidR="00420023" w:rsidRPr="00820A5A">
          <w:rPr>
            <w:rStyle w:val="Hyperlink"/>
          </w:rPr>
          <w:t>www.mbsonline.gov.au</w:t>
        </w:r>
      </w:hyperlink>
      <w:r w:rsidR="00AA69A9" w:rsidRPr="00AA1AA8">
        <w:t>.</w:t>
      </w:r>
      <w:r w:rsidRPr="001A7BED">
        <w:t xml:space="preserve"> </w:t>
      </w:r>
      <w:r w:rsidR="00EA3833">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3"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3DB48F5B" w14:textId="0F6B312B" w:rsidR="00ED1055" w:rsidRDefault="00ED1055">
      <w:r>
        <w:t xml:space="preserve">The Department of Health provides an email advice service for providers seeking advice on interpretation of the MBS items and rules and the Health Insurance Act and associated regulations. </w:t>
      </w:r>
      <w:r w:rsidR="00AC2D1D">
        <w:t xml:space="preserve"> </w:t>
      </w:r>
      <w:r>
        <w:t xml:space="preserve">If you have a query relating exclusively to interpretation of the Schedule, you should email </w:t>
      </w:r>
      <w:hyperlink r:id="rId14" w:history="1">
        <w:r w:rsidRPr="00AF4D21">
          <w:rPr>
            <w:rStyle w:val="Hyperlink"/>
          </w:rPr>
          <w:t>askMBS@health.gov.au</w:t>
        </w:r>
      </w:hyperlink>
      <w:r>
        <w:t>.</w:t>
      </w:r>
    </w:p>
    <w:p w14:paraId="52EC6B67" w14:textId="1869FE07" w:rsidR="00B378D4" w:rsidRDefault="00B378D4">
      <w:r>
        <w:t>Subscribe to ‘</w:t>
      </w:r>
      <w:hyperlink r:id="rId15" w:history="1">
        <w:r w:rsidRPr="00B378D4">
          <w:rPr>
            <w:rStyle w:val="Hyperlink"/>
          </w:rPr>
          <w:t>News for Health Professionals</w:t>
        </w:r>
      </w:hyperlink>
      <w:r>
        <w:t xml:space="preserve">’ on the Services </w:t>
      </w:r>
      <w:r w:rsidR="00F712FC">
        <w:t xml:space="preserve">Australia </w:t>
      </w:r>
      <w:r>
        <w:t>website and you will receive regular news highlights.</w:t>
      </w:r>
    </w:p>
    <w:p w14:paraId="52E13AFD" w14:textId="77777777" w:rsidR="00ED1055" w:rsidRDefault="00ED1055">
      <w:r>
        <w:t xml:space="preserve">If you are seeking advice in relation to Medicare billing, claiming, payments, or obtaining a provider number, please </w:t>
      </w:r>
      <w:bookmarkStart w:id="3" w:name="_Hlk7773414"/>
      <w:r w:rsidR="00B378D4">
        <w:t xml:space="preserve">go to the Health Professionals page on the </w:t>
      </w:r>
      <w:r w:rsidR="00F712FC">
        <w:t xml:space="preserve">Services Australia </w:t>
      </w:r>
      <w:r w:rsidR="00B378D4">
        <w:t xml:space="preserve">website or </w:t>
      </w:r>
      <w:bookmarkEnd w:id="3"/>
      <w:r>
        <w:t xml:space="preserve">contact </w:t>
      </w:r>
      <w:r w:rsidR="00F712FC">
        <w:t xml:space="preserve">Services Australia </w:t>
      </w:r>
      <w:r>
        <w:t xml:space="preserve">on the Provider Enquiry Line </w:t>
      </w:r>
      <w:r w:rsidR="00E7460D">
        <w:t>–</w:t>
      </w:r>
      <w:r>
        <w:t xml:space="preserve"> 13 21 50. </w:t>
      </w:r>
    </w:p>
    <w:p w14:paraId="25A0DD52" w14:textId="1FB89629" w:rsidR="008A6F4F" w:rsidRDefault="008A6F4F">
      <w:r w:rsidRPr="00E567F6">
        <w:t xml:space="preserve">The data file for software vendors </w:t>
      </w:r>
      <w:r w:rsidR="002427E0" w:rsidRPr="00E567F6">
        <w:t xml:space="preserve">can be accessed via the MBS Online website under the </w:t>
      </w:r>
      <w:hyperlink r:id="rId16" w:history="1">
        <w:r w:rsidR="002427E0" w:rsidRPr="00E567F6">
          <w:rPr>
            <w:rStyle w:val="Hyperlink"/>
          </w:rPr>
          <w:t>Downloads</w:t>
        </w:r>
      </w:hyperlink>
      <w:r w:rsidR="002427E0" w:rsidRPr="00E567F6">
        <w:t xml:space="preserve"> page.</w:t>
      </w:r>
    </w:p>
    <w:p w14:paraId="27574B5D" w14:textId="77777777" w:rsidR="00656F11" w:rsidRDefault="00656F11" w:rsidP="005E1472"/>
    <w:p w14:paraId="5AF2E794" w14:textId="796B9746" w:rsidR="00656F11" w:rsidRDefault="00656F11" w:rsidP="00656F11">
      <w:pPr>
        <w:pStyle w:val="Disclaimer"/>
      </w:pPr>
      <w:r w:rsidRPr="0029176A">
        <w:t xml:space="preserve">Please note that the information provided is a general guide only. </w:t>
      </w:r>
      <w:r w:rsidR="00AC2D1D">
        <w:t xml:space="preserve"> </w:t>
      </w:r>
      <w:r w:rsidRPr="0029176A">
        <w:t xml:space="preserve">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33AB0CD5" w14:textId="633E9519" w:rsidR="00656F11" w:rsidRPr="0029176A" w:rsidRDefault="00656F11" w:rsidP="00656F11">
      <w:pPr>
        <w:pStyle w:val="Disclaimer"/>
      </w:pPr>
      <w:r w:rsidRPr="0029176A">
        <w:t xml:space="preserve">This sheet is current as of the </w:t>
      </w:r>
      <w:r>
        <w:t>L</w:t>
      </w:r>
      <w:r w:rsidRPr="0029176A">
        <w:t>ast updated date</w:t>
      </w:r>
      <w:r>
        <w:t xml:space="preserve"> shown</w:t>
      </w:r>
      <w:r w:rsidRPr="0029176A">
        <w:t>, and does not account for MBS changes</w:t>
      </w:r>
      <w:r>
        <w:t xml:space="preserve"> since that date</w:t>
      </w:r>
      <w:r w:rsidRPr="0029176A">
        <w:t>.</w:t>
      </w:r>
    </w:p>
    <w:p w14:paraId="441808B7" w14:textId="77777777"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838D5" w14:textId="77777777" w:rsidR="005440F6" w:rsidRDefault="005440F6" w:rsidP="006D1088">
      <w:pPr>
        <w:spacing w:after="0" w:line="240" w:lineRule="auto"/>
      </w:pPr>
      <w:r>
        <w:separator/>
      </w:r>
    </w:p>
  </w:endnote>
  <w:endnote w:type="continuationSeparator" w:id="0">
    <w:p w14:paraId="0D716917" w14:textId="77777777" w:rsidR="005440F6" w:rsidRDefault="005440F6"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Cambria"/>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1DD6" w14:textId="77777777" w:rsidR="009B32BA" w:rsidRDefault="004E0510" w:rsidP="009B32BA">
    <w:pPr>
      <w:pStyle w:val="Footer"/>
    </w:pPr>
    <w:r>
      <w:rPr>
        <w:rStyle w:val="BookTitle"/>
        <w:noProof/>
      </w:rPr>
      <w:pict w14:anchorId="3706E86E">
        <v:rect id="_x0000_i1025" style="width:523.3pt;height:1.9pt" o:hralign="center" o:hrstd="t" o:hr="t" fillcolor="#a0a0a0" stroked="f"/>
      </w:pict>
    </w:r>
    <w:r w:rsidR="009B32BA">
      <w:t>Medicare Benefits Schedule</w:t>
    </w:r>
  </w:p>
  <w:p w14:paraId="7E296332" w14:textId="0CFEF800" w:rsidR="009B32BA" w:rsidRDefault="00EB1FCC" w:rsidP="009B32BA">
    <w:pPr>
      <w:pStyle w:val="Footer"/>
      <w:tabs>
        <w:tab w:val="clear" w:pos="9026"/>
        <w:tab w:val="right" w:pos="10466"/>
      </w:tabs>
    </w:pPr>
    <w:r>
      <w:rPr>
        <w:b/>
      </w:rPr>
      <w:t>Minor Amendments</w:t>
    </w:r>
    <w:r w:rsidR="009B32BA" w:rsidRPr="00E863C4">
      <w:rPr>
        <w:b/>
      </w:rPr>
      <w:t xml:space="preserve"> </w:t>
    </w:r>
    <w:r>
      <w:rPr>
        <w:b/>
      </w:rPr>
      <w:t xml:space="preserve">to Diagnostic Imaging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4E0510">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4E0510">
                  <w:rPr>
                    <w:bCs/>
                    <w:noProof/>
                  </w:rPr>
                  <w:t>3</w:t>
                </w:r>
                <w:r w:rsidR="009B32BA" w:rsidRPr="00F546CA">
                  <w:rPr>
                    <w:bCs/>
                    <w:sz w:val="24"/>
                    <w:szCs w:val="24"/>
                  </w:rPr>
                  <w:fldChar w:fldCharType="end"/>
                </w:r>
              </w:sdtContent>
            </w:sdt>
          </w:sdtContent>
        </w:sdt>
        <w:r w:rsidR="009B32BA">
          <w:t xml:space="preserve"> </w:t>
        </w:r>
      </w:sdtContent>
    </w:sdt>
  </w:p>
  <w:p w14:paraId="14CF67CF" w14:textId="77777777" w:rsidR="009B32BA" w:rsidRDefault="004E0510">
    <w:pPr>
      <w:pStyle w:val="Footer"/>
      <w:rPr>
        <w:rStyle w:val="Hyperlink"/>
        <w:szCs w:val="18"/>
      </w:rPr>
    </w:pPr>
    <w:hyperlink r:id="rId1" w:history="1">
      <w:r w:rsidR="009B32BA" w:rsidRPr="00E863C4">
        <w:rPr>
          <w:rStyle w:val="Hyperlink"/>
          <w:szCs w:val="18"/>
        </w:rPr>
        <w:t>MBS Online</w:t>
      </w:r>
    </w:hyperlink>
  </w:p>
  <w:p w14:paraId="73CE2060" w14:textId="21C73C7D" w:rsidR="00570B62" w:rsidRPr="009B32BA" w:rsidRDefault="00570B62">
    <w:pPr>
      <w:pStyle w:val="Footer"/>
      <w:rPr>
        <w:szCs w:val="18"/>
      </w:rPr>
    </w:pPr>
    <w:r w:rsidRPr="00870B05">
      <w:t>Last updated</w:t>
    </w:r>
    <w:r>
      <w:t xml:space="preserve"> – </w:t>
    </w:r>
    <w:r w:rsidR="00732171">
      <w:t xml:space="preserve">14 </w:t>
    </w:r>
    <w:r w:rsidR="00EB1FCC">
      <w:t>October</w:t>
    </w:r>
    <w:r w:rsidR="009525E3">
      <w:t xml:space="preserve"> </w:t>
    </w:r>
    <w:r>
      <w:t>20</w:t>
    </w:r>
    <w:r w:rsidR="007F45EC">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7971A" w14:textId="77777777" w:rsidR="005440F6" w:rsidRDefault="005440F6" w:rsidP="006D1088">
      <w:pPr>
        <w:spacing w:after="0" w:line="240" w:lineRule="auto"/>
      </w:pPr>
      <w:r>
        <w:separator/>
      </w:r>
    </w:p>
  </w:footnote>
  <w:footnote w:type="continuationSeparator" w:id="0">
    <w:p w14:paraId="28A436FC" w14:textId="77777777" w:rsidR="005440F6" w:rsidRDefault="005440F6"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5323F" w14:textId="77777777" w:rsidR="006D1088" w:rsidRDefault="006D1088">
    <w:pPr>
      <w:pStyle w:val="Header"/>
    </w:pPr>
    <w:r w:rsidRPr="006D1088">
      <w:rPr>
        <w:noProof/>
        <w:lang w:eastAsia="en-AU"/>
      </w:rPr>
      <w:drawing>
        <wp:anchor distT="0" distB="0" distL="114300" distR="114300" simplePos="0" relativeHeight="251658240" behindDoc="1" locked="0" layoutInCell="1" allowOverlap="1" wp14:anchorId="17920CCD" wp14:editId="5901D9A1">
          <wp:simplePos x="0" y="0"/>
          <wp:positionH relativeFrom="page">
            <wp:align>left</wp:align>
          </wp:positionH>
          <wp:positionV relativeFrom="paragraph">
            <wp:posOffset>-449580</wp:posOffset>
          </wp:positionV>
          <wp:extent cx="7643250" cy="1611213"/>
          <wp:effectExtent l="0" t="0" r="0" b="8255"/>
          <wp:wrapNone/>
          <wp:docPr id="5" name="Picture 5" descr="This picture shows the Australian coat of arms and ahs the words 'Australian Government Department of Health' "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E5D31"/>
    <w:multiLevelType w:val="hybridMultilevel"/>
    <w:tmpl w:val="FA1CA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5F11EA"/>
    <w:multiLevelType w:val="hybridMultilevel"/>
    <w:tmpl w:val="FAECDFFE"/>
    <w:lvl w:ilvl="0" w:tplc="AE36E800">
      <w:start w:val="1"/>
      <w:numFmt w:val="bullet"/>
      <w:lvlText w:val="•"/>
      <w:lvlJc w:val="left"/>
      <w:pPr>
        <w:tabs>
          <w:tab w:val="num" w:pos="720"/>
        </w:tabs>
        <w:ind w:left="720" w:hanging="360"/>
      </w:pPr>
      <w:rPr>
        <w:rFonts w:ascii="Arial" w:hAnsi="Arial" w:hint="default"/>
      </w:rPr>
    </w:lvl>
    <w:lvl w:ilvl="1" w:tplc="EC3C5084">
      <w:start w:val="1"/>
      <w:numFmt w:val="bullet"/>
      <w:lvlText w:val="•"/>
      <w:lvlJc w:val="left"/>
      <w:pPr>
        <w:tabs>
          <w:tab w:val="num" w:pos="1440"/>
        </w:tabs>
        <w:ind w:left="1440" w:hanging="360"/>
      </w:pPr>
      <w:rPr>
        <w:rFonts w:ascii="Arial" w:hAnsi="Arial" w:hint="default"/>
      </w:rPr>
    </w:lvl>
    <w:lvl w:ilvl="2" w:tplc="4472264C" w:tentative="1">
      <w:start w:val="1"/>
      <w:numFmt w:val="bullet"/>
      <w:lvlText w:val="•"/>
      <w:lvlJc w:val="left"/>
      <w:pPr>
        <w:tabs>
          <w:tab w:val="num" w:pos="2160"/>
        </w:tabs>
        <w:ind w:left="2160" w:hanging="360"/>
      </w:pPr>
      <w:rPr>
        <w:rFonts w:ascii="Arial" w:hAnsi="Arial" w:hint="default"/>
      </w:rPr>
    </w:lvl>
    <w:lvl w:ilvl="3" w:tplc="83689E42" w:tentative="1">
      <w:start w:val="1"/>
      <w:numFmt w:val="bullet"/>
      <w:lvlText w:val="•"/>
      <w:lvlJc w:val="left"/>
      <w:pPr>
        <w:tabs>
          <w:tab w:val="num" w:pos="2880"/>
        </w:tabs>
        <w:ind w:left="2880" w:hanging="360"/>
      </w:pPr>
      <w:rPr>
        <w:rFonts w:ascii="Arial" w:hAnsi="Arial" w:hint="default"/>
      </w:rPr>
    </w:lvl>
    <w:lvl w:ilvl="4" w:tplc="E976DABA" w:tentative="1">
      <w:start w:val="1"/>
      <w:numFmt w:val="bullet"/>
      <w:lvlText w:val="•"/>
      <w:lvlJc w:val="left"/>
      <w:pPr>
        <w:tabs>
          <w:tab w:val="num" w:pos="3600"/>
        </w:tabs>
        <w:ind w:left="3600" w:hanging="360"/>
      </w:pPr>
      <w:rPr>
        <w:rFonts w:ascii="Arial" w:hAnsi="Arial" w:hint="default"/>
      </w:rPr>
    </w:lvl>
    <w:lvl w:ilvl="5" w:tplc="AEE03B18" w:tentative="1">
      <w:start w:val="1"/>
      <w:numFmt w:val="bullet"/>
      <w:lvlText w:val="•"/>
      <w:lvlJc w:val="left"/>
      <w:pPr>
        <w:tabs>
          <w:tab w:val="num" w:pos="4320"/>
        </w:tabs>
        <w:ind w:left="4320" w:hanging="360"/>
      </w:pPr>
      <w:rPr>
        <w:rFonts w:ascii="Arial" w:hAnsi="Arial" w:hint="default"/>
      </w:rPr>
    </w:lvl>
    <w:lvl w:ilvl="6" w:tplc="7D686EFC" w:tentative="1">
      <w:start w:val="1"/>
      <w:numFmt w:val="bullet"/>
      <w:lvlText w:val="•"/>
      <w:lvlJc w:val="left"/>
      <w:pPr>
        <w:tabs>
          <w:tab w:val="num" w:pos="5040"/>
        </w:tabs>
        <w:ind w:left="5040" w:hanging="360"/>
      </w:pPr>
      <w:rPr>
        <w:rFonts w:ascii="Arial" w:hAnsi="Arial" w:hint="default"/>
      </w:rPr>
    </w:lvl>
    <w:lvl w:ilvl="7" w:tplc="1A384076" w:tentative="1">
      <w:start w:val="1"/>
      <w:numFmt w:val="bullet"/>
      <w:lvlText w:val="•"/>
      <w:lvlJc w:val="left"/>
      <w:pPr>
        <w:tabs>
          <w:tab w:val="num" w:pos="5760"/>
        </w:tabs>
        <w:ind w:left="5760" w:hanging="360"/>
      </w:pPr>
      <w:rPr>
        <w:rFonts w:ascii="Arial" w:hAnsi="Arial" w:hint="default"/>
      </w:rPr>
    </w:lvl>
    <w:lvl w:ilvl="8" w:tplc="414C4DA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3B017CB"/>
    <w:multiLevelType w:val="hybridMultilevel"/>
    <w:tmpl w:val="F2CC364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71D3B9E"/>
    <w:multiLevelType w:val="hybridMultilevel"/>
    <w:tmpl w:val="0CDC941A"/>
    <w:lvl w:ilvl="0" w:tplc="2B0A696E">
      <w:start w:val="1"/>
      <w:numFmt w:val="bullet"/>
      <w:lvlText w:val="o"/>
      <w:lvlJc w:val="left"/>
      <w:pPr>
        <w:ind w:left="720" w:hanging="360"/>
      </w:pPr>
      <w:rPr>
        <w:rFonts w:ascii="Courier New" w:hAnsi="Courier New" w:cs="Courier New" w:hint="default"/>
      </w:rPr>
    </w:lvl>
    <w:lvl w:ilvl="1" w:tplc="329A921E">
      <w:start w:val="1"/>
      <w:numFmt w:val="bullet"/>
      <w:lvlText w:val="o"/>
      <w:lvlJc w:val="left"/>
      <w:pPr>
        <w:ind w:left="1440" w:hanging="360"/>
      </w:pPr>
      <w:rPr>
        <w:rFonts w:ascii="Courier New" w:hAnsi="Courier New" w:cs="Courier New" w:hint="default"/>
      </w:rPr>
    </w:lvl>
    <w:lvl w:ilvl="2" w:tplc="116A5156" w:tentative="1">
      <w:start w:val="1"/>
      <w:numFmt w:val="bullet"/>
      <w:lvlText w:val=""/>
      <w:lvlJc w:val="left"/>
      <w:pPr>
        <w:ind w:left="2160" w:hanging="360"/>
      </w:pPr>
      <w:rPr>
        <w:rFonts w:ascii="Wingdings" w:hAnsi="Wingdings" w:hint="default"/>
      </w:rPr>
    </w:lvl>
    <w:lvl w:ilvl="3" w:tplc="E25A3260" w:tentative="1">
      <w:start w:val="1"/>
      <w:numFmt w:val="bullet"/>
      <w:lvlText w:val=""/>
      <w:lvlJc w:val="left"/>
      <w:pPr>
        <w:ind w:left="2880" w:hanging="360"/>
      </w:pPr>
      <w:rPr>
        <w:rFonts w:ascii="Symbol" w:hAnsi="Symbol" w:hint="default"/>
      </w:rPr>
    </w:lvl>
    <w:lvl w:ilvl="4" w:tplc="E21C0A30" w:tentative="1">
      <w:start w:val="1"/>
      <w:numFmt w:val="bullet"/>
      <w:lvlText w:val="o"/>
      <w:lvlJc w:val="left"/>
      <w:pPr>
        <w:ind w:left="3600" w:hanging="360"/>
      </w:pPr>
      <w:rPr>
        <w:rFonts w:ascii="Courier New" w:hAnsi="Courier New" w:cs="Courier New" w:hint="default"/>
      </w:rPr>
    </w:lvl>
    <w:lvl w:ilvl="5" w:tplc="19F64D20" w:tentative="1">
      <w:start w:val="1"/>
      <w:numFmt w:val="bullet"/>
      <w:lvlText w:val=""/>
      <w:lvlJc w:val="left"/>
      <w:pPr>
        <w:ind w:left="4320" w:hanging="360"/>
      </w:pPr>
      <w:rPr>
        <w:rFonts w:ascii="Wingdings" w:hAnsi="Wingdings" w:hint="default"/>
      </w:rPr>
    </w:lvl>
    <w:lvl w:ilvl="6" w:tplc="5A504290" w:tentative="1">
      <w:start w:val="1"/>
      <w:numFmt w:val="bullet"/>
      <w:lvlText w:val=""/>
      <w:lvlJc w:val="left"/>
      <w:pPr>
        <w:ind w:left="5040" w:hanging="360"/>
      </w:pPr>
      <w:rPr>
        <w:rFonts w:ascii="Symbol" w:hAnsi="Symbol" w:hint="default"/>
      </w:rPr>
    </w:lvl>
    <w:lvl w:ilvl="7" w:tplc="212AD4D6" w:tentative="1">
      <w:start w:val="1"/>
      <w:numFmt w:val="bullet"/>
      <w:lvlText w:val="o"/>
      <w:lvlJc w:val="left"/>
      <w:pPr>
        <w:ind w:left="5760" w:hanging="360"/>
      </w:pPr>
      <w:rPr>
        <w:rFonts w:ascii="Courier New" w:hAnsi="Courier New" w:cs="Courier New" w:hint="default"/>
      </w:rPr>
    </w:lvl>
    <w:lvl w:ilvl="8" w:tplc="CA802DE6" w:tentative="1">
      <w:start w:val="1"/>
      <w:numFmt w:val="bullet"/>
      <w:lvlText w:val=""/>
      <w:lvlJc w:val="left"/>
      <w:pPr>
        <w:ind w:left="6480" w:hanging="360"/>
      </w:pPr>
      <w:rPr>
        <w:rFonts w:ascii="Wingdings" w:hAnsi="Wingdings" w:hint="default"/>
      </w:rPr>
    </w:lvl>
  </w:abstractNum>
  <w:abstractNum w:abstractNumId="15" w15:restartNumberingAfterBreak="0">
    <w:nsid w:val="2ABF09FE"/>
    <w:multiLevelType w:val="multilevel"/>
    <w:tmpl w:val="4974789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7A07742"/>
    <w:multiLevelType w:val="hybridMultilevel"/>
    <w:tmpl w:val="CAC8D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3B2A4B"/>
    <w:multiLevelType w:val="hybridMultilevel"/>
    <w:tmpl w:val="4DCE63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4341BA9"/>
    <w:multiLevelType w:val="hybridMultilevel"/>
    <w:tmpl w:val="9C4A2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62771F"/>
    <w:multiLevelType w:val="hybridMultilevel"/>
    <w:tmpl w:val="63148AA6"/>
    <w:lvl w:ilvl="0" w:tplc="83387410">
      <w:start w:val="1"/>
      <w:numFmt w:val="bullet"/>
      <w:lvlText w:val="•"/>
      <w:lvlJc w:val="left"/>
      <w:pPr>
        <w:tabs>
          <w:tab w:val="num" w:pos="720"/>
        </w:tabs>
        <w:ind w:left="720" w:hanging="360"/>
      </w:pPr>
      <w:rPr>
        <w:rFonts w:ascii="Arial" w:hAnsi="Arial" w:hint="default"/>
      </w:rPr>
    </w:lvl>
    <w:lvl w:ilvl="1" w:tplc="01BE37D8">
      <w:start w:val="1"/>
      <w:numFmt w:val="bullet"/>
      <w:lvlText w:val="•"/>
      <w:lvlJc w:val="left"/>
      <w:pPr>
        <w:tabs>
          <w:tab w:val="num" w:pos="1440"/>
        </w:tabs>
        <w:ind w:left="1440" w:hanging="360"/>
      </w:pPr>
      <w:rPr>
        <w:rFonts w:ascii="Arial" w:hAnsi="Arial" w:hint="default"/>
      </w:rPr>
    </w:lvl>
    <w:lvl w:ilvl="2" w:tplc="DDA6A742" w:tentative="1">
      <w:start w:val="1"/>
      <w:numFmt w:val="bullet"/>
      <w:lvlText w:val="•"/>
      <w:lvlJc w:val="left"/>
      <w:pPr>
        <w:tabs>
          <w:tab w:val="num" w:pos="2160"/>
        </w:tabs>
        <w:ind w:left="2160" w:hanging="360"/>
      </w:pPr>
      <w:rPr>
        <w:rFonts w:ascii="Arial" w:hAnsi="Arial" w:hint="default"/>
      </w:rPr>
    </w:lvl>
    <w:lvl w:ilvl="3" w:tplc="03EEFA16" w:tentative="1">
      <w:start w:val="1"/>
      <w:numFmt w:val="bullet"/>
      <w:lvlText w:val="•"/>
      <w:lvlJc w:val="left"/>
      <w:pPr>
        <w:tabs>
          <w:tab w:val="num" w:pos="2880"/>
        </w:tabs>
        <w:ind w:left="2880" w:hanging="360"/>
      </w:pPr>
      <w:rPr>
        <w:rFonts w:ascii="Arial" w:hAnsi="Arial" w:hint="default"/>
      </w:rPr>
    </w:lvl>
    <w:lvl w:ilvl="4" w:tplc="C1508C56" w:tentative="1">
      <w:start w:val="1"/>
      <w:numFmt w:val="bullet"/>
      <w:lvlText w:val="•"/>
      <w:lvlJc w:val="left"/>
      <w:pPr>
        <w:tabs>
          <w:tab w:val="num" w:pos="3600"/>
        </w:tabs>
        <w:ind w:left="3600" w:hanging="360"/>
      </w:pPr>
      <w:rPr>
        <w:rFonts w:ascii="Arial" w:hAnsi="Arial" w:hint="default"/>
      </w:rPr>
    </w:lvl>
    <w:lvl w:ilvl="5" w:tplc="5038CD2A" w:tentative="1">
      <w:start w:val="1"/>
      <w:numFmt w:val="bullet"/>
      <w:lvlText w:val="•"/>
      <w:lvlJc w:val="left"/>
      <w:pPr>
        <w:tabs>
          <w:tab w:val="num" w:pos="4320"/>
        </w:tabs>
        <w:ind w:left="4320" w:hanging="360"/>
      </w:pPr>
      <w:rPr>
        <w:rFonts w:ascii="Arial" w:hAnsi="Arial" w:hint="default"/>
      </w:rPr>
    </w:lvl>
    <w:lvl w:ilvl="6" w:tplc="54D4A5D0" w:tentative="1">
      <w:start w:val="1"/>
      <w:numFmt w:val="bullet"/>
      <w:lvlText w:val="•"/>
      <w:lvlJc w:val="left"/>
      <w:pPr>
        <w:tabs>
          <w:tab w:val="num" w:pos="5040"/>
        </w:tabs>
        <w:ind w:left="5040" w:hanging="360"/>
      </w:pPr>
      <w:rPr>
        <w:rFonts w:ascii="Arial" w:hAnsi="Arial" w:hint="default"/>
      </w:rPr>
    </w:lvl>
    <w:lvl w:ilvl="7" w:tplc="CCC2B22A" w:tentative="1">
      <w:start w:val="1"/>
      <w:numFmt w:val="bullet"/>
      <w:lvlText w:val="•"/>
      <w:lvlJc w:val="left"/>
      <w:pPr>
        <w:tabs>
          <w:tab w:val="num" w:pos="5760"/>
        </w:tabs>
        <w:ind w:left="5760" w:hanging="360"/>
      </w:pPr>
      <w:rPr>
        <w:rFonts w:ascii="Arial" w:hAnsi="Arial" w:hint="default"/>
      </w:rPr>
    </w:lvl>
    <w:lvl w:ilvl="8" w:tplc="A8FE825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C1C7789"/>
    <w:multiLevelType w:val="hybridMultilevel"/>
    <w:tmpl w:val="057E3588"/>
    <w:lvl w:ilvl="0" w:tplc="EFE6E9CC">
      <w:start w:val="1"/>
      <w:numFmt w:val="bullet"/>
      <w:lvlText w:val="•"/>
      <w:lvlJc w:val="left"/>
      <w:pPr>
        <w:tabs>
          <w:tab w:val="num" w:pos="720"/>
        </w:tabs>
        <w:ind w:left="720" w:hanging="360"/>
      </w:pPr>
      <w:rPr>
        <w:rFonts w:ascii="Arial" w:hAnsi="Arial" w:hint="default"/>
      </w:rPr>
    </w:lvl>
    <w:lvl w:ilvl="1" w:tplc="C040FAB2">
      <w:start w:val="1"/>
      <w:numFmt w:val="bullet"/>
      <w:lvlText w:val="•"/>
      <w:lvlJc w:val="left"/>
      <w:pPr>
        <w:tabs>
          <w:tab w:val="num" w:pos="1440"/>
        </w:tabs>
        <w:ind w:left="1440" w:hanging="360"/>
      </w:pPr>
      <w:rPr>
        <w:rFonts w:ascii="Arial" w:hAnsi="Arial" w:hint="default"/>
      </w:rPr>
    </w:lvl>
    <w:lvl w:ilvl="2" w:tplc="2B9C5524" w:tentative="1">
      <w:start w:val="1"/>
      <w:numFmt w:val="bullet"/>
      <w:lvlText w:val="•"/>
      <w:lvlJc w:val="left"/>
      <w:pPr>
        <w:tabs>
          <w:tab w:val="num" w:pos="2160"/>
        </w:tabs>
        <w:ind w:left="2160" w:hanging="360"/>
      </w:pPr>
      <w:rPr>
        <w:rFonts w:ascii="Arial" w:hAnsi="Arial" w:hint="default"/>
      </w:rPr>
    </w:lvl>
    <w:lvl w:ilvl="3" w:tplc="D79E7FBC" w:tentative="1">
      <w:start w:val="1"/>
      <w:numFmt w:val="bullet"/>
      <w:lvlText w:val="•"/>
      <w:lvlJc w:val="left"/>
      <w:pPr>
        <w:tabs>
          <w:tab w:val="num" w:pos="2880"/>
        </w:tabs>
        <w:ind w:left="2880" w:hanging="360"/>
      </w:pPr>
      <w:rPr>
        <w:rFonts w:ascii="Arial" w:hAnsi="Arial" w:hint="default"/>
      </w:rPr>
    </w:lvl>
    <w:lvl w:ilvl="4" w:tplc="E7B2530C" w:tentative="1">
      <w:start w:val="1"/>
      <w:numFmt w:val="bullet"/>
      <w:lvlText w:val="•"/>
      <w:lvlJc w:val="left"/>
      <w:pPr>
        <w:tabs>
          <w:tab w:val="num" w:pos="3600"/>
        </w:tabs>
        <w:ind w:left="3600" w:hanging="360"/>
      </w:pPr>
      <w:rPr>
        <w:rFonts w:ascii="Arial" w:hAnsi="Arial" w:hint="default"/>
      </w:rPr>
    </w:lvl>
    <w:lvl w:ilvl="5" w:tplc="47804912" w:tentative="1">
      <w:start w:val="1"/>
      <w:numFmt w:val="bullet"/>
      <w:lvlText w:val="•"/>
      <w:lvlJc w:val="left"/>
      <w:pPr>
        <w:tabs>
          <w:tab w:val="num" w:pos="4320"/>
        </w:tabs>
        <w:ind w:left="4320" w:hanging="360"/>
      </w:pPr>
      <w:rPr>
        <w:rFonts w:ascii="Arial" w:hAnsi="Arial" w:hint="default"/>
      </w:rPr>
    </w:lvl>
    <w:lvl w:ilvl="6" w:tplc="9ABCC5D4" w:tentative="1">
      <w:start w:val="1"/>
      <w:numFmt w:val="bullet"/>
      <w:lvlText w:val="•"/>
      <w:lvlJc w:val="left"/>
      <w:pPr>
        <w:tabs>
          <w:tab w:val="num" w:pos="5040"/>
        </w:tabs>
        <w:ind w:left="5040" w:hanging="360"/>
      </w:pPr>
      <w:rPr>
        <w:rFonts w:ascii="Arial" w:hAnsi="Arial" w:hint="default"/>
      </w:rPr>
    </w:lvl>
    <w:lvl w:ilvl="7" w:tplc="F4EA7D32" w:tentative="1">
      <w:start w:val="1"/>
      <w:numFmt w:val="bullet"/>
      <w:lvlText w:val="•"/>
      <w:lvlJc w:val="left"/>
      <w:pPr>
        <w:tabs>
          <w:tab w:val="num" w:pos="5760"/>
        </w:tabs>
        <w:ind w:left="5760" w:hanging="360"/>
      </w:pPr>
      <w:rPr>
        <w:rFonts w:ascii="Arial" w:hAnsi="Arial" w:hint="default"/>
      </w:rPr>
    </w:lvl>
    <w:lvl w:ilvl="8" w:tplc="82F0B8F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19A2506"/>
    <w:multiLevelType w:val="hybridMultilevel"/>
    <w:tmpl w:val="3F74C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2635A5"/>
    <w:multiLevelType w:val="hybridMultilevel"/>
    <w:tmpl w:val="9968C772"/>
    <w:lvl w:ilvl="0" w:tplc="3878CB68">
      <w:start w:val="1"/>
      <w:numFmt w:val="bullet"/>
      <w:lvlText w:val=""/>
      <w:lvlJc w:val="left"/>
      <w:pPr>
        <w:ind w:left="360" w:hanging="360"/>
      </w:pPr>
      <w:rPr>
        <w:rFonts w:ascii="Symbol" w:hAnsi="Symbol" w:hint="default"/>
        <w:color w:val="auto"/>
      </w:rPr>
    </w:lvl>
    <w:lvl w:ilvl="1" w:tplc="CBF029E0">
      <w:start w:val="1"/>
      <w:numFmt w:val="bullet"/>
      <w:lvlText w:val="o"/>
      <w:lvlJc w:val="left"/>
      <w:pPr>
        <w:ind w:left="1440" w:hanging="360"/>
      </w:pPr>
      <w:rPr>
        <w:rFonts w:ascii="Courier New" w:hAnsi="Courier New" w:cs="Courier New" w:hint="default"/>
      </w:rPr>
    </w:lvl>
    <w:lvl w:ilvl="2" w:tplc="D2048C6A" w:tentative="1">
      <w:start w:val="1"/>
      <w:numFmt w:val="bullet"/>
      <w:lvlText w:val=""/>
      <w:lvlJc w:val="left"/>
      <w:pPr>
        <w:ind w:left="2160" w:hanging="360"/>
      </w:pPr>
      <w:rPr>
        <w:rFonts w:ascii="Wingdings" w:hAnsi="Wingdings" w:hint="default"/>
      </w:rPr>
    </w:lvl>
    <w:lvl w:ilvl="3" w:tplc="410E2A54" w:tentative="1">
      <w:start w:val="1"/>
      <w:numFmt w:val="bullet"/>
      <w:lvlText w:val=""/>
      <w:lvlJc w:val="left"/>
      <w:pPr>
        <w:ind w:left="2880" w:hanging="360"/>
      </w:pPr>
      <w:rPr>
        <w:rFonts w:ascii="Symbol" w:hAnsi="Symbol" w:hint="default"/>
      </w:rPr>
    </w:lvl>
    <w:lvl w:ilvl="4" w:tplc="331E6070" w:tentative="1">
      <w:start w:val="1"/>
      <w:numFmt w:val="bullet"/>
      <w:lvlText w:val="o"/>
      <w:lvlJc w:val="left"/>
      <w:pPr>
        <w:ind w:left="3600" w:hanging="360"/>
      </w:pPr>
      <w:rPr>
        <w:rFonts w:ascii="Courier New" w:hAnsi="Courier New" w:cs="Courier New" w:hint="default"/>
      </w:rPr>
    </w:lvl>
    <w:lvl w:ilvl="5" w:tplc="1D8CC626" w:tentative="1">
      <w:start w:val="1"/>
      <w:numFmt w:val="bullet"/>
      <w:lvlText w:val=""/>
      <w:lvlJc w:val="left"/>
      <w:pPr>
        <w:ind w:left="4320" w:hanging="360"/>
      </w:pPr>
      <w:rPr>
        <w:rFonts w:ascii="Wingdings" w:hAnsi="Wingdings" w:hint="default"/>
      </w:rPr>
    </w:lvl>
    <w:lvl w:ilvl="6" w:tplc="25F0EBC0" w:tentative="1">
      <w:start w:val="1"/>
      <w:numFmt w:val="bullet"/>
      <w:lvlText w:val=""/>
      <w:lvlJc w:val="left"/>
      <w:pPr>
        <w:ind w:left="5040" w:hanging="360"/>
      </w:pPr>
      <w:rPr>
        <w:rFonts w:ascii="Symbol" w:hAnsi="Symbol" w:hint="default"/>
      </w:rPr>
    </w:lvl>
    <w:lvl w:ilvl="7" w:tplc="B3041A86" w:tentative="1">
      <w:start w:val="1"/>
      <w:numFmt w:val="bullet"/>
      <w:lvlText w:val="o"/>
      <w:lvlJc w:val="left"/>
      <w:pPr>
        <w:ind w:left="5760" w:hanging="360"/>
      </w:pPr>
      <w:rPr>
        <w:rFonts w:ascii="Courier New" w:hAnsi="Courier New" w:cs="Courier New" w:hint="default"/>
      </w:rPr>
    </w:lvl>
    <w:lvl w:ilvl="8" w:tplc="D7CE70D0"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0"/>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1"/>
  </w:num>
  <w:num w:numId="23">
    <w:abstractNumId w:val="11"/>
  </w:num>
  <w:num w:numId="24">
    <w:abstractNumId w:val="20"/>
  </w:num>
  <w:num w:numId="25">
    <w:abstractNumId w:val="19"/>
  </w:num>
  <w:num w:numId="26">
    <w:abstractNumId w:val="23"/>
  </w:num>
  <w:num w:numId="27">
    <w:abstractNumId w:val="14"/>
  </w:num>
  <w:num w:numId="28">
    <w:abstractNumId w:val="12"/>
  </w:num>
  <w:num w:numId="29">
    <w:abstractNumId w:val="22"/>
  </w:num>
  <w:num w:numId="30">
    <w:abstractNumId w:val="17"/>
  </w:num>
  <w:num w:numId="31">
    <w:abstractNumId w:val="16"/>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839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F6"/>
    <w:rsid w:val="000074DD"/>
    <w:rsid w:val="00033CDF"/>
    <w:rsid w:val="000367AA"/>
    <w:rsid w:val="00041CD8"/>
    <w:rsid w:val="000448B9"/>
    <w:rsid w:val="00045810"/>
    <w:rsid w:val="00065B45"/>
    <w:rsid w:val="00081B97"/>
    <w:rsid w:val="00086B13"/>
    <w:rsid w:val="000A2F0A"/>
    <w:rsid w:val="000B01AE"/>
    <w:rsid w:val="000B2A1B"/>
    <w:rsid w:val="000C2143"/>
    <w:rsid w:val="000C2307"/>
    <w:rsid w:val="000C3B83"/>
    <w:rsid w:val="000D0B66"/>
    <w:rsid w:val="000D1778"/>
    <w:rsid w:val="000E0B35"/>
    <w:rsid w:val="001014EB"/>
    <w:rsid w:val="00102885"/>
    <w:rsid w:val="00117186"/>
    <w:rsid w:val="00121100"/>
    <w:rsid w:val="001212AB"/>
    <w:rsid w:val="00124E0B"/>
    <w:rsid w:val="00130343"/>
    <w:rsid w:val="00135417"/>
    <w:rsid w:val="0014066A"/>
    <w:rsid w:val="00141BC3"/>
    <w:rsid w:val="001432AF"/>
    <w:rsid w:val="00151636"/>
    <w:rsid w:val="00155BD4"/>
    <w:rsid w:val="00163C72"/>
    <w:rsid w:val="00166854"/>
    <w:rsid w:val="00167446"/>
    <w:rsid w:val="0017279A"/>
    <w:rsid w:val="00181B52"/>
    <w:rsid w:val="0018507E"/>
    <w:rsid w:val="0019170A"/>
    <w:rsid w:val="0019569F"/>
    <w:rsid w:val="001A6757"/>
    <w:rsid w:val="001A6FE6"/>
    <w:rsid w:val="001A7FB7"/>
    <w:rsid w:val="001C150B"/>
    <w:rsid w:val="001C5BC5"/>
    <w:rsid w:val="001C5C56"/>
    <w:rsid w:val="001E315C"/>
    <w:rsid w:val="001E6F63"/>
    <w:rsid w:val="001F49E8"/>
    <w:rsid w:val="00200902"/>
    <w:rsid w:val="00203F3E"/>
    <w:rsid w:val="00221334"/>
    <w:rsid w:val="002427E0"/>
    <w:rsid w:val="00243D1C"/>
    <w:rsid w:val="0026502E"/>
    <w:rsid w:val="00272867"/>
    <w:rsid w:val="00276A29"/>
    <w:rsid w:val="00281820"/>
    <w:rsid w:val="00291041"/>
    <w:rsid w:val="002924C5"/>
    <w:rsid w:val="0029680B"/>
    <w:rsid w:val="002A3C7C"/>
    <w:rsid w:val="002A5A70"/>
    <w:rsid w:val="002B3FCB"/>
    <w:rsid w:val="002B70AC"/>
    <w:rsid w:val="002B7D50"/>
    <w:rsid w:val="002D2CC5"/>
    <w:rsid w:val="002E6682"/>
    <w:rsid w:val="002F716F"/>
    <w:rsid w:val="003122B4"/>
    <w:rsid w:val="003123A2"/>
    <w:rsid w:val="00312EDB"/>
    <w:rsid w:val="00320F3D"/>
    <w:rsid w:val="00337919"/>
    <w:rsid w:val="00344600"/>
    <w:rsid w:val="00345DC5"/>
    <w:rsid w:val="00352174"/>
    <w:rsid w:val="00355E8A"/>
    <w:rsid w:val="00363819"/>
    <w:rsid w:val="00374AE3"/>
    <w:rsid w:val="003A52BA"/>
    <w:rsid w:val="003B56AD"/>
    <w:rsid w:val="003C38EA"/>
    <w:rsid w:val="003D5CEF"/>
    <w:rsid w:val="003E0945"/>
    <w:rsid w:val="003E6457"/>
    <w:rsid w:val="003F6682"/>
    <w:rsid w:val="00403D92"/>
    <w:rsid w:val="00405506"/>
    <w:rsid w:val="00407099"/>
    <w:rsid w:val="00414292"/>
    <w:rsid w:val="00420023"/>
    <w:rsid w:val="00425089"/>
    <w:rsid w:val="00427D7F"/>
    <w:rsid w:val="004324B6"/>
    <w:rsid w:val="00433682"/>
    <w:rsid w:val="0043744D"/>
    <w:rsid w:val="004435F9"/>
    <w:rsid w:val="0044452E"/>
    <w:rsid w:val="00445086"/>
    <w:rsid w:val="004511F2"/>
    <w:rsid w:val="004537FD"/>
    <w:rsid w:val="00453B67"/>
    <w:rsid w:val="004718B5"/>
    <w:rsid w:val="004933FA"/>
    <w:rsid w:val="00494B72"/>
    <w:rsid w:val="00496081"/>
    <w:rsid w:val="004A1348"/>
    <w:rsid w:val="004A51C1"/>
    <w:rsid w:val="004A74AE"/>
    <w:rsid w:val="004B243F"/>
    <w:rsid w:val="004B2E02"/>
    <w:rsid w:val="004C0CE8"/>
    <w:rsid w:val="004C2B08"/>
    <w:rsid w:val="004D2C7C"/>
    <w:rsid w:val="004D71C4"/>
    <w:rsid w:val="004E0510"/>
    <w:rsid w:val="004E52A2"/>
    <w:rsid w:val="004E5355"/>
    <w:rsid w:val="004F0AA6"/>
    <w:rsid w:val="00510063"/>
    <w:rsid w:val="005261D0"/>
    <w:rsid w:val="0054242B"/>
    <w:rsid w:val="00542F07"/>
    <w:rsid w:val="00543427"/>
    <w:rsid w:val="005440F6"/>
    <w:rsid w:val="005469AE"/>
    <w:rsid w:val="00550525"/>
    <w:rsid w:val="00553335"/>
    <w:rsid w:val="00570B62"/>
    <w:rsid w:val="00577CA7"/>
    <w:rsid w:val="00585A62"/>
    <w:rsid w:val="00595BBD"/>
    <w:rsid w:val="0059641E"/>
    <w:rsid w:val="005A0226"/>
    <w:rsid w:val="005A7744"/>
    <w:rsid w:val="005B1721"/>
    <w:rsid w:val="005C213D"/>
    <w:rsid w:val="005D1084"/>
    <w:rsid w:val="005E1472"/>
    <w:rsid w:val="00605E3C"/>
    <w:rsid w:val="006173AC"/>
    <w:rsid w:val="0062100F"/>
    <w:rsid w:val="006340C0"/>
    <w:rsid w:val="00634880"/>
    <w:rsid w:val="006425BA"/>
    <w:rsid w:val="00650B9A"/>
    <w:rsid w:val="00653345"/>
    <w:rsid w:val="00655D74"/>
    <w:rsid w:val="00656F11"/>
    <w:rsid w:val="006756CF"/>
    <w:rsid w:val="00684D37"/>
    <w:rsid w:val="00694030"/>
    <w:rsid w:val="006961D6"/>
    <w:rsid w:val="006A175B"/>
    <w:rsid w:val="006A667E"/>
    <w:rsid w:val="006C0E18"/>
    <w:rsid w:val="006D04CC"/>
    <w:rsid w:val="006D1088"/>
    <w:rsid w:val="006D2A35"/>
    <w:rsid w:val="006F5785"/>
    <w:rsid w:val="0071557D"/>
    <w:rsid w:val="00726103"/>
    <w:rsid w:val="00727F4C"/>
    <w:rsid w:val="00732171"/>
    <w:rsid w:val="00732CC1"/>
    <w:rsid w:val="00734F6B"/>
    <w:rsid w:val="00736D31"/>
    <w:rsid w:val="00760067"/>
    <w:rsid w:val="00775A6E"/>
    <w:rsid w:val="00781867"/>
    <w:rsid w:val="00783851"/>
    <w:rsid w:val="00790D06"/>
    <w:rsid w:val="007A330F"/>
    <w:rsid w:val="007A5F48"/>
    <w:rsid w:val="007D1D3A"/>
    <w:rsid w:val="007E0ABF"/>
    <w:rsid w:val="007E2604"/>
    <w:rsid w:val="007E33D2"/>
    <w:rsid w:val="007E7B80"/>
    <w:rsid w:val="007F45EC"/>
    <w:rsid w:val="00817BE6"/>
    <w:rsid w:val="00834903"/>
    <w:rsid w:val="00834A9B"/>
    <w:rsid w:val="008352AC"/>
    <w:rsid w:val="00836241"/>
    <w:rsid w:val="00852651"/>
    <w:rsid w:val="008553F7"/>
    <w:rsid w:val="00864E28"/>
    <w:rsid w:val="00871376"/>
    <w:rsid w:val="008748E5"/>
    <w:rsid w:val="008766AD"/>
    <w:rsid w:val="00880D24"/>
    <w:rsid w:val="00881219"/>
    <w:rsid w:val="008957B9"/>
    <w:rsid w:val="008A6F4F"/>
    <w:rsid w:val="008B6481"/>
    <w:rsid w:val="008D15B1"/>
    <w:rsid w:val="008E258C"/>
    <w:rsid w:val="008E4C9B"/>
    <w:rsid w:val="008E7B7C"/>
    <w:rsid w:val="008F1594"/>
    <w:rsid w:val="008F4B45"/>
    <w:rsid w:val="009000AA"/>
    <w:rsid w:val="00907B4A"/>
    <w:rsid w:val="0091706C"/>
    <w:rsid w:val="00942A31"/>
    <w:rsid w:val="009525E3"/>
    <w:rsid w:val="009542F2"/>
    <w:rsid w:val="009562F4"/>
    <w:rsid w:val="00977405"/>
    <w:rsid w:val="009858E2"/>
    <w:rsid w:val="009876DD"/>
    <w:rsid w:val="009A284E"/>
    <w:rsid w:val="009A6B12"/>
    <w:rsid w:val="009B14FA"/>
    <w:rsid w:val="009B32BA"/>
    <w:rsid w:val="009B51E7"/>
    <w:rsid w:val="009B5206"/>
    <w:rsid w:val="009B7859"/>
    <w:rsid w:val="009C742B"/>
    <w:rsid w:val="009D0082"/>
    <w:rsid w:val="009D0B98"/>
    <w:rsid w:val="009E4A9E"/>
    <w:rsid w:val="009E66EE"/>
    <w:rsid w:val="009E6DE2"/>
    <w:rsid w:val="009F52D4"/>
    <w:rsid w:val="009F670F"/>
    <w:rsid w:val="00A13E2D"/>
    <w:rsid w:val="00A2581E"/>
    <w:rsid w:val="00A26321"/>
    <w:rsid w:val="00A3287F"/>
    <w:rsid w:val="00A37CE3"/>
    <w:rsid w:val="00A43AC9"/>
    <w:rsid w:val="00A51FC5"/>
    <w:rsid w:val="00A5641C"/>
    <w:rsid w:val="00A60FB7"/>
    <w:rsid w:val="00A64177"/>
    <w:rsid w:val="00A7172E"/>
    <w:rsid w:val="00A91196"/>
    <w:rsid w:val="00AA08BD"/>
    <w:rsid w:val="00AA1AA8"/>
    <w:rsid w:val="00AA41CD"/>
    <w:rsid w:val="00AA5232"/>
    <w:rsid w:val="00AA69A9"/>
    <w:rsid w:val="00AB53A4"/>
    <w:rsid w:val="00AC2D1D"/>
    <w:rsid w:val="00AC77A0"/>
    <w:rsid w:val="00AD490F"/>
    <w:rsid w:val="00AE2F7E"/>
    <w:rsid w:val="00AE53A3"/>
    <w:rsid w:val="00AF3320"/>
    <w:rsid w:val="00B06E28"/>
    <w:rsid w:val="00B15CE8"/>
    <w:rsid w:val="00B2044B"/>
    <w:rsid w:val="00B23A4C"/>
    <w:rsid w:val="00B31CEC"/>
    <w:rsid w:val="00B31FBA"/>
    <w:rsid w:val="00B378D4"/>
    <w:rsid w:val="00B3793F"/>
    <w:rsid w:val="00B542FB"/>
    <w:rsid w:val="00B714E8"/>
    <w:rsid w:val="00B81AE6"/>
    <w:rsid w:val="00B83E3D"/>
    <w:rsid w:val="00B90CE9"/>
    <w:rsid w:val="00B90DB5"/>
    <w:rsid w:val="00B95951"/>
    <w:rsid w:val="00BA0109"/>
    <w:rsid w:val="00BA7CA8"/>
    <w:rsid w:val="00BB25DE"/>
    <w:rsid w:val="00BC50C1"/>
    <w:rsid w:val="00BC79E2"/>
    <w:rsid w:val="00BD1C20"/>
    <w:rsid w:val="00BD2649"/>
    <w:rsid w:val="00BE027E"/>
    <w:rsid w:val="00BE2018"/>
    <w:rsid w:val="00BE481E"/>
    <w:rsid w:val="00BE505F"/>
    <w:rsid w:val="00BF00A9"/>
    <w:rsid w:val="00BF1759"/>
    <w:rsid w:val="00BF426F"/>
    <w:rsid w:val="00C0126E"/>
    <w:rsid w:val="00C06E51"/>
    <w:rsid w:val="00C11326"/>
    <w:rsid w:val="00C131D7"/>
    <w:rsid w:val="00C13ABA"/>
    <w:rsid w:val="00C265D5"/>
    <w:rsid w:val="00C360F8"/>
    <w:rsid w:val="00C4491F"/>
    <w:rsid w:val="00C61A31"/>
    <w:rsid w:val="00C66700"/>
    <w:rsid w:val="00C9089F"/>
    <w:rsid w:val="00CA0B0F"/>
    <w:rsid w:val="00CA1BB9"/>
    <w:rsid w:val="00CA5F76"/>
    <w:rsid w:val="00CC151F"/>
    <w:rsid w:val="00CC39C8"/>
    <w:rsid w:val="00CE13A2"/>
    <w:rsid w:val="00CF1764"/>
    <w:rsid w:val="00CF45CC"/>
    <w:rsid w:val="00D11EDB"/>
    <w:rsid w:val="00D140C5"/>
    <w:rsid w:val="00D16EF3"/>
    <w:rsid w:val="00D262A1"/>
    <w:rsid w:val="00D3244E"/>
    <w:rsid w:val="00D36F35"/>
    <w:rsid w:val="00D37294"/>
    <w:rsid w:val="00D3741F"/>
    <w:rsid w:val="00D422E5"/>
    <w:rsid w:val="00D62923"/>
    <w:rsid w:val="00D6302E"/>
    <w:rsid w:val="00D67E9A"/>
    <w:rsid w:val="00D72ECF"/>
    <w:rsid w:val="00D76659"/>
    <w:rsid w:val="00DA50D6"/>
    <w:rsid w:val="00DB4F1E"/>
    <w:rsid w:val="00DB54A4"/>
    <w:rsid w:val="00DC05FC"/>
    <w:rsid w:val="00DC127A"/>
    <w:rsid w:val="00DC356C"/>
    <w:rsid w:val="00DD16DC"/>
    <w:rsid w:val="00DE22E2"/>
    <w:rsid w:val="00DF7606"/>
    <w:rsid w:val="00DF7C32"/>
    <w:rsid w:val="00E11C6E"/>
    <w:rsid w:val="00E43F82"/>
    <w:rsid w:val="00E567F6"/>
    <w:rsid w:val="00E63887"/>
    <w:rsid w:val="00E65970"/>
    <w:rsid w:val="00E72701"/>
    <w:rsid w:val="00E7403A"/>
    <w:rsid w:val="00E742EE"/>
    <w:rsid w:val="00E7460D"/>
    <w:rsid w:val="00E809DE"/>
    <w:rsid w:val="00EA0643"/>
    <w:rsid w:val="00EA2CDC"/>
    <w:rsid w:val="00EA3833"/>
    <w:rsid w:val="00EB1FCC"/>
    <w:rsid w:val="00EB69E1"/>
    <w:rsid w:val="00EC2DBE"/>
    <w:rsid w:val="00ED1055"/>
    <w:rsid w:val="00ED2B70"/>
    <w:rsid w:val="00ED60EE"/>
    <w:rsid w:val="00EF23D8"/>
    <w:rsid w:val="00F066BF"/>
    <w:rsid w:val="00F074CE"/>
    <w:rsid w:val="00F07E89"/>
    <w:rsid w:val="00F221C8"/>
    <w:rsid w:val="00F33741"/>
    <w:rsid w:val="00F33D07"/>
    <w:rsid w:val="00F35758"/>
    <w:rsid w:val="00F3604D"/>
    <w:rsid w:val="00F45A5F"/>
    <w:rsid w:val="00F50491"/>
    <w:rsid w:val="00F50787"/>
    <w:rsid w:val="00F50994"/>
    <w:rsid w:val="00F712FC"/>
    <w:rsid w:val="00F74AD4"/>
    <w:rsid w:val="00F74DFC"/>
    <w:rsid w:val="00F76D72"/>
    <w:rsid w:val="00F8483E"/>
    <w:rsid w:val="00F861D5"/>
    <w:rsid w:val="00F9090F"/>
    <w:rsid w:val="00F93F71"/>
    <w:rsid w:val="00FA251E"/>
    <w:rsid w:val="00FB4DEF"/>
    <w:rsid w:val="00FC690D"/>
    <w:rsid w:val="00FD1E77"/>
    <w:rsid w:val="00FE50B6"/>
    <w:rsid w:val="00FF3729"/>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14:docId w14:val="584D28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scriptorheader">
    <w:name w:val="Descriptor header"/>
    <w:basedOn w:val="BookTitle"/>
    <w:uiPriority w:val="1"/>
    <w:rsid w:val="000C2307"/>
    <w:rPr>
      <w:rFonts w:asciiTheme="minorHAnsi" w:hAnsiTheme="minorHAnsi"/>
      <w:b/>
      <w:bCs/>
      <w:i w:val="0"/>
      <w:iCs/>
      <w:noProof/>
      <w:spacing w:val="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546563">
      <w:bodyDiv w:val="1"/>
      <w:marLeft w:val="0"/>
      <w:marRight w:val="0"/>
      <w:marTop w:val="0"/>
      <w:marBottom w:val="0"/>
      <w:divBdr>
        <w:top w:val="none" w:sz="0" w:space="0" w:color="auto"/>
        <w:left w:val="none" w:sz="0" w:space="0" w:color="auto"/>
        <w:bottom w:val="none" w:sz="0" w:space="0" w:color="auto"/>
        <w:right w:val="none" w:sz="0" w:space="0" w:color="auto"/>
      </w:divBdr>
    </w:div>
    <w:div w:id="674302065">
      <w:bodyDiv w:val="1"/>
      <w:marLeft w:val="0"/>
      <w:marRight w:val="0"/>
      <w:marTop w:val="0"/>
      <w:marBottom w:val="0"/>
      <w:divBdr>
        <w:top w:val="none" w:sz="0" w:space="0" w:color="auto"/>
        <w:left w:val="none" w:sz="0" w:space="0" w:color="auto"/>
        <w:bottom w:val="none" w:sz="0" w:space="0" w:color="auto"/>
        <w:right w:val="none" w:sz="0" w:space="0" w:color="auto"/>
      </w:divBdr>
      <w:divsChild>
        <w:div w:id="1106075602">
          <w:marLeft w:val="1166"/>
          <w:marRight w:val="0"/>
          <w:marTop w:val="0"/>
          <w:marBottom w:val="0"/>
          <w:divBdr>
            <w:top w:val="none" w:sz="0" w:space="0" w:color="auto"/>
            <w:left w:val="none" w:sz="0" w:space="0" w:color="auto"/>
            <w:bottom w:val="none" w:sz="0" w:space="0" w:color="auto"/>
            <w:right w:val="none" w:sz="0" w:space="0" w:color="auto"/>
          </w:divBdr>
        </w:div>
        <w:div w:id="1032221648">
          <w:marLeft w:val="1166"/>
          <w:marRight w:val="0"/>
          <w:marTop w:val="0"/>
          <w:marBottom w:val="0"/>
          <w:divBdr>
            <w:top w:val="none" w:sz="0" w:space="0" w:color="auto"/>
            <w:left w:val="none" w:sz="0" w:space="0" w:color="auto"/>
            <w:bottom w:val="none" w:sz="0" w:space="0" w:color="auto"/>
            <w:right w:val="none" w:sz="0" w:space="0" w:color="auto"/>
          </w:divBdr>
        </w:div>
        <w:div w:id="262883651">
          <w:marLeft w:val="1166"/>
          <w:marRight w:val="0"/>
          <w:marTop w:val="0"/>
          <w:marBottom w:val="0"/>
          <w:divBdr>
            <w:top w:val="none" w:sz="0" w:space="0" w:color="auto"/>
            <w:left w:val="none" w:sz="0" w:space="0" w:color="auto"/>
            <w:bottom w:val="none" w:sz="0" w:space="0" w:color="auto"/>
            <w:right w:val="none" w:sz="0" w:space="0" w:color="auto"/>
          </w:divBdr>
        </w:div>
      </w:divsChild>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514958470">
      <w:bodyDiv w:val="1"/>
      <w:marLeft w:val="0"/>
      <w:marRight w:val="0"/>
      <w:marTop w:val="0"/>
      <w:marBottom w:val="0"/>
      <w:divBdr>
        <w:top w:val="none" w:sz="0" w:space="0" w:color="auto"/>
        <w:left w:val="none" w:sz="0" w:space="0" w:color="auto"/>
        <w:bottom w:val="none" w:sz="0" w:space="0" w:color="auto"/>
        <w:right w:val="none" w:sz="0" w:space="0" w:color="auto"/>
      </w:divBdr>
      <w:divsChild>
        <w:div w:id="44531321">
          <w:marLeft w:val="1166"/>
          <w:marRight w:val="0"/>
          <w:marTop w:val="0"/>
          <w:marBottom w:val="0"/>
          <w:divBdr>
            <w:top w:val="none" w:sz="0" w:space="0" w:color="auto"/>
            <w:left w:val="none" w:sz="0" w:space="0" w:color="auto"/>
            <w:bottom w:val="none" w:sz="0" w:space="0" w:color="auto"/>
            <w:right w:val="none" w:sz="0" w:space="0" w:color="auto"/>
          </w:divBdr>
        </w:div>
        <w:div w:id="610555059">
          <w:marLeft w:val="1166"/>
          <w:marRight w:val="0"/>
          <w:marTop w:val="0"/>
          <w:marBottom w:val="0"/>
          <w:divBdr>
            <w:top w:val="none" w:sz="0" w:space="0" w:color="auto"/>
            <w:left w:val="none" w:sz="0" w:space="0" w:color="auto"/>
            <w:bottom w:val="none" w:sz="0" w:space="0" w:color="auto"/>
            <w:right w:val="none" w:sz="0" w:space="0" w:color="auto"/>
          </w:divBdr>
        </w:div>
        <w:div w:id="1474642316">
          <w:marLeft w:val="1166"/>
          <w:marRight w:val="0"/>
          <w:marTop w:val="0"/>
          <w:marBottom w:val="0"/>
          <w:divBdr>
            <w:top w:val="none" w:sz="0" w:space="0" w:color="auto"/>
            <w:left w:val="none" w:sz="0" w:space="0" w:color="auto"/>
            <w:bottom w:val="none" w:sz="0" w:space="0" w:color="auto"/>
            <w:right w:val="none" w:sz="0" w:space="0" w:color="auto"/>
          </w:divBdr>
        </w:div>
        <w:div w:id="671417081">
          <w:marLeft w:val="1166"/>
          <w:marRight w:val="0"/>
          <w:marTop w:val="0"/>
          <w:marBottom w:val="0"/>
          <w:divBdr>
            <w:top w:val="none" w:sz="0" w:space="0" w:color="auto"/>
            <w:left w:val="none" w:sz="0" w:space="0" w:color="auto"/>
            <w:bottom w:val="none" w:sz="0" w:space="0" w:color="auto"/>
            <w:right w:val="none" w:sz="0" w:space="0" w:color="auto"/>
          </w:divBdr>
        </w:div>
        <w:div w:id="82993282">
          <w:marLeft w:val="1166"/>
          <w:marRight w:val="0"/>
          <w:marTop w:val="0"/>
          <w:marBottom w:val="0"/>
          <w:divBdr>
            <w:top w:val="none" w:sz="0" w:space="0" w:color="auto"/>
            <w:left w:val="none" w:sz="0" w:space="0" w:color="auto"/>
            <w:bottom w:val="none" w:sz="0" w:space="0" w:color="auto"/>
            <w:right w:val="none" w:sz="0" w:space="0" w:color="auto"/>
          </w:divBdr>
        </w:div>
        <w:div w:id="1003050435">
          <w:marLeft w:val="1166"/>
          <w:marRight w:val="0"/>
          <w:marTop w:val="0"/>
          <w:marBottom w:val="0"/>
          <w:divBdr>
            <w:top w:val="none" w:sz="0" w:space="0" w:color="auto"/>
            <w:left w:val="none" w:sz="0" w:space="0" w:color="auto"/>
            <w:bottom w:val="none" w:sz="0" w:space="0" w:color="auto"/>
            <w:right w:val="none" w:sz="0" w:space="0" w:color="auto"/>
          </w:divBdr>
        </w:div>
        <w:div w:id="1520849163">
          <w:marLeft w:val="1166"/>
          <w:marRight w:val="0"/>
          <w:marTop w:val="0"/>
          <w:marBottom w:val="0"/>
          <w:divBdr>
            <w:top w:val="none" w:sz="0" w:space="0" w:color="auto"/>
            <w:left w:val="none" w:sz="0" w:space="0" w:color="auto"/>
            <w:bottom w:val="none" w:sz="0" w:space="0" w:color="auto"/>
            <w:right w:val="none" w:sz="0" w:space="0" w:color="auto"/>
          </w:divBdr>
        </w:div>
        <w:div w:id="1688021341">
          <w:marLeft w:val="1166"/>
          <w:marRight w:val="0"/>
          <w:marTop w:val="0"/>
          <w:marBottom w:val="0"/>
          <w:divBdr>
            <w:top w:val="none" w:sz="0" w:space="0" w:color="auto"/>
            <w:left w:val="none" w:sz="0" w:space="0" w:color="auto"/>
            <w:bottom w:val="none" w:sz="0" w:space="0" w:color="auto"/>
            <w:right w:val="none" w:sz="0" w:space="0" w:color="auto"/>
          </w:divBdr>
        </w:div>
        <w:div w:id="263927576">
          <w:marLeft w:val="1166"/>
          <w:marRight w:val="0"/>
          <w:marTop w:val="0"/>
          <w:marBottom w:val="0"/>
          <w:divBdr>
            <w:top w:val="none" w:sz="0" w:space="0" w:color="auto"/>
            <w:left w:val="none" w:sz="0" w:space="0" w:color="auto"/>
            <w:bottom w:val="none" w:sz="0" w:space="0" w:color="auto"/>
            <w:right w:val="none" w:sz="0" w:space="0" w:color="auto"/>
          </w:divBdr>
        </w:div>
        <w:div w:id="480931029">
          <w:marLeft w:val="1166"/>
          <w:marRight w:val="0"/>
          <w:marTop w:val="0"/>
          <w:marBottom w:val="0"/>
          <w:divBdr>
            <w:top w:val="none" w:sz="0" w:space="0" w:color="auto"/>
            <w:left w:val="none" w:sz="0" w:space="0" w:color="auto"/>
            <w:bottom w:val="none" w:sz="0" w:space="0" w:color="auto"/>
            <w:right w:val="none" w:sz="0" w:space="0" w:color="auto"/>
          </w:divBdr>
        </w:div>
        <w:div w:id="311176202">
          <w:marLeft w:val="1166"/>
          <w:marRight w:val="0"/>
          <w:marTop w:val="0"/>
          <w:marBottom w:val="0"/>
          <w:divBdr>
            <w:top w:val="none" w:sz="0" w:space="0" w:color="auto"/>
            <w:left w:val="none" w:sz="0" w:space="0" w:color="auto"/>
            <w:bottom w:val="none" w:sz="0" w:space="0" w:color="auto"/>
            <w:right w:val="none" w:sz="0" w:space="0" w:color="auto"/>
          </w:divBdr>
        </w:div>
        <w:div w:id="1593977075">
          <w:marLeft w:val="1166"/>
          <w:marRight w:val="0"/>
          <w:marTop w:val="0"/>
          <w:marBottom w:val="0"/>
          <w:divBdr>
            <w:top w:val="none" w:sz="0" w:space="0" w:color="auto"/>
            <w:left w:val="none" w:sz="0" w:space="0" w:color="auto"/>
            <w:bottom w:val="none" w:sz="0" w:space="0" w:color="auto"/>
            <w:right w:val="none" w:sz="0" w:space="0" w:color="auto"/>
          </w:divBdr>
        </w:div>
        <w:div w:id="1889144555">
          <w:marLeft w:val="1166"/>
          <w:marRight w:val="0"/>
          <w:marTop w:val="0"/>
          <w:marBottom w:val="0"/>
          <w:divBdr>
            <w:top w:val="none" w:sz="0" w:space="0" w:color="auto"/>
            <w:left w:val="none" w:sz="0" w:space="0" w:color="auto"/>
            <w:bottom w:val="none" w:sz="0" w:space="0" w:color="auto"/>
            <w:right w:val="none" w:sz="0" w:space="0" w:color="auto"/>
          </w:divBdr>
        </w:div>
      </w:divsChild>
    </w:div>
    <w:div w:id="1750616355">
      <w:bodyDiv w:val="1"/>
      <w:marLeft w:val="0"/>
      <w:marRight w:val="0"/>
      <w:marTop w:val="0"/>
      <w:marBottom w:val="0"/>
      <w:divBdr>
        <w:top w:val="none" w:sz="0" w:space="0" w:color="auto"/>
        <w:left w:val="none" w:sz="0" w:space="0" w:color="auto"/>
        <w:bottom w:val="none" w:sz="0" w:space="0" w:color="auto"/>
        <w:right w:val="none" w:sz="0" w:space="0" w:color="auto"/>
      </w:divBdr>
      <w:divsChild>
        <w:div w:id="133764963">
          <w:marLeft w:val="1166"/>
          <w:marRight w:val="0"/>
          <w:marTop w:val="0"/>
          <w:marBottom w:val="0"/>
          <w:divBdr>
            <w:top w:val="none" w:sz="0" w:space="0" w:color="auto"/>
            <w:left w:val="none" w:sz="0" w:space="0" w:color="auto"/>
            <w:bottom w:val="none" w:sz="0" w:space="0" w:color="auto"/>
            <w:right w:val="none" w:sz="0" w:space="0" w:color="auto"/>
          </w:divBdr>
        </w:div>
        <w:div w:id="466902247">
          <w:marLeft w:val="1166"/>
          <w:marRight w:val="0"/>
          <w:marTop w:val="0"/>
          <w:marBottom w:val="0"/>
          <w:divBdr>
            <w:top w:val="none" w:sz="0" w:space="0" w:color="auto"/>
            <w:left w:val="none" w:sz="0" w:space="0" w:color="auto"/>
            <w:bottom w:val="none" w:sz="0" w:space="0" w:color="auto"/>
            <w:right w:val="none" w:sz="0" w:space="0" w:color="auto"/>
          </w:divBdr>
        </w:div>
        <w:div w:id="1539586445">
          <w:marLeft w:val="1166"/>
          <w:marRight w:val="0"/>
          <w:marTop w:val="0"/>
          <w:marBottom w:val="0"/>
          <w:divBdr>
            <w:top w:val="none" w:sz="0" w:space="0" w:color="auto"/>
            <w:left w:val="none" w:sz="0" w:space="0" w:color="auto"/>
            <w:bottom w:val="none" w:sz="0" w:space="0" w:color="auto"/>
            <w:right w:val="none" w:sz="0" w:space="0" w:color="auto"/>
          </w:divBdr>
        </w:div>
        <w:div w:id="2063140470">
          <w:marLeft w:val="1166"/>
          <w:marRight w:val="0"/>
          <w:marTop w:val="0"/>
          <w:marBottom w:val="0"/>
          <w:divBdr>
            <w:top w:val="none" w:sz="0" w:space="0" w:color="auto"/>
            <w:left w:val="none" w:sz="0" w:space="0" w:color="auto"/>
            <w:bottom w:val="none" w:sz="0" w:space="0" w:color="auto"/>
            <w:right w:val="none" w:sz="0" w:space="0" w:color="auto"/>
          </w:divBdr>
        </w:div>
        <w:div w:id="1284964456">
          <w:marLeft w:val="1166"/>
          <w:marRight w:val="0"/>
          <w:marTop w:val="0"/>
          <w:marBottom w:val="0"/>
          <w:divBdr>
            <w:top w:val="none" w:sz="0" w:space="0" w:color="auto"/>
            <w:left w:val="none" w:sz="0" w:space="0" w:color="auto"/>
            <w:bottom w:val="none" w:sz="0" w:space="0" w:color="auto"/>
            <w:right w:val="none" w:sz="0" w:space="0" w:color="auto"/>
          </w:divBdr>
        </w:div>
        <w:div w:id="1371761749">
          <w:marLeft w:val="1166"/>
          <w:marRight w:val="0"/>
          <w:marTop w:val="0"/>
          <w:marBottom w:val="0"/>
          <w:divBdr>
            <w:top w:val="none" w:sz="0" w:space="0" w:color="auto"/>
            <w:left w:val="none" w:sz="0" w:space="0" w:color="auto"/>
            <w:bottom w:val="none" w:sz="0" w:space="0" w:color="auto"/>
            <w:right w:val="none" w:sz="0" w:space="0" w:color="auto"/>
          </w:divBdr>
        </w:div>
        <w:div w:id="476842851">
          <w:marLeft w:val="1166"/>
          <w:marRight w:val="0"/>
          <w:marTop w:val="0"/>
          <w:marBottom w:val="0"/>
          <w:divBdr>
            <w:top w:val="none" w:sz="0" w:space="0" w:color="auto"/>
            <w:left w:val="none" w:sz="0" w:space="0" w:color="auto"/>
            <w:bottom w:val="none" w:sz="0" w:space="0" w:color="auto"/>
            <w:right w:val="none" w:sz="0" w:space="0" w:color="auto"/>
          </w:divBdr>
        </w:div>
        <w:div w:id="1651246336">
          <w:marLeft w:val="1166"/>
          <w:marRight w:val="0"/>
          <w:marTop w:val="0"/>
          <w:marBottom w:val="0"/>
          <w:divBdr>
            <w:top w:val="none" w:sz="0" w:space="0" w:color="auto"/>
            <w:left w:val="none" w:sz="0" w:space="0" w:color="auto"/>
            <w:bottom w:val="none" w:sz="0" w:space="0" w:color="auto"/>
            <w:right w:val="none" w:sz="0" w:space="0" w:color="auto"/>
          </w:divBdr>
        </w:div>
        <w:div w:id="223881750">
          <w:marLeft w:val="1166"/>
          <w:marRight w:val="0"/>
          <w:marTop w:val="0"/>
          <w:marBottom w:val="0"/>
          <w:divBdr>
            <w:top w:val="none" w:sz="0" w:space="0" w:color="auto"/>
            <w:left w:val="none" w:sz="0" w:space="0" w:color="auto"/>
            <w:bottom w:val="none" w:sz="0" w:space="0" w:color="auto"/>
            <w:right w:val="none" w:sz="0" w:space="0" w:color="auto"/>
          </w:divBdr>
        </w:div>
        <w:div w:id="778255113">
          <w:marLeft w:val="1166"/>
          <w:marRight w:val="0"/>
          <w:marTop w:val="0"/>
          <w:marBottom w:val="0"/>
          <w:divBdr>
            <w:top w:val="none" w:sz="0" w:space="0" w:color="auto"/>
            <w:left w:val="none" w:sz="0" w:space="0" w:color="auto"/>
            <w:bottom w:val="none" w:sz="0" w:space="0" w:color="auto"/>
            <w:right w:val="none" w:sz="0" w:space="0" w:color="auto"/>
          </w:divBdr>
        </w:div>
      </w:divsChild>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bsonline.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alth.gov.au"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http://www.health.gov.au/internet/main/publishing.nsf/content/mbsreviewtaskfor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skMBS@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38406-899E-4858-8A89-A9E1A07C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2020-10-14T02:41:00Z</dcterms:created>
  <dcterms:modified xsi:type="dcterms:W3CDTF">2020-10-14T22:11:00Z</dcterms:modified>
</cp:coreProperties>
</file>