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8F16E" w14:textId="3EEB067D" w:rsidR="00AE0000" w:rsidRDefault="003B74B1" w:rsidP="00E95C64">
      <w:pPr>
        <w:pStyle w:val="Heading1"/>
        <w:rPr>
          <w:noProof/>
        </w:rPr>
      </w:pPr>
      <w:r>
        <w:rPr>
          <w:noProof/>
        </w:rPr>
        <w:t xml:space="preserve">New item for percutaneous transcatheter delivery of </w:t>
      </w:r>
      <w:r w:rsidR="006862BA">
        <w:rPr>
          <w:noProof/>
        </w:rPr>
        <w:t xml:space="preserve">a </w:t>
      </w:r>
      <w:r>
        <w:rPr>
          <w:noProof/>
        </w:rPr>
        <w:t>dual filter Cerebral Embolic Protection</w:t>
      </w:r>
      <w:r w:rsidR="00CB3D7E">
        <w:rPr>
          <w:noProof/>
        </w:rPr>
        <w:t xml:space="preserve"> Device</w:t>
      </w:r>
      <w:r>
        <w:rPr>
          <w:noProof/>
        </w:rPr>
        <w:t xml:space="preserve"> </w:t>
      </w:r>
      <w:r w:rsidR="00CC0950">
        <w:rPr>
          <w:noProof/>
        </w:rPr>
        <w:t>(CEP)</w:t>
      </w:r>
    </w:p>
    <w:p w14:paraId="79FA93E1" w14:textId="25209A72" w:rsidR="0003040F" w:rsidRPr="00CC0950" w:rsidRDefault="0003040F" w:rsidP="00CC0950">
      <w:pPr>
        <w:pStyle w:val="Heading2"/>
        <w:rPr>
          <w:sz w:val="20"/>
          <w:szCs w:val="20"/>
        </w:rPr>
      </w:pPr>
      <w:r w:rsidRPr="00CC0950">
        <w:t>Date of change</w:t>
      </w:r>
      <w:r w:rsidR="00774C9D" w:rsidRPr="00CC0950">
        <w:t>:</w:t>
      </w:r>
      <w:r w:rsidRPr="00CC0950">
        <w:tab/>
      </w:r>
      <w:r w:rsidR="0019610C" w:rsidRPr="00CC0950">
        <w:t>1</w:t>
      </w:r>
      <w:r w:rsidRPr="00CC0950">
        <w:t xml:space="preserve"> </w:t>
      </w:r>
      <w:r w:rsidR="0019610C" w:rsidRPr="00CC0950">
        <w:t xml:space="preserve">July </w:t>
      </w:r>
      <w:r w:rsidRPr="00CC0950">
        <w:t>20</w:t>
      </w:r>
      <w:r w:rsidR="0019610C" w:rsidRPr="00CC0950">
        <w:t>2</w:t>
      </w:r>
      <w:r w:rsidR="00BB3047">
        <w:t>2</w:t>
      </w:r>
    </w:p>
    <w:p w14:paraId="7702ABFD" w14:textId="00354230" w:rsidR="0033632B" w:rsidRPr="00CC0950" w:rsidRDefault="00630329" w:rsidP="00CC0950">
      <w:pPr>
        <w:pStyle w:val="Heading2"/>
        <w:rPr>
          <w:specVanish/>
        </w:rPr>
      </w:pPr>
      <w:bookmarkStart w:id="0" w:name="_Hlk10794542"/>
      <w:r w:rsidRPr="00CC0950">
        <w:t>New item:</w:t>
      </w:r>
      <w:r w:rsidRPr="00CC0950">
        <w:tab/>
      </w:r>
      <w:r w:rsidRPr="00CC0950">
        <w:tab/>
      </w:r>
      <w:r w:rsidR="00AE0000" w:rsidRPr="0086479D">
        <w:rPr>
          <w:rStyle w:val="NEWItemNumber"/>
        </w:rPr>
        <w:t>38523</w:t>
      </w:r>
      <w:r w:rsidR="0086479D">
        <w:rPr>
          <w:rStyle w:val="NEWItemNumber"/>
        </w:rPr>
        <w:t xml:space="preserve"> </w:t>
      </w:r>
      <w:r w:rsidR="00AE0000" w:rsidRPr="0086479D">
        <w:rPr>
          <w:rStyle w:val="NEWItemNumber"/>
        </w:rPr>
        <w:t xml:space="preserve"> </w:t>
      </w:r>
    </w:p>
    <w:bookmarkEnd w:id="0"/>
    <w:p w14:paraId="09027687" w14:textId="7F902D53" w:rsidR="00464E24" w:rsidRPr="00432212" w:rsidRDefault="001E3E84" w:rsidP="008B049A">
      <w:pPr>
        <w:spacing w:after="0" w:line="240" w:lineRule="auto"/>
        <w:rPr>
          <w:noProof/>
        </w:rPr>
      </w:pPr>
      <w:r>
        <w:rPr>
          <w:rStyle w:val="BookTitle"/>
          <w:noProof/>
        </w:rPr>
        <w:pict w14:anchorId="09A99663">
          <v:rect id="_x0000_i1025" style="width:0;height:1.5pt" o:hralign="center" o:hrstd="t" o:hr="t" fillcolor="#a0a0a0" stroked="f"/>
        </w:pict>
      </w:r>
    </w:p>
    <w:p w14:paraId="3E89D3A3" w14:textId="5927B952" w:rsidR="00F333A7" w:rsidRDefault="007F1B86" w:rsidP="00CC0950">
      <w:pPr>
        <w:pStyle w:val="Heading2"/>
      </w:pPr>
      <w:r>
        <w:t>What are the changes?</w:t>
      </w:r>
    </w:p>
    <w:p w14:paraId="544AA7C1" w14:textId="22CC5EA7" w:rsidR="002D0C03" w:rsidRPr="002D0C03" w:rsidRDefault="002D0C03" w:rsidP="002D0C03">
      <w:pPr>
        <w:pStyle w:val="RecommendationsBullets"/>
      </w:pPr>
      <w:r>
        <w:t>One</w:t>
      </w:r>
      <w:r w:rsidRPr="00772813">
        <w:t xml:space="preserve"> new </w:t>
      </w:r>
      <w:r>
        <w:t>Medicare Benefits Schedule (</w:t>
      </w:r>
      <w:r w:rsidRPr="00772813">
        <w:t>MBS</w:t>
      </w:r>
      <w:r>
        <w:t>)</w:t>
      </w:r>
      <w:r w:rsidRPr="00772813">
        <w:t xml:space="preserve"> item </w:t>
      </w:r>
      <w:r>
        <w:t xml:space="preserve">(38523) </w:t>
      </w:r>
      <w:r w:rsidRPr="00772813">
        <w:t xml:space="preserve">will be introduced </w:t>
      </w:r>
      <w:r>
        <w:t xml:space="preserve">on </w:t>
      </w:r>
      <w:r w:rsidRPr="00772813">
        <w:t xml:space="preserve">1 </w:t>
      </w:r>
      <w:r>
        <w:t>July 2022</w:t>
      </w:r>
      <w:r w:rsidRPr="00772813">
        <w:t xml:space="preserve"> for </w:t>
      </w:r>
      <w:r w:rsidR="00460734">
        <w:t>t</w:t>
      </w:r>
      <w:r w:rsidR="00460734" w:rsidRPr="00460734">
        <w:t xml:space="preserve">ranscatheter insertion of a dual-filter (multi-filter) cerebral embolic protection (CEP) device when a patient is undergoing the insertion of a </w:t>
      </w:r>
      <w:r w:rsidR="00104996" w:rsidRPr="00104996">
        <w:t xml:space="preserve">transcatheter aortic valve implantation </w:t>
      </w:r>
      <w:r w:rsidR="00104996">
        <w:t>(</w:t>
      </w:r>
      <w:r w:rsidR="00460734" w:rsidRPr="00460734">
        <w:t>TAVI</w:t>
      </w:r>
      <w:r w:rsidR="00104996">
        <w:t>)</w:t>
      </w:r>
      <w:r w:rsidR="00460734" w:rsidRPr="00460734">
        <w:t xml:space="preserve"> implant.</w:t>
      </w:r>
    </w:p>
    <w:p w14:paraId="7C8DBEE8" w14:textId="32035D27" w:rsidR="00B94559" w:rsidRDefault="00764AC7" w:rsidP="00B94559">
      <w:pPr>
        <w:pStyle w:val="RecommendationsBullets"/>
      </w:pPr>
      <w:r>
        <w:t xml:space="preserve">The new CEP device may be used for patients in all risk categories for the primary </w:t>
      </w:r>
      <w:r w:rsidR="00104996">
        <w:t xml:space="preserve">TAVI </w:t>
      </w:r>
      <w:r>
        <w:t>procedure.</w:t>
      </w:r>
    </w:p>
    <w:p w14:paraId="35CB2441" w14:textId="255C8F91" w:rsidR="002D0C03" w:rsidRPr="00944B72" w:rsidRDefault="002D0C03" w:rsidP="002D0C03">
      <w:pPr>
        <w:pStyle w:val="RecommendationsBullets"/>
      </w:pPr>
      <w:r w:rsidRPr="00944B72">
        <w:t>This change is relevant to interventional cardiologists and cardiothoracic surgeons with relevant training in TAVI implant insertion</w:t>
      </w:r>
      <w:r w:rsidR="007B0B03">
        <w:t>, or for e.g vascualr sugeons that may insert the CEP device in preparation for a TAVI procedure</w:t>
      </w:r>
      <w:r w:rsidRPr="00944B72">
        <w:t xml:space="preserve">. </w:t>
      </w:r>
    </w:p>
    <w:p w14:paraId="11138B13" w14:textId="7EC9ACEC" w:rsidR="002D0C03" w:rsidRPr="00882427" w:rsidRDefault="002D0C03" w:rsidP="00DA0EDD">
      <w:pPr>
        <w:pStyle w:val="RecommendationsBullets"/>
      </w:pPr>
      <w:bookmarkStart w:id="1" w:name="_Hlk535386664"/>
      <w:r w:rsidRPr="00944B72">
        <w:t>The final recommendation to list this service by the Medical Services Advisory Committee (MSAC) occurred in July 2021</w:t>
      </w:r>
      <w:r w:rsidR="008705F8" w:rsidRPr="008705F8">
        <w:t xml:space="preserve"> and was approved by Government for funding on the MBS in the 2022-23 Budget</w:t>
      </w:r>
      <w:r w:rsidRPr="00944B72">
        <w:t xml:space="preserve">. Further details about MSAC applications can be found under </w:t>
      </w:r>
      <w:hyperlink r:id="rId7" w:history="1">
        <w:r w:rsidRPr="00944B72">
          <w:rPr>
            <w:rStyle w:val="Hyperlink"/>
          </w:rPr>
          <w:t>MSAC Applications</w:t>
        </w:r>
      </w:hyperlink>
      <w:r w:rsidRPr="00944B72">
        <w:t xml:space="preserve"> on the MSAC website (</w:t>
      </w:r>
      <w:hyperlink r:id="rId8" w:history="1">
        <w:r w:rsidRPr="00944B72">
          <w:rPr>
            <w:rStyle w:val="Hyperlink"/>
          </w:rPr>
          <w:t>www.msac.gov.au</w:t>
        </w:r>
      </w:hyperlink>
      <w:r w:rsidRPr="00944B72">
        <w:t>).</w:t>
      </w:r>
      <w:bookmarkEnd w:id="1"/>
    </w:p>
    <w:p w14:paraId="1A78CC3F" w14:textId="46B4A387" w:rsidR="00F333A7" w:rsidRDefault="00763E5B" w:rsidP="00CC0950">
      <w:pPr>
        <w:pStyle w:val="Heading2"/>
      </w:pPr>
      <w:r w:rsidRPr="00432212">
        <w:t xml:space="preserve">Patient </w:t>
      </w:r>
      <w:r w:rsidR="00884022">
        <w:t>impacts</w:t>
      </w:r>
    </w:p>
    <w:p w14:paraId="1AF25D91" w14:textId="1098F2EC" w:rsidR="001336B7" w:rsidRPr="001336B7" w:rsidRDefault="001336B7" w:rsidP="001336B7">
      <w:pPr>
        <w:pStyle w:val="RecommendationsBullets"/>
      </w:pPr>
      <w:r w:rsidRPr="00944B72">
        <w:t xml:space="preserve">These changes reflect modern clinical practice and will enable patients to receive a Medicare rebate for the new </w:t>
      </w:r>
      <w:r>
        <w:t xml:space="preserve">CEP device (38523) </w:t>
      </w:r>
      <w:r w:rsidRPr="00944B72">
        <w:t xml:space="preserve">when clinically appropriate. </w:t>
      </w:r>
    </w:p>
    <w:p w14:paraId="0E17FB01" w14:textId="62E2A651" w:rsidR="0033010A" w:rsidRDefault="00764AC7" w:rsidP="00764AC7">
      <w:pPr>
        <w:pStyle w:val="RecommendationsBullets"/>
      </w:pPr>
      <w:r>
        <w:t xml:space="preserve">The CEP device will reduce the number of TAVI related </w:t>
      </w:r>
      <w:r w:rsidR="007F1B86">
        <w:t>cerebrovascular accidents (</w:t>
      </w:r>
      <w:r>
        <w:t>CVA’s</w:t>
      </w:r>
      <w:r w:rsidR="007F1B86">
        <w:t>/</w:t>
      </w:r>
      <w:r>
        <w:t>stroke</w:t>
      </w:r>
      <w:r w:rsidR="007F1B86">
        <w:t>)</w:t>
      </w:r>
      <w:r>
        <w:t>, therefore improving health outcomes.</w:t>
      </w:r>
      <w:r w:rsidR="0033010A" w:rsidRPr="0033010A" w:rsidDel="005A119B">
        <w:t xml:space="preserve"> </w:t>
      </w:r>
    </w:p>
    <w:p w14:paraId="27405FE9" w14:textId="45FF0F28" w:rsidR="00B31C3E" w:rsidRDefault="0033010A" w:rsidP="00764AC7">
      <w:pPr>
        <w:pStyle w:val="RecommendationsBullets"/>
      </w:pPr>
      <w:r>
        <w:t xml:space="preserve">The addition of this new CEP item </w:t>
      </w:r>
      <w:r w:rsidRPr="00B94559">
        <w:t>will also provide access to an additional adjunct service that will improve the safety and long-term clinical outcomes for primary TAVI procedures.</w:t>
      </w:r>
    </w:p>
    <w:p w14:paraId="41F47317" w14:textId="77777777" w:rsidR="0080749C" w:rsidRDefault="0080749C" w:rsidP="006B7DD6">
      <w:pPr>
        <w:pStyle w:val="RecommendationsBullets"/>
        <w:numPr>
          <w:ilvl w:val="0"/>
          <w:numId w:val="0"/>
        </w:numPr>
        <w:ind w:left="360"/>
      </w:pPr>
    </w:p>
    <w:p w14:paraId="1FD1399B" w14:textId="1D4CFB7F" w:rsidR="007F1B86" w:rsidRDefault="007F1B86" w:rsidP="000D4DB0">
      <w:pPr>
        <w:pStyle w:val="RecommendationsBullets"/>
        <w:numPr>
          <w:ilvl w:val="0"/>
          <w:numId w:val="0"/>
        </w:numPr>
      </w:pPr>
    </w:p>
    <w:p w14:paraId="2D58E8D1" w14:textId="19FBC58F" w:rsidR="0086479D" w:rsidRDefault="0086479D" w:rsidP="000D4DB0">
      <w:pPr>
        <w:pStyle w:val="RecommendationsBullets"/>
        <w:numPr>
          <w:ilvl w:val="0"/>
          <w:numId w:val="0"/>
        </w:numPr>
      </w:pPr>
    </w:p>
    <w:p w14:paraId="6AD6C11C" w14:textId="77777777" w:rsidR="008705F8" w:rsidRPr="00432212" w:rsidRDefault="008705F8" w:rsidP="000D4DB0">
      <w:pPr>
        <w:pStyle w:val="RecommendationsBullets"/>
        <w:numPr>
          <w:ilvl w:val="0"/>
          <w:numId w:val="0"/>
        </w:numPr>
      </w:pPr>
    </w:p>
    <w:p w14:paraId="316E82C3" w14:textId="77777777" w:rsidR="00911BCA" w:rsidRDefault="00911BCA" w:rsidP="00CC0950">
      <w:pPr>
        <w:pStyle w:val="Heading2"/>
      </w:pPr>
      <w:bookmarkStart w:id="2" w:name="_Hlk271137"/>
      <w:r>
        <w:lastRenderedPageBreak/>
        <w:t>Restrictions or requirements</w:t>
      </w:r>
    </w:p>
    <w:p w14:paraId="71F17093" w14:textId="2DA96536" w:rsidR="004F3704" w:rsidRDefault="004F3704" w:rsidP="00DA0EDD">
      <w:pPr>
        <w:pStyle w:val="RecommendationsBullets"/>
        <w:ind w:left="360"/>
      </w:pPr>
      <w:r>
        <w:t xml:space="preserve">This service </w:t>
      </w:r>
      <w:r w:rsidRPr="004F3704">
        <w:t>(item 38523)</w:t>
      </w:r>
      <w:r>
        <w:t xml:space="preserve"> is available </w:t>
      </w:r>
      <w:r w:rsidR="007B0B03">
        <w:t>for</w:t>
      </w:r>
      <w:r>
        <w:t xml:space="preserve"> all </w:t>
      </w:r>
      <w:r w:rsidRPr="004F3704">
        <w:t xml:space="preserve">risk categories for </w:t>
      </w:r>
      <w:r>
        <w:t xml:space="preserve">the primary </w:t>
      </w:r>
      <w:r w:rsidRPr="004F3704">
        <w:t xml:space="preserve">TAVI </w:t>
      </w:r>
      <w:r>
        <w:t xml:space="preserve">procedure </w:t>
      </w:r>
      <w:r w:rsidRPr="004F3704">
        <w:t>as an adjunct service</w:t>
      </w:r>
      <w:r>
        <w:t xml:space="preserve"> only.</w:t>
      </w:r>
    </w:p>
    <w:p w14:paraId="08ED681D" w14:textId="1669C8E3" w:rsidR="00B63FB9" w:rsidRDefault="004F3704" w:rsidP="006B7DD6">
      <w:pPr>
        <w:pStyle w:val="RecommendationsBullets"/>
        <w:ind w:left="360"/>
      </w:pPr>
      <w:r w:rsidRPr="00944B72">
        <w:t xml:space="preserve">The service associated with </w:t>
      </w:r>
      <w:r>
        <w:t>item 38523</w:t>
      </w:r>
      <w:r w:rsidRPr="00944B72">
        <w:t xml:space="preserve"> can only be claimed </w:t>
      </w:r>
      <w:r w:rsidR="007B0B03">
        <w:t>when the CEP device has been inserted by the primary TAVI practitioner or a third party provider (e.g. interventional cardiologist, vascular surgeon) in preparation for the insertion of a TAVI implant.</w:t>
      </w:r>
    </w:p>
    <w:p w14:paraId="734C5E37" w14:textId="15709764" w:rsidR="0063440E" w:rsidRDefault="0063440E" w:rsidP="006B7DD6">
      <w:pPr>
        <w:pStyle w:val="RecommendationsBullets"/>
        <w:ind w:left="360"/>
      </w:pPr>
      <w:r>
        <w:t>Where the service associated with item 38523 is provided by the primary TAVI practitioner (claiming item 38495, 38514 or 38522) the service includes all intraoperative diagnostic imaging that the TAVI Practitioner performs upon the TAVI Patient.</w:t>
      </w:r>
    </w:p>
    <w:p w14:paraId="1B6C9479" w14:textId="2A1F5E50" w:rsidR="0063440E" w:rsidRPr="00B63FB9" w:rsidRDefault="0063440E" w:rsidP="006B7DD6">
      <w:pPr>
        <w:pStyle w:val="RecommendationsBullets"/>
        <w:ind w:left="360"/>
      </w:pPr>
      <w:r>
        <w:t>Where the service associated with item 38523 is provided by a third party provider e.g. vascular surgeon</w:t>
      </w:r>
      <w:r w:rsidR="00CB3D7E">
        <w:t>, the associated imaging is claimable.</w:t>
      </w:r>
    </w:p>
    <w:bookmarkEnd w:id="2"/>
    <w:p w14:paraId="16BFE4D6" w14:textId="77777777" w:rsidR="0003040F" w:rsidRPr="00432212" w:rsidRDefault="001E3E84" w:rsidP="002D0C03">
      <w:pPr>
        <w:pStyle w:val="RecommendationsBullets"/>
        <w:numPr>
          <w:ilvl w:val="0"/>
          <w:numId w:val="0"/>
        </w:numPr>
        <w:ind w:left="720" w:hanging="360"/>
        <w:sectPr w:rsidR="0003040F" w:rsidRPr="00432212" w:rsidSect="004C1290">
          <w:headerReference w:type="default" r:id="rId9"/>
          <w:footerReference w:type="default" r:id="rId10"/>
          <w:type w:val="continuous"/>
          <w:pgSz w:w="11906" w:h="16838"/>
          <w:pgMar w:top="2694" w:right="720" w:bottom="720" w:left="720" w:header="708" w:footer="708" w:gutter="0"/>
          <w:cols w:space="567"/>
          <w:docGrid w:linePitch="360"/>
        </w:sectPr>
      </w:pPr>
      <w:r>
        <w:rPr>
          <w:b/>
          <w:bCs/>
          <w:i/>
          <w:iCs/>
        </w:rPr>
        <w:pict w14:anchorId="49FB0A4A">
          <v:rect id="_x0000_i1027" style="width:0;height:1.5pt" o:hralign="center" o:hrstd="t" o:hr="t" fillcolor="#a0a0a0" stroked="f"/>
        </w:pict>
      </w:r>
    </w:p>
    <w:p w14:paraId="64B20E8B" w14:textId="5EE39DBA" w:rsidR="00167FB2" w:rsidRPr="006B7DD6" w:rsidRDefault="00167FB2" w:rsidP="006B7DD6">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Style w:val="NEWItemNumber"/>
          <w:rFonts w:eastAsiaTheme="majorEastAsia" w:cstheme="majorBidi"/>
          <w:b w:val="0"/>
          <w:spacing w:val="20"/>
          <w:sz w:val="28"/>
          <w:szCs w:val="40"/>
        </w:rPr>
      </w:pPr>
      <w:r w:rsidRPr="00167FB2">
        <w:rPr>
          <w:rFonts w:eastAsiaTheme="majorEastAsia" w:cstheme="majorBidi"/>
          <w:b/>
          <w:noProof/>
          <w:color w:val="FFFFFF" w:themeColor="background1"/>
          <w:spacing w:val="20"/>
          <w:sz w:val="28"/>
          <w:szCs w:val="40"/>
        </w:rPr>
        <w:t>New ite</w:t>
      </w:r>
      <w:r w:rsidRPr="00167FB2">
        <w:rPr>
          <w:rFonts w:eastAsiaTheme="majorEastAsia" w:cstheme="majorBidi"/>
          <w:b/>
          <w:color w:val="FFFFFF" w:themeColor="background1"/>
          <w:spacing w:val="20"/>
          <w:sz w:val="28"/>
          <w:szCs w:val="40"/>
        </w:rPr>
        <w:t>m</w:t>
      </w:r>
      <w:r w:rsidRPr="00167FB2">
        <w:rPr>
          <w:rFonts w:eastAsiaTheme="majorEastAsia" w:cstheme="majorBidi"/>
          <w:color w:val="FFFFFF" w:themeColor="background1"/>
          <w:spacing w:val="20"/>
          <w:sz w:val="28"/>
          <w:szCs w:val="40"/>
          <w:u w:color="006341" w:themeColor="accent1"/>
          <w:shd w:val="clear" w:color="auto" w:fill="789D4A" w:themeFill="accent2"/>
        </w:rPr>
        <w:t xml:space="preserve"> </w:t>
      </w:r>
      <w:r>
        <w:rPr>
          <w:rFonts w:eastAsiaTheme="majorEastAsia" w:cstheme="majorBidi"/>
          <w:color w:val="FFFFFF" w:themeColor="background1"/>
          <w:spacing w:val="20"/>
          <w:sz w:val="28"/>
          <w:szCs w:val="40"/>
          <w:u w:color="006341" w:themeColor="accent1"/>
          <w:shd w:val="clear" w:color="auto" w:fill="789D4A" w:themeFill="accent2"/>
        </w:rPr>
        <w:t>38523</w:t>
      </w:r>
      <w:r w:rsidRPr="00167FB2">
        <w:rPr>
          <w:rFonts w:eastAsiaTheme="majorEastAsia" w:cstheme="majorBidi"/>
          <w:color w:val="FFFFFF" w:themeColor="background1"/>
          <w:spacing w:val="20"/>
          <w:sz w:val="28"/>
          <w:szCs w:val="40"/>
          <w:u w:color="006341" w:themeColor="accent1"/>
          <w:shd w:val="clear" w:color="auto" w:fill="789D4A" w:themeFill="accent2"/>
        </w:rPr>
        <w:t xml:space="preserve"> </w:t>
      </w:r>
      <w:r w:rsidRPr="00167FB2">
        <w:rPr>
          <w:rFonts w:eastAsiaTheme="majorEastAsia" w:cstheme="majorBidi"/>
          <w:b/>
          <w:color w:val="FFFFFF" w:themeColor="background1"/>
          <w:spacing w:val="20"/>
          <w:sz w:val="28"/>
          <w:szCs w:val="40"/>
        </w:rPr>
        <w:t xml:space="preserve">– Percutaneous transcatheter delivery of dual-filter cerebral embolic protection (CEP) system during </w:t>
      </w:r>
      <w:r w:rsidR="00460734">
        <w:rPr>
          <w:rFonts w:eastAsiaTheme="majorEastAsia" w:cstheme="majorBidi"/>
          <w:b/>
          <w:color w:val="FFFFFF" w:themeColor="background1"/>
          <w:spacing w:val="20"/>
          <w:sz w:val="28"/>
          <w:szCs w:val="40"/>
        </w:rPr>
        <w:t>TAVI</w:t>
      </w:r>
    </w:p>
    <w:p w14:paraId="3FE85E34" w14:textId="7F44C588" w:rsidR="00167FB2" w:rsidRDefault="00BA657E" w:rsidP="008E41BF">
      <w:pPr>
        <w:spacing w:before="240" w:after="240"/>
        <w:rPr>
          <w:iCs/>
          <w:szCs w:val="24"/>
        </w:rPr>
      </w:pPr>
      <w:r w:rsidRPr="00BA657E">
        <w:rPr>
          <w:rStyle w:val="Descriptorheader"/>
        </w:rPr>
        <w:t>Overview</w:t>
      </w:r>
      <w:r w:rsidR="00A077B4">
        <w:rPr>
          <w:rStyle w:val="Descriptorheader"/>
        </w:rPr>
        <w:t>:</w:t>
      </w:r>
      <w:r w:rsidR="00A077B4" w:rsidRPr="00A077B4">
        <w:rPr>
          <w:iCs/>
          <w:color w:val="FF0000"/>
          <w:szCs w:val="24"/>
        </w:rPr>
        <w:t xml:space="preserve"> </w:t>
      </w:r>
      <w:r w:rsidR="00167FB2" w:rsidRPr="006B7DD6">
        <w:rPr>
          <w:iCs/>
          <w:szCs w:val="24"/>
        </w:rPr>
        <w:t>This item introduces a new service for transcatheter insertion of a dual-filter (multi-filter) cerebral embolic protection (CEP) device when a patient is undergoing the insertion of a TAVI implant.</w:t>
      </w:r>
    </w:p>
    <w:p w14:paraId="14A2373E" w14:textId="50215F62" w:rsidR="00E84A7F" w:rsidRDefault="009C2A72" w:rsidP="00E84A7F">
      <w:pPr>
        <w:pStyle w:val="Tabletext"/>
        <w:spacing w:line="280" w:lineRule="exact"/>
      </w:pPr>
      <w:r w:rsidRPr="00BA657E">
        <w:rPr>
          <w:rStyle w:val="Descriptorheader"/>
        </w:rPr>
        <w:t>Service</w:t>
      </w:r>
      <w:r>
        <w:rPr>
          <w:rStyle w:val="Descriptorheader"/>
        </w:rPr>
        <w:t>/Descriptor</w:t>
      </w:r>
      <w:r w:rsidRPr="00BA657E">
        <w:rPr>
          <w:rStyle w:val="Descriptorheader"/>
        </w:rPr>
        <w:t>:</w:t>
      </w:r>
      <w:r w:rsidRPr="00BA657E">
        <w:t xml:space="preserve"> </w:t>
      </w:r>
    </w:p>
    <w:p w14:paraId="356F684B" w14:textId="77777777" w:rsidR="00BB3047" w:rsidRPr="00BB3047" w:rsidRDefault="00BB3047" w:rsidP="00BB3047">
      <w:pPr>
        <w:spacing w:before="240" w:after="240"/>
        <w:rPr>
          <w:iCs/>
          <w:szCs w:val="24"/>
        </w:rPr>
      </w:pPr>
      <w:r w:rsidRPr="00BB3047">
        <w:rPr>
          <w:iCs/>
          <w:szCs w:val="24"/>
        </w:rPr>
        <w:t>Percutaneous transcatheter delivery of dual-filter cerebral embolic protection system during a TAVI procedure, for the reduction of postoperative embolic ischaemic strokes, if:</w:t>
      </w:r>
    </w:p>
    <w:p w14:paraId="0E00E036" w14:textId="392DC65F" w:rsidR="00BB3047" w:rsidRPr="00BB3047" w:rsidRDefault="00BB3047" w:rsidP="00BB3047">
      <w:pPr>
        <w:pStyle w:val="ListParagraph"/>
        <w:numPr>
          <w:ilvl w:val="0"/>
          <w:numId w:val="15"/>
        </w:numPr>
        <w:spacing w:before="240" w:after="240"/>
        <w:rPr>
          <w:iCs/>
          <w:szCs w:val="24"/>
        </w:rPr>
      </w:pPr>
      <w:r w:rsidRPr="00BB3047">
        <w:rPr>
          <w:iCs/>
          <w:szCs w:val="24"/>
        </w:rPr>
        <w:t>the service is performed upon a TAVI Patient in a TAVI Hospital; and</w:t>
      </w:r>
    </w:p>
    <w:p w14:paraId="52A63EB9" w14:textId="169BF4FC" w:rsidR="00BB3047" w:rsidRPr="00BB3047" w:rsidRDefault="00BB3047" w:rsidP="00BB3047">
      <w:pPr>
        <w:pStyle w:val="ListParagraph"/>
        <w:numPr>
          <w:ilvl w:val="0"/>
          <w:numId w:val="15"/>
        </w:numPr>
        <w:spacing w:before="240" w:after="240"/>
        <w:rPr>
          <w:iCs/>
          <w:szCs w:val="24"/>
        </w:rPr>
      </w:pPr>
      <w:r w:rsidRPr="00BB3047">
        <w:rPr>
          <w:iCs/>
          <w:szCs w:val="24"/>
        </w:rPr>
        <w:t>where the service is performed by the practitioner performing the TAVI procedure, the service includes all intraoperative diagnostic imaging that the TAVI Practitioner performs upon the TAVI Patient</w:t>
      </w:r>
    </w:p>
    <w:p w14:paraId="334ED5E9" w14:textId="07FB0DC4" w:rsidR="00BB3047" w:rsidRPr="00BB3047" w:rsidRDefault="00BB3047" w:rsidP="009A6797">
      <w:pPr>
        <w:spacing w:before="240" w:after="240"/>
        <w:rPr>
          <w:iCs/>
          <w:szCs w:val="24"/>
        </w:rPr>
      </w:pPr>
      <w:r w:rsidRPr="00BB3047">
        <w:rPr>
          <w:iCs/>
          <w:szCs w:val="24"/>
        </w:rPr>
        <w:t>(H) (</w:t>
      </w:r>
      <w:proofErr w:type="spellStart"/>
      <w:r w:rsidRPr="00BB3047">
        <w:rPr>
          <w:iCs/>
          <w:szCs w:val="24"/>
        </w:rPr>
        <w:t>Anaes</w:t>
      </w:r>
      <w:proofErr w:type="spellEnd"/>
      <w:r w:rsidRPr="00BB3047">
        <w:rPr>
          <w:iCs/>
          <w:szCs w:val="24"/>
        </w:rPr>
        <w:t>.) (Assist.)</w:t>
      </w:r>
    </w:p>
    <w:p w14:paraId="64E20318" w14:textId="711143F5" w:rsidR="007F1B86" w:rsidRDefault="00BA657E" w:rsidP="007F1B86">
      <w:pPr>
        <w:spacing w:before="160"/>
        <w:rPr>
          <w:b/>
          <w:noProof/>
          <w:sz w:val="22"/>
          <w:szCs w:val="22"/>
        </w:rPr>
      </w:pPr>
      <w:r w:rsidRPr="00BA657E">
        <w:rPr>
          <w:rStyle w:val="Descriptorheader"/>
        </w:rPr>
        <w:t>MBS fee:</w:t>
      </w:r>
      <w:r w:rsidRPr="00432212">
        <w:rPr>
          <w:noProof/>
        </w:rPr>
        <w:t xml:space="preserve"> </w:t>
      </w:r>
      <w:r w:rsidR="00A077B4" w:rsidRPr="002D0C03">
        <w:rPr>
          <w:iCs/>
        </w:rPr>
        <w:t>$275.20</w:t>
      </w:r>
    </w:p>
    <w:p w14:paraId="2C2AD2F2" w14:textId="6A49E060" w:rsidR="007F1B86" w:rsidRPr="00BB3047" w:rsidRDefault="007F1B86" w:rsidP="006B7DD6">
      <w:pPr>
        <w:spacing w:before="160"/>
        <w:rPr>
          <w:szCs w:val="20"/>
        </w:rPr>
      </w:pPr>
      <w:r w:rsidRPr="00BA657E">
        <w:rPr>
          <w:rStyle w:val="Descriptorheader"/>
        </w:rPr>
        <w:t>Benefit:</w:t>
      </w:r>
      <w:r w:rsidRPr="00432212">
        <w:rPr>
          <w:noProof/>
        </w:rPr>
        <w:t xml:space="preserve"> </w:t>
      </w:r>
      <w:r w:rsidRPr="002D0C03">
        <w:rPr>
          <w:szCs w:val="20"/>
        </w:rPr>
        <w:t xml:space="preserve">75% </w:t>
      </w:r>
      <w:r>
        <w:rPr>
          <w:szCs w:val="20"/>
        </w:rPr>
        <w:t>= $206.40</w:t>
      </w:r>
    </w:p>
    <w:p w14:paraId="66E2138C" w14:textId="2F31A362" w:rsidR="007F1B86" w:rsidRPr="007F1B86" w:rsidRDefault="007F1B86" w:rsidP="007F1B86">
      <w:pPr>
        <w:ind w:left="360" w:hanging="360"/>
        <w:rPr>
          <w:rFonts w:asciiTheme="minorHAnsi" w:hAnsiTheme="minorHAnsi"/>
          <w:b/>
          <w:bCs/>
          <w:iCs/>
          <w:noProof/>
          <w:color w:val="001A70" w:themeColor="text2"/>
          <w:spacing w:val="5"/>
          <w:sz w:val="22"/>
        </w:rPr>
      </w:pPr>
      <w:r w:rsidRPr="007F1B86">
        <w:rPr>
          <w:rFonts w:asciiTheme="minorHAnsi" w:hAnsiTheme="minorHAnsi"/>
          <w:b/>
          <w:bCs/>
          <w:iCs/>
          <w:noProof/>
          <w:color w:val="001A70" w:themeColor="text2"/>
          <w:spacing w:val="5"/>
          <w:sz w:val="22"/>
        </w:rPr>
        <w:t>Private Health Insurance Classifications:</w:t>
      </w:r>
    </w:p>
    <w:p w14:paraId="0A14D614" w14:textId="77777777" w:rsidR="007F1B86" w:rsidRPr="007F1B86" w:rsidRDefault="007F1B86" w:rsidP="007F1B86">
      <w:pPr>
        <w:ind w:firstLine="720"/>
      </w:pPr>
      <w:r w:rsidRPr="007F1B86">
        <w:rPr>
          <w:b/>
          <w:noProof/>
        </w:rPr>
        <w:t>Clinical Category:</w:t>
      </w:r>
      <w:r w:rsidRPr="007F1B86">
        <w:rPr>
          <w:noProof/>
        </w:rPr>
        <w:tab/>
        <w:t xml:space="preserve">Heart and Vascular System </w:t>
      </w:r>
    </w:p>
    <w:p w14:paraId="7DBC16CF" w14:textId="1E55BEA5" w:rsidR="000D4DB0" w:rsidRDefault="007F1B86" w:rsidP="009A6797">
      <w:pPr>
        <w:ind w:firstLine="720"/>
        <w:rPr>
          <w:noProof/>
        </w:rPr>
      </w:pPr>
      <w:r w:rsidRPr="007F1B86">
        <w:rPr>
          <w:b/>
          <w:noProof/>
        </w:rPr>
        <w:t>Procedure Type:</w:t>
      </w:r>
      <w:r w:rsidRPr="007F1B86">
        <w:rPr>
          <w:noProof/>
        </w:rPr>
        <w:tab/>
      </w:r>
      <w:r w:rsidRPr="00CB3D7E">
        <w:rPr>
          <w:noProof/>
        </w:rPr>
        <w:t xml:space="preserve">Type </w:t>
      </w:r>
      <w:r w:rsidR="00E82EE1">
        <w:rPr>
          <w:noProof/>
        </w:rPr>
        <w:t>A Surgical</w:t>
      </w:r>
      <w:r w:rsidRPr="007F1B86">
        <w:rPr>
          <w:noProof/>
        </w:rPr>
        <w:t xml:space="preserve"> </w:t>
      </w:r>
    </w:p>
    <w:p w14:paraId="5A7F83D3" w14:textId="77777777" w:rsidR="00BB3047" w:rsidRPr="009A6797" w:rsidRDefault="00BB3047" w:rsidP="009A6797">
      <w:pPr>
        <w:ind w:firstLine="720"/>
        <w:rPr>
          <w:noProof/>
        </w:rPr>
      </w:pPr>
    </w:p>
    <w:p w14:paraId="02E1D44A" w14:textId="77777777" w:rsidR="009C2A72" w:rsidRPr="009C2A72" w:rsidRDefault="009C2A72" w:rsidP="009C2A72">
      <w:pPr>
        <w:spacing w:before="240" w:after="120" w:line="276" w:lineRule="auto"/>
        <w:outlineLvl w:val="1"/>
        <w:rPr>
          <w:noProof/>
          <w:color w:val="001A70" w:themeColor="text2"/>
          <w:sz w:val="28"/>
        </w:rPr>
      </w:pPr>
      <w:r w:rsidRPr="009C2A72">
        <w:rPr>
          <w:noProof/>
          <w:color w:val="001A70" w:themeColor="text2"/>
          <w:sz w:val="28"/>
        </w:rPr>
        <w:lastRenderedPageBreak/>
        <w:t>Where can I find more information?</w:t>
      </w:r>
    </w:p>
    <w:p w14:paraId="20CE30C8" w14:textId="17A39DF6" w:rsidR="009C2A72" w:rsidRPr="009C2A72" w:rsidRDefault="009C2A72" w:rsidP="009C2A72">
      <w:r w:rsidRPr="009C2A72">
        <w:t xml:space="preserve">For questions relating to implementation, or to the interpretation of the </w:t>
      </w:r>
      <w:r w:rsidR="007F1B86">
        <w:t>CEP</w:t>
      </w:r>
      <w:r w:rsidRPr="009C2A72">
        <w:t xml:space="preserve"> item prior to 1 </w:t>
      </w:r>
      <w:r w:rsidR="007F1B86">
        <w:t>July 2022</w:t>
      </w:r>
      <w:r w:rsidRPr="009C2A72">
        <w:t xml:space="preserve">, please email </w:t>
      </w:r>
      <w:hyperlink r:id="rId11" w:history="1">
        <w:r w:rsidRPr="009C2A72">
          <w:rPr>
            <w:color w:val="0563C1"/>
            <w:u w:val="single"/>
          </w:rPr>
          <w:t>cardiacservices@health.gov.au</w:t>
        </w:r>
      </w:hyperlink>
      <w:r w:rsidRPr="009C2A72">
        <w:rPr>
          <w:u w:val="single"/>
        </w:rPr>
        <w:t>.</w:t>
      </w:r>
      <w:r w:rsidRPr="009C2A72">
        <w:t xml:space="preserve"> </w:t>
      </w:r>
    </w:p>
    <w:p w14:paraId="21323EE7" w14:textId="7AEF97BE" w:rsidR="009C2A72" w:rsidRPr="009C2A72" w:rsidRDefault="009C2A72" w:rsidP="009C2A72">
      <w:pPr>
        <w:rPr>
          <w:rFonts w:asciiTheme="minorHAnsi" w:eastAsiaTheme="minorHAnsi" w:hAnsiTheme="minorHAnsi"/>
          <w:szCs w:val="22"/>
        </w:rPr>
      </w:pPr>
      <w:bookmarkStart w:id="5" w:name="_Hlk102037451"/>
      <w:r w:rsidRPr="009C2A72">
        <w:t xml:space="preserve">For questions regarding the proposed </w:t>
      </w:r>
      <w:r w:rsidR="00D25C43">
        <w:t xml:space="preserve">private health insurance </w:t>
      </w:r>
      <w:r w:rsidRPr="009C2A72">
        <w:t xml:space="preserve">classifications, please email </w:t>
      </w:r>
      <w:hyperlink r:id="rId12" w:history="1">
        <w:r w:rsidRPr="009C2A72">
          <w:rPr>
            <w:color w:val="0563C1"/>
            <w:szCs w:val="20"/>
            <w:u w:val="single"/>
          </w:rPr>
          <w:t>PHI@health.gov.au</w:t>
        </w:r>
      </w:hyperlink>
      <w:r w:rsidRPr="009C2A72">
        <w:rPr>
          <w:b/>
          <w:color w:val="0563C1"/>
          <w:szCs w:val="20"/>
          <w:u w:val="single"/>
        </w:rPr>
        <w:t>.</w:t>
      </w:r>
    </w:p>
    <w:p w14:paraId="1FA3DA05" w14:textId="77777777" w:rsidR="009C2A72" w:rsidRPr="009C2A72" w:rsidRDefault="009C2A72" w:rsidP="009C2A72">
      <w:r w:rsidRPr="009C2A72">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9C2A72">
          <w:rPr>
            <w:color w:val="0563C1"/>
            <w:u w:val="single"/>
          </w:rPr>
          <w:t>askMBS</w:t>
        </w:r>
      </w:hyperlink>
      <w:r w:rsidRPr="009C2A72">
        <w:t>.</w:t>
      </w:r>
    </w:p>
    <w:p w14:paraId="6479B659" w14:textId="43BD6E83" w:rsidR="009C2A72" w:rsidRPr="009C2A72" w:rsidRDefault="009C2A72" w:rsidP="009C2A72">
      <w:r w:rsidRPr="009C2A72">
        <w:t xml:space="preserve">If you are seeking advice in relation to Medicare billing, claiming, payments, or obtaining a provider number, please go to </w:t>
      </w:r>
      <w:r w:rsidR="00075002" w:rsidRPr="004408C2">
        <w:t xml:space="preserve">the </w:t>
      </w:r>
      <w:r w:rsidR="00075002">
        <w:t>‘</w:t>
      </w:r>
      <w:hyperlink r:id="rId14" w:history="1">
        <w:r w:rsidR="00075002" w:rsidRPr="00BF35F3">
          <w:rPr>
            <w:rStyle w:val="Hyperlink"/>
          </w:rPr>
          <w:t>Health Professionals</w:t>
        </w:r>
      </w:hyperlink>
      <w:r w:rsidR="00075002">
        <w:t>’</w:t>
      </w:r>
      <w:r w:rsidR="00075002" w:rsidRPr="004408C2">
        <w:t xml:space="preserve"> page</w:t>
      </w:r>
      <w:r w:rsidR="00075002">
        <w:t xml:space="preserve"> </w:t>
      </w:r>
      <w:r w:rsidRPr="009C2A72">
        <w:t>on the Services</w:t>
      </w:r>
      <w:r w:rsidR="00D25C43">
        <w:t xml:space="preserve"> Australia</w:t>
      </w:r>
      <w:r w:rsidRPr="009C2A72">
        <w:t xml:space="preserve"> website or contact Services</w:t>
      </w:r>
      <w:r w:rsidR="00D25C43">
        <w:t xml:space="preserve"> Australia</w:t>
      </w:r>
      <w:r w:rsidRPr="009C2A72">
        <w:t xml:space="preserve"> on the Provider Enquiry Line – 13 21 50. </w:t>
      </w:r>
    </w:p>
    <w:p w14:paraId="2C554FAC" w14:textId="3C0AB3FB" w:rsidR="009C2A72" w:rsidRPr="009C2A72" w:rsidRDefault="009C2A72" w:rsidP="009C2A72">
      <w:r w:rsidRPr="009C2A72">
        <w:t xml:space="preserve">The data file for software vendors can be accessed via the MBS Online website under the </w:t>
      </w:r>
      <w:hyperlink r:id="rId15" w:history="1">
        <w:r w:rsidRPr="009C2A72">
          <w:rPr>
            <w:color w:val="0563C1"/>
            <w:u w:val="single"/>
          </w:rPr>
          <w:t>Downloads</w:t>
        </w:r>
      </w:hyperlink>
      <w:r w:rsidRPr="009C2A72">
        <w:t xml:space="preserve"> page.</w:t>
      </w:r>
    </w:p>
    <w:bookmarkEnd w:id="5"/>
    <w:p w14:paraId="5FDE3D11" w14:textId="77777777" w:rsidR="009C2A72" w:rsidRPr="009C2A72" w:rsidRDefault="009C2A72" w:rsidP="009C2A72">
      <w:r w:rsidRPr="009C2A72">
        <w:t>To view previous item descriptors and deleted items, visit MBS Online at</w:t>
      </w:r>
      <w:r w:rsidRPr="009C2A72">
        <w:rPr>
          <w:color w:val="1F497D"/>
        </w:rPr>
        <w:t xml:space="preserve"> </w:t>
      </w:r>
      <w:hyperlink r:id="rId16" w:history="1">
        <w:r w:rsidRPr="009C2A72">
          <w:rPr>
            <w:color w:val="0563C1"/>
            <w:u w:val="single"/>
          </w:rPr>
          <w:t>www.mbsonline.gov.au</w:t>
        </w:r>
      </w:hyperlink>
      <w:r w:rsidRPr="009C2A72">
        <w:rPr>
          <w:color w:val="1F497D"/>
        </w:rPr>
        <w:t xml:space="preserve">, </w:t>
      </w:r>
      <w:r w:rsidRPr="009C2A72">
        <w:t>navigate to ‘Downloads’ and then select the relevant time period at the bottom of the page. The old items can then be viewed by downloading the MBS files published in the month before implementation of the changes</w:t>
      </w:r>
    </w:p>
    <w:p w14:paraId="6BD9AF3B" w14:textId="77777777" w:rsidR="009C2A72" w:rsidRPr="009C2A72" w:rsidRDefault="009C2A72" w:rsidP="009C2A72">
      <w:pPr>
        <w:ind w:left="567" w:right="1394"/>
        <w:rPr>
          <w:i/>
          <w:sz w:val="16"/>
          <w:szCs w:val="16"/>
        </w:rPr>
      </w:pPr>
      <w:r w:rsidRPr="009C2A72">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4536F1F" w14:textId="26615113" w:rsidR="0029176A" w:rsidRPr="0029176A" w:rsidRDefault="009C2A72" w:rsidP="006B7DD6">
      <w:pPr>
        <w:pStyle w:val="Disclaimer"/>
      </w:pPr>
      <w:r w:rsidRPr="009C2A72">
        <w:t>This sheet is current as of the Last updated date shown above and does not account for MBS changes since that date.</w:t>
      </w:r>
      <w:bookmarkStart w:id="6" w:name="_Hlk1375085"/>
    </w:p>
    <w:bookmarkEnd w:id="6"/>
    <w:p w14:paraId="7FDAD851"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9BC23" w14:textId="77777777" w:rsidR="005B5971" w:rsidRDefault="005B5971" w:rsidP="006D1088">
      <w:pPr>
        <w:spacing w:after="0" w:line="240" w:lineRule="auto"/>
      </w:pPr>
      <w:r>
        <w:separator/>
      </w:r>
    </w:p>
  </w:endnote>
  <w:endnote w:type="continuationSeparator" w:id="0">
    <w:p w14:paraId="0F89CCAC" w14:textId="77777777" w:rsidR="005B5971" w:rsidRDefault="005B597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0F0BB" w14:textId="77777777" w:rsidR="00C64B9E" w:rsidRPr="00C64B9E" w:rsidRDefault="001E3E84"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34FD9122">
        <v:rect id="_x0000_i1026" style="width:523.3pt;height:1.9pt" o:hralign="center" o:hrstd="t" o:hr="t" fillcolor="#a0a0a0" stroked="f"/>
      </w:pict>
    </w:r>
    <w:r w:rsidR="00C64B9E" w:rsidRPr="00C64B9E">
      <w:rPr>
        <w:color w:val="001A70" w:themeColor="text2"/>
        <w:sz w:val="16"/>
      </w:rPr>
      <w:t>Medicare Benefits Schedule</w:t>
    </w:r>
  </w:p>
  <w:p w14:paraId="3FA03563" w14:textId="4A33DD55" w:rsidR="00C64B9E" w:rsidRPr="00C64B9E" w:rsidRDefault="006A45D8" w:rsidP="00C64B9E">
    <w:pPr>
      <w:tabs>
        <w:tab w:val="center" w:pos="4513"/>
        <w:tab w:val="right" w:pos="10466"/>
      </w:tabs>
      <w:spacing w:after="0" w:line="240" w:lineRule="auto"/>
      <w:rPr>
        <w:color w:val="001A70" w:themeColor="text2"/>
        <w:sz w:val="16"/>
      </w:rPr>
    </w:pPr>
    <w:r>
      <w:rPr>
        <w:b/>
        <w:color w:val="001A70" w:themeColor="text2"/>
        <w:sz w:val="16"/>
      </w:rPr>
      <w:t xml:space="preserve">New MBS item for </w:t>
    </w:r>
    <w:r w:rsidRPr="006A45D8">
      <w:rPr>
        <w:b/>
        <w:color w:val="001A70" w:themeColor="text2"/>
        <w:sz w:val="16"/>
      </w:rPr>
      <w:t>delivery of dual-filter cerebral embolic protection (CEP) system</w:t>
    </w:r>
    <w:r w:rsidR="00C64B9E" w:rsidRPr="00C64B9E">
      <w:rPr>
        <w:b/>
        <w:color w:val="001A70" w:themeColor="text2"/>
        <w:sz w:val="16"/>
      </w:rPr>
      <w:t xml:space="preserve"> –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A33ACB">
                  <w:rPr>
                    <w:bCs/>
                    <w:noProof/>
                    <w:color w:val="001A70" w:themeColor="text2"/>
                    <w:sz w:val="16"/>
                  </w:rPr>
                  <w:t>4</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A33ACB">
                  <w:rPr>
                    <w:bCs/>
                    <w:noProof/>
                    <w:color w:val="001A70" w:themeColor="text2"/>
                    <w:sz w:val="16"/>
                  </w:rPr>
                  <w:t>4</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14:paraId="002CEFC2" w14:textId="77777777" w:rsidR="00C64B9E" w:rsidRDefault="001E3E84"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56F6A251" w14:textId="0C9E7D2C" w:rsidR="005B7573" w:rsidRPr="005B7573" w:rsidRDefault="005B7573"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r w:rsidR="008705F8">
      <w:rPr>
        <w:color w:val="001A70" w:themeColor="text2"/>
        <w:sz w:val="16"/>
      </w:rPr>
      <w:t>12 May</w:t>
    </w:r>
    <w:r>
      <w:rPr>
        <w:color w:val="001A70" w:themeColor="text2"/>
        <w:sz w:val="16"/>
      </w:rPr>
      <w:t xml:space="preserve"> 20</w:t>
    </w:r>
    <w:bookmarkEnd w:id="3"/>
    <w:bookmarkEnd w:id="4"/>
    <w:r w:rsidR="00A9186B">
      <w:rPr>
        <w:color w:val="001A70" w:themeColor="text2"/>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51273" w14:textId="77777777" w:rsidR="005B5971" w:rsidRDefault="005B5971" w:rsidP="006D1088">
      <w:pPr>
        <w:spacing w:after="0" w:line="240" w:lineRule="auto"/>
      </w:pPr>
      <w:r>
        <w:separator/>
      </w:r>
    </w:p>
  </w:footnote>
  <w:footnote w:type="continuationSeparator" w:id="0">
    <w:p w14:paraId="43C901A5" w14:textId="77777777" w:rsidR="005B5971" w:rsidRDefault="005B597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22F4" w14:textId="77777777" w:rsidR="00897D38" w:rsidRDefault="00F472AE">
    <w:pPr>
      <w:pStyle w:val="Header"/>
    </w:pPr>
    <w:r w:rsidRPr="006D1088">
      <w:rPr>
        <w:noProof/>
        <w:lang w:eastAsia="en-AU"/>
      </w:rPr>
      <w:drawing>
        <wp:anchor distT="0" distB="0" distL="114300" distR="114300" simplePos="0" relativeHeight="251657728" behindDoc="1" locked="0" layoutInCell="1" allowOverlap="1" wp14:anchorId="5003E8E1" wp14:editId="5EDE506B">
          <wp:simplePos x="0" y="0"/>
          <wp:positionH relativeFrom="page">
            <wp:posOffset>-35626</wp:posOffset>
          </wp:positionH>
          <wp:positionV relativeFrom="paragraph">
            <wp:posOffset>-485206</wp:posOffset>
          </wp:positionV>
          <wp:extent cx="7642860" cy="1610995"/>
          <wp:effectExtent l="0" t="0" r="0"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A7438F6"/>
    <w:multiLevelType w:val="hybridMultilevel"/>
    <w:tmpl w:val="C7348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50"/>
    <w:multiLevelType w:val="hybridMultilevel"/>
    <w:tmpl w:val="24342C1A"/>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59064F"/>
    <w:multiLevelType w:val="hybridMultilevel"/>
    <w:tmpl w:val="5B32EBBC"/>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
  </w:num>
  <w:num w:numId="3">
    <w:abstractNumId w:val="6"/>
  </w:num>
  <w:num w:numId="4">
    <w:abstractNumId w:val="3"/>
  </w:num>
  <w:num w:numId="5">
    <w:abstractNumId w:val="5"/>
  </w:num>
  <w:num w:numId="6">
    <w:abstractNumId w:val="6"/>
  </w:num>
  <w:num w:numId="7">
    <w:abstractNumId w:val="0"/>
  </w:num>
  <w:num w:numId="8">
    <w:abstractNumId w:val="6"/>
  </w:num>
  <w:num w:numId="9">
    <w:abstractNumId w:val="3"/>
  </w:num>
  <w:num w:numId="10">
    <w:abstractNumId w:val="1"/>
  </w:num>
  <w:num w:numId="11">
    <w:abstractNumId w:val="6"/>
  </w:num>
  <w:num w:numId="12">
    <w:abstractNumId w:val="6"/>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AF"/>
    <w:rsid w:val="00017D5D"/>
    <w:rsid w:val="0003040F"/>
    <w:rsid w:val="00032635"/>
    <w:rsid w:val="00032AB6"/>
    <w:rsid w:val="00037F63"/>
    <w:rsid w:val="00075002"/>
    <w:rsid w:val="000A43C6"/>
    <w:rsid w:val="000A61BA"/>
    <w:rsid w:val="000B01AE"/>
    <w:rsid w:val="000B1C83"/>
    <w:rsid w:val="000C48FC"/>
    <w:rsid w:val="000D4DB0"/>
    <w:rsid w:val="000E79AE"/>
    <w:rsid w:val="000E7D2B"/>
    <w:rsid w:val="000F7967"/>
    <w:rsid w:val="00101643"/>
    <w:rsid w:val="00104996"/>
    <w:rsid w:val="0010760A"/>
    <w:rsid w:val="001336B7"/>
    <w:rsid w:val="00143450"/>
    <w:rsid w:val="001620B2"/>
    <w:rsid w:val="00167FB2"/>
    <w:rsid w:val="00181B52"/>
    <w:rsid w:val="0019610C"/>
    <w:rsid w:val="001A73A5"/>
    <w:rsid w:val="001B0B6B"/>
    <w:rsid w:val="001C39EA"/>
    <w:rsid w:val="001C3B15"/>
    <w:rsid w:val="001D7BC7"/>
    <w:rsid w:val="001E3873"/>
    <w:rsid w:val="001E3E84"/>
    <w:rsid w:val="001E4AAE"/>
    <w:rsid w:val="00215F3B"/>
    <w:rsid w:val="00225FE2"/>
    <w:rsid w:val="0023422D"/>
    <w:rsid w:val="002360FA"/>
    <w:rsid w:val="00237393"/>
    <w:rsid w:val="00237BE8"/>
    <w:rsid w:val="00240B49"/>
    <w:rsid w:val="00244C4C"/>
    <w:rsid w:val="002672AF"/>
    <w:rsid w:val="002746BB"/>
    <w:rsid w:val="0027565A"/>
    <w:rsid w:val="0029176A"/>
    <w:rsid w:val="00296DD0"/>
    <w:rsid w:val="002A3C7C"/>
    <w:rsid w:val="002D02F1"/>
    <w:rsid w:val="002D0C03"/>
    <w:rsid w:val="00322ACB"/>
    <w:rsid w:val="0033010A"/>
    <w:rsid w:val="00332D5E"/>
    <w:rsid w:val="0033632B"/>
    <w:rsid w:val="003370DF"/>
    <w:rsid w:val="00352321"/>
    <w:rsid w:val="00354816"/>
    <w:rsid w:val="00363A31"/>
    <w:rsid w:val="00372A70"/>
    <w:rsid w:val="003A7902"/>
    <w:rsid w:val="003B74B1"/>
    <w:rsid w:val="003D3DF9"/>
    <w:rsid w:val="003D5CEF"/>
    <w:rsid w:val="003E1487"/>
    <w:rsid w:val="003E5FE6"/>
    <w:rsid w:val="0040562E"/>
    <w:rsid w:val="0041360F"/>
    <w:rsid w:val="00432212"/>
    <w:rsid w:val="004327F7"/>
    <w:rsid w:val="00460734"/>
    <w:rsid w:val="00464E24"/>
    <w:rsid w:val="00466A32"/>
    <w:rsid w:val="00470DD5"/>
    <w:rsid w:val="004762A0"/>
    <w:rsid w:val="004775B0"/>
    <w:rsid w:val="00492DDB"/>
    <w:rsid w:val="00493BC3"/>
    <w:rsid w:val="004A36D7"/>
    <w:rsid w:val="004C11A8"/>
    <w:rsid w:val="004C1290"/>
    <w:rsid w:val="004F3704"/>
    <w:rsid w:val="00520161"/>
    <w:rsid w:val="00551374"/>
    <w:rsid w:val="005554F6"/>
    <w:rsid w:val="00562A42"/>
    <w:rsid w:val="005657CF"/>
    <w:rsid w:val="005721A7"/>
    <w:rsid w:val="00580391"/>
    <w:rsid w:val="005A119B"/>
    <w:rsid w:val="005A3E55"/>
    <w:rsid w:val="005B5971"/>
    <w:rsid w:val="005B7573"/>
    <w:rsid w:val="005F70A1"/>
    <w:rsid w:val="006054CC"/>
    <w:rsid w:val="00623477"/>
    <w:rsid w:val="00624353"/>
    <w:rsid w:val="00627DF5"/>
    <w:rsid w:val="00630329"/>
    <w:rsid w:val="0063440E"/>
    <w:rsid w:val="0064665C"/>
    <w:rsid w:val="00671AE2"/>
    <w:rsid w:val="00681667"/>
    <w:rsid w:val="006862BA"/>
    <w:rsid w:val="006A2FD2"/>
    <w:rsid w:val="006A45D8"/>
    <w:rsid w:val="006A71D3"/>
    <w:rsid w:val="006B2891"/>
    <w:rsid w:val="006B4FEA"/>
    <w:rsid w:val="006B6DD9"/>
    <w:rsid w:val="006B7DD6"/>
    <w:rsid w:val="006C5021"/>
    <w:rsid w:val="006D1088"/>
    <w:rsid w:val="006D50A4"/>
    <w:rsid w:val="006F5785"/>
    <w:rsid w:val="007020BF"/>
    <w:rsid w:val="00712091"/>
    <w:rsid w:val="00712F33"/>
    <w:rsid w:val="00721396"/>
    <w:rsid w:val="00723C6B"/>
    <w:rsid w:val="0073257C"/>
    <w:rsid w:val="00736D31"/>
    <w:rsid w:val="00763E5B"/>
    <w:rsid w:val="00764AC7"/>
    <w:rsid w:val="00774C9D"/>
    <w:rsid w:val="00780EF8"/>
    <w:rsid w:val="007A232E"/>
    <w:rsid w:val="007B0B03"/>
    <w:rsid w:val="007C304E"/>
    <w:rsid w:val="007C343E"/>
    <w:rsid w:val="007F1B86"/>
    <w:rsid w:val="007F463D"/>
    <w:rsid w:val="0080635A"/>
    <w:rsid w:val="0080749C"/>
    <w:rsid w:val="00814AE2"/>
    <w:rsid w:val="00820EBE"/>
    <w:rsid w:val="00821361"/>
    <w:rsid w:val="00852651"/>
    <w:rsid w:val="008629C0"/>
    <w:rsid w:val="0086479D"/>
    <w:rsid w:val="008705F8"/>
    <w:rsid w:val="00884022"/>
    <w:rsid w:val="00897D38"/>
    <w:rsid w:val="008A1973"/>
    <w:rsid w:val="008A63DB"/>
    <w:rsid w:val="008A71B5"/>
    <w:rsid w:val="008A72FC"/>
    <w:rsid w:val="008B049A"/>
    <w:rsid w:val="008C370C"/>
    <w:rsid w:val="008C667D"/>
    <w:rsid w:val="008E41BF"/>
    <w:rsid w:val="008E48B0"/>
    <w:rsid w:val="00906169"/>
    <w:rsid w:val="00911BCA"/>
    <w:rsid w:val="009342F2"/>
    <w:rsid w:val="009462DC"/>
    <w:rsid w:val="00952A5A"/>
    <w:rsid w:val="0098108D"/>
    <w:rsid w:val="00993FAA"/>
    <w:rsid w:val="009A4B09"/>
    <w:rsid w:val="009A4D5D"/>
    <w:rsid w:val="009A6797"/>
    <w:rsid w:val="009C2A72"/>
    <w:rsid w:val="009C49FB"/>
    <w:rsid w:val="009E7FAC"/>
    <w:rsid w:val="009F71F9"/>
    <w:rsid w:val="009F766C"/>
    <w:rsid w:val="00A040C1"/>
    <w:rsid w:val="00A077B4"/>
    <w:rsid w:val="00A12B19"/>
    <w:rsid w:val="00A33ACB"/>
    <w:rsid w:val="00A44582"/>
    <w:rsid w:val="00A44E96"/>
    <w:rsid w:val="00A730D4"/>
    <w:rsid w:val="00A80234"/>
    <w:rsid w:val="00A9186B"/>
    <w:rsid w:val="00AB2425"/>
    <w:rsid w:val="00AC679F"/>
    <w:rsid w:val="00AD2B10"/>
    <w:rsid w:val="00AD2DB9"/>
    <w:rsid w:val="00AD581A"/>
    <w:rsid w:val="00AE0000"/>
    <w:rsid w:val="00AE0D93"/>
    <w:rsid w:val="00B23A4C"/>
    <w:rsid w:val="00B3107B"/>
    <w:rsid w:val="00B31C3E"/>
    <w:rsid w:val="00B344DF"/>
    <w:rsid w:val="00B472BF"/>
    <w:rsid w:val="00B515EC"/>
    <w:rsid w:val="00B623B0"/>
    <w:rsid w:val="00B63FB9"/>
    <w:rsid w:val="00B70DD3"/>
    <w:rsid w:val="00B94559"/>
    <w:rsid w:val="00BA657E"/>
    <w:rsid w:val="00BB3047"/>
    <w:rsid w:val="00BB30BB"/>
    <w:rsid w:val="00BC4E46"/>
    <w:rsid w:val="00BF50B7"/>
    <w:rsid w:val="00C060D4"/>
    <w:rsid w:val="00C07653"/>
    <w:rsid w:val="00C13B16"/>
    <w:rsid w:val="00C208FC"/>
    <w:rsid w:val="00C33A20"/>
    <w:rsid w:val="00C50A47"/>
    <w:rsid w:val="00C64B9E"/>
    <w:rsid w:val="00C675F4"/>
    <w:rsid w:val="00C72C2D"/>
    <w:rsid w:val="00C8223A"/>
    <w:rsid w:val="00C831ED"/>
    <w:rsid w:val="00C86856"/>
    <w:rsid w:val="00CA743D"/>
    <w:rsid w:val="00CB3D7E"/>
    <w:rsid w:val="00CC0950"/>
    <w:rsid w:val="00CC5E4C"/>
    <w:rsid w:val="00D24276"/>
    <w:rsid w:val="00D25C43"/>
    <w:rsid w:val="00D30B91"/>
    <w:rsid w:val="00D33A0D"/>
    <w:rsid w:val="00D37AB6"/>
    <w:rsid w:val="00D37FD2"/>
    <w:rsid w:val="00D42F58"/>
    <w:rsid w:val="00D46BFF"/>
    <w:rsid w:val="00D640CC"/>
    <w:rsid w:val="00D76659"/>
    <w:rsid w:val="00DA0EDD"/>
    <w:rsid w:val="00DA6D06"/>
    <w:rsid w:val="00DB1343"/>
    <w:rsid w:val="00DB1A46"/>
    <w:rsid w:val="00DC19A2"/>
    <w:rsid w:val="00DD3E9E"/>
    <w:rsid w:val="00DE22E2"/>
    <w:rsid w:val="00DF283A"/>
    <w:rsid w:val="00E00453"/>
    <w:rsid w:val="00E024D9"/>
    <w:rsid w:val="00E0254C"/>
    <w:rsid w:val="00E100BC"/>
    <w:rsid w:val="00E14F58"/>
    <w:rsid w:val="00E401CE"/>
    <w:rsid w:val="00E5400F"/>
    <w:rsid w:val="00E60F91"/>
    <w:rsid w:val="00E62E58"/>
    <w:rsid w:val="00E72DAF"/>
    <w:rsid w:val="00E82EE1"/>
    <w:rsid w:val="00E84A7F"/>
    <w:rsid w:val="00E86B6A"/>
    <w:rsid w:val="00E926FF"/>
    <w:rsid w:val="00E95C64"/>
    <w:rsid w:val="00EC11A0"/>
    <w:rsid w:val="00EF7676"/>
    <w:rsid w:val="00F074CE"/>
    <w:rsid w:val="00F11625"/>
    <w:rsid w:val="00F333A7"/>
    <w:rsid w:val="00F33706"/>
    <w:rsid w:val="00F34CC4"/>
    <w:rsid w:val="00F37C06"/>
    <w:rsid w:val="00F46D9B"/>
    <w:rsid w:val="00F472AE"/>
    <w:rsid w:val="00F54658"/>
    <w:rsid w:val="00F8662A"/>
    <w:rsid w:val="00FB766F"/>
    <w:rsid w:val="00FC3284"/>
    <w:rsid w:val="00FC7546"/>
    <w:rsid w:val="00FD389F"/>
    <w:rsid w:val="00FE5BD6"/>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6B7A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CC0950"/>
    <w:pPr>
      <w:spacing w:before="240" w:after="120" w:line="276" w:lineRule="auto"/>
      <w:outlineLvl w:val="1"/>
    </w:pPr>
    <w:rPr>
      <w:b/>
      <w:bCs/>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34"/>
    <w:qFormat/>
    <w:rsid w:val="00852651"/>
    <w:pPr>
      <w:numPr>
        <w:numId w:val="2"/>
      </w:numPr>
      <w:spacing w:after="60"/>
    </w:pPr>
  </w:style>
  <w:style w:type="character" w:customStyle="1" w:styleId="Heading2Char">
    <w:name w:val="Heading 2 Char"/>
    <w:basedOn w:val="DefaultParagraphFont"/>
    <w:link w:val="Heading2"/>
    <w:rsid w:val="00CC0950"/>
    <w:rPr>
      <w:rFonts w:ascii="Arial" w:eastAsiaTheme="minorEastAsia" w:hAnsi="Arial"/>
      <w:b/>
      <w:bCs/>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A4D5D"/>
    <w:pPr>
      <w:numPr>
        <w:numId w:val="3"/>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9C2A72"/>
    <w:pPr>
      <w:spacing w:before="60" w:after="0" w:line="240" w:lineRule="atLeast"/>
    </w:pPr>
    <w:rPr>
      <w:rFonts w:ascii="Times New Roman" w:eastAsia="Times New Roman" w:hAnsi="Times New Roman" w:cs="Times New Roman"/>
      <w:szCs w:val="20"/>
      <w:lang w:eastAsia="en-AU"/>
    </w:rPr>
  </w:style>
  <w:style w:type="paragraph" w:customStyle="1" w:styleId="CTA4a">
    <w:name w:val="CTA 4(a)"/>
    <w:basedOn w:val="Normal"/>
    <w:rsid w:val="000F7967"/>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864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31163477">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hyperlink" Target="mailto:PHI@health.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au.mimecast.com/s/Mx3bCxngGVH9J8zcvfYJU?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diacservices@health.gov.au" TargetMode="External"/><Relationship Id="rId5" Type="http://schemas.openxmlformats.org/officeDocument/2006/relationships/footnotes" Target="footnotes.xml"/><Relationship Id="rId15" Type="http://schemas.openxmlformats.org/officeDocument/2006/relationships/hyperlink" Target="https://protect-au.mimecast.com/s/YGuBCWLVnwSNGEDUxwHa2?domain=mbsonline.gov.a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ervicesaustralia.gov.au/health-professionals-contact-information?context=6009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4828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2022-04-28T01:29:00Z</dcterms:created>
  <dcterms:modified xsi:type="dcterms:W3CDTF">2022-05-27T03:59:00Z</dcterms:modified>
</cp:coreProperties>
</file>