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E01479D" w:rsidR="00BA2732" w:rsidRDefault="00C45692" w:rsidP="003D033A">
      <w:pPr>
        <w:pStyle w:val="Title"/>
      </w:pPr>
      <w:r>
        <w:rPr>
          <w:rFonts w:cs="Arial"/>
        </w:rPr>
        <w:t>Diagnostic Imaging</w:t>
      </w:r>
      <w:r w:rsidR="00436C0E">
        <w:rPr>
          <w:rFonts w:cs="Arial"/>
        </w:rPr>
        <w:t xml:space="preserve"> Services Table</w:t>
      </w:r>
      <w:r w:rsidR="008E6894">
        <w:rPr>
          <w:rFonts w:cs="Arial"/>
        </w:rPr>
        <w:t xml:space="preserve"> </w:t>
      </w:r>
      <w:r w:rsidR="00436C0E">
        <w:rPr>
          <w:rFonts w:cs="Arial"/>
        </w:rPr>
        <w:t>–</w:t>
      </w:r>
      <w:r>
        <w:rPr>
          <w:rFonts w:cs="Arial"/>
        </w:rPr>
        <w:t xml:space="preserve"> </w:t>
      </w:r>
      <w:r w:rsidR="00436C0E">
        <w:rPr>
          <w:rFonts w:cs="Arial"/>
        </w:rPr>
        <w:t>Changes commencing</w:t>
      </w:r>
      <w:r w:rsidR="00BD6B85">
        <w:rPr>
          <w:rFonts w:cs="Arial"/>
        </w:rPr>
        <w:t xml:space="preserve"> from 1 July 2023</w:t>
      </w:r>
    </w:p>
    <w:p w14:paraId="0640D06F" w14:textId="26FD97E5" w:rsidR="00064168" w:rsidRPr="00463472" w:rsidRDefault="00064168" w:rsidP="00463472">
      <w:bookmarkStart w:id="0" w:name="_Hlk4568006"/>
      <w:r w:rsidRPr="00867595">
        <w:t xml:space="preserve">Last updated: </w:t>
      </w:r>
      <w:r w:rsidR="00C77E05">
        <w:t>2</w:t>
      </w:r>
      <w:r w:rsidR="00E93132">
        <w:t>6</w:t>
      </w:r>
      <w:r w:rsidR="00C77E05">
        <w:t xml:space="preserve"> April</w:t>
      </w:r>
      <w:r w:rsidR="00385E5F" w:rsidRPr="000D703E">
        <w:t xml:space="preserve"> </w:t>
      </w:r>
      <w:r w:rsidR="00C45692" w:rsidRPr="000D703E">
        <w:t>2023</w:t>
      </w:r>
      <w:bookmarkStart w:id="1" w:name="_Hlk535506978"/>
      <w:bookmarkEnd w:id="0"/>
    </w:p>
    <w:p w14:paraId="63BB7E87" w14:textId="25390C05" w:rsidR="00145595" w:rsidRPr="00145595" w:rsidRDefault="00463472" w:rsidP="006F5073">
      <w:pPr>
        <w:pStyle w:val="ListBullet"/>
        <w:rPr>
          <w:color w:val="FF0000"/>
        </w:rPr>
      </w:pPr>
      <w:r>
        <w:t xml:space="preserve">There </w:t>
      </w:r>
      <w:r w:rsidR="00145595">
        <w:t>are several</w:t>
      </w:r>
      <w:r>
        <w:t xml:space="preserve"> changes </w:t>
      </w:r>
      <w:r w:rsidR="003F78AB">
        <w:t xml:space="preserve">commencing from 1 July 2023 </w:t>
      </w:r>
      <w:r>
        <w:t>relating to diagnostic imaging services</w:t>
      </w:r>
      <w:r w:rsidR="003F78AB">
        <w:t xml:space="preserve"> listed on the Medicare Benefits Schedule (MBS)</w:t>
      </w:r>
      <w:r>
        <w:t>. This include</w:t>
      </w:r>
      <w:r w:rsidR="00145595">
        <w:t>s</w:t>
      </w:r>
      <w:r>
        <w:t xml:space="preserve"> new and amended listings </w:t>
      </w:r>
      <w:r w:rsidR="00BD6B85">
        <w:t>relating to magnetic resonance imaging (MRI) of the liver and diagnostic nuclear medicine services.</w:t>
      </w:r>
    </w:p>
    <w:p w14:paraId="153079D0" w14:textId="52DA0E85" w:rsidR="00463472" w:rsidRPr="004E3A84" w:rsidRDefault="00463472" w:rsidP="006F5073">
      <w:pPr>
        <w:pStyle w:val="ListBullet"/>
        <w:rPr>
          <w:color w:val="FF0000"/>
        </w:rPr>
      </w:pPr>
      <w:r>
        <w:t>These changes affect all health professionals who request</w:t>
      </w:r>
      <w:r w:rsidR="00145595">
        <w:t xml:space="preserve"> and provide</w:t>
      </w:r>
      <w:r w:rsidR="0008606F">
        <w:t xml:space="preserve"> these</w:t>
      </w:r>
      <w:r>
        <w:t xml:space="preserve"> services, as well as consumers who receive the service, private health insurers and hospitals</w:t>
      </w:r>
      <w:r w:rsidR="00145595">
        <w:t>.</w:t>
      </w:r>
    </w:p>
    <w:bookmarkEnd w:id="1"/>
    <w:p w14:paraId="44460BF5" w14:textId="77777777" w:rsidR="00064168" w:rsidRPr="00867595" w:rsidRDefault="00064168" w:rsidP="00064168">
      <w:pPr>
        <w:pStyle w:val="Heading2"/>
      </w:pPr>
      <w:r w:rsidRPr="00867595">
        <w:t>What are the changes?</w:t>
      </w:r>
    </w:p>
    <w:p w14:paraId="67158D87" w14:textId="6CA9F5EF" w:rsidR="006C28D6" w:rsidRDefault="00064168" w:rsidP="006C28D6">
      <w:pPr>
        <w:rPr>
          <w:szCs w:val="22"/>
        </w:rPr>
      </w:pPr>
      <w:r w:rsidRPr="00867595">
        <w:rPr>
          <w:szCs w:val="22"/>
        </w:rPr>
        <w:t xml:space="preserve">Effective </w:t>
      </w:r>
      <w:r w:rsidR="006C28D6">
        <w:rPr>
          <w:szCs w:val="22"/>
        </w:rPr>
        <w:t>1 July 2023</w:t>
      </w:r>
      <w:r w:rsidR="00BD6B85">
        <w:rPr>
          <w:szCs w:val="22"/>
        </w:rPr>
        <w:t>,</w:t>
      </w:r>
      <w:r w:rsidR="006C28D6">
        <w:rPr>
          <w:szCs w:val="22"/>
        </w:rPr>
        <w:t xml:space="preserve"> changes to the Diagnostic Imaging Services Table include:</w:t>
      </w:r>
    </w:p>
    <w:p w14:paraId="24EBBE9A" w14:textId="3D248895" w:rsidR="006C28D6" w:rsidRPr="00C77E05" w:rsidRDefault="006C28D6" w:rsidP="006C28D6">
      <w:pPr>
        <w:pStyle w:val="ListBullet"/>
      </w:pPr>
      <w:r>
        <w:t xml:space="preserve">Clarification that item </w:t>
      </w:r>
      <w:r w:rsidRPr="006C28D6">
        <w:t>63545 is available on the MBS for MRI of the liver for patients with any oncological indication with suspected hepatic metastases, other than hepatocellular carcinoma.</w:t>
      </w:r>
      <w:r>
        <w:t xml:space="preserve"> The amendment is to </w:t>
      </w:r>
      <w:proofErr w:type="gramStart"/>
      <w:r>
        <w:t xml:space="preserve">more clearly define the item </w:t>
      </w:r>
      <w:r>
        <w:rPr>
          <w:rFonts w:cs="Arial"/>
        </w:rPr>
        <w:t>and remove ambiguity</w:t>
      </w:r>
      <w:proofErr w:type="gramEnd"/>
      <w:r w:rsidRPr="0097525A">
        <w:rPr>
          <w:rFonts w:cs="Arial"/>
        </w:rPr>
        <w:t>.</w:t>
      </w:r>
      <w:r w:rsidR="00BD6B85">
        <w:rPr>
          <w:rFonts w:cs="Arial"/>
        </w:rPr>
        <w:t xml:space="preserve"> </w:t>
      </w:r>
      <w:r w:rsidR="00BD6B85" w:rsidRPr="00C77E05">
        <w:rPr>
          <w:rFonts w:cs="Arial"/>
        </w:rPr>
        <w:t>There are no changes to the intent of the item.</w:t>
      </w:r>
    </w:p>
    <w:p w14:paraId="1D48352C" w14:textId="2684F4DD" w:rsidR="003F78AB" w:rsidRPr="00C77E05" w:rsidRDefault="003F78AB" w:rsidP="003F78AB">
      <w:pPr>
        <w:pStyle w:val="ListBullet"/>
      </w:pPr>
      <w:r w:rsidRPr="00C77E05">
        <w:t xml:space="preserve">Introduction of item 61466 for </w:t>
      </w:r>
      <w:proofErr w:type="spellStart"/>
      <w:r w:rsidRPr="00C77E05">
        <w:t>cerebro</w:t>
      </w:r>
      <w:proofErr w:type="spellEnd"/>
      <w:r w:rsidRPr="00C77E05">
        <w:t>-spinal fluid transport studies performed using indium-11</w:t>
      </w:r>
      <w:r w:rsidR="00AC4E52" w:rsidRPr="00C77E05">
        <w:t>1</w:t>
      </w:r>
      <w:r w:rsidRPr="00C77E05">
        <w:t>. The schedule fee for this item reflects the higher cost of this radiopharmaceutical.</w:t>
      </w:r>
    </w:p>
    <w:p w14:paraId="3FA8525F" w14:textId="584EAE7D" w:rsidR="006C28D6" w:rsidRPr="00C77E05" w:rsidRDefault="00DA40D3" w:rsidP="006C28D6">
      <w:pPr>
        <w:pStyle w:val="ListBullet"/>
      </w:pPr>
      <w:r w:rsidRPr="00C77E05">
        <w:t>Amendment to item 61409 to specify that the radioisotope used for this service must be technetium-99m.</w:t>
      </w:r>
      <w:r w:rsidR="00094065" w:rsidRPr="00C77E05">
        <w:t xml:space="preserve"> Previously services under item 61409 for </w:t>
      </w:r>
      <w:proofErr w:type="spellStart"/>
      <w:r w:rsidR="00094065" w:rsidRPr="00C77E05">
        <w:t>cerebro</w:t>
      </w:r>
      <w:proofErr w:type="spellEnd"/>
      <w:r w:rsidR="00094065" w:rsidRPr="00C77E05">
        <w:t xml:space="preserve">-spinal fluid transport studies may be performed using </w:t>
      </w:r>
      <w:r w:rsidR="00BD6B85" w:rsidRPr="00C77E05">
        <w:t>any radiopharmaceutical</w:t>
      </w:r>
      <w:r w:rsidR="00094065" w:rsidRPr="00C77E05">
        <w:t>.</w:t>
      </w:r>
    </w:p>
    <w:p w14:paraId="5D88D1D7" w14:textId="5C611E1B" w:rsidR="00385E5F" w:rsidRPr="00C77E05" w:rsidRDefault="005661BB" w:rsidP="005661BB">
      <w:pPr>
        <w:pStyle w:val="ListBullet"/>
      </w:pPr>
      <w:r w:rsidRPr="00C77E05">
        <w:t>Extension of</w:t>
      </w:r>
      <w:r w:rsidR="00CA37FA" w:rsidRPr="00C77E05">
        <w:t xml:space="preserve"> item </w:t>
      </w:r>
      <w:r w:rsidR="00385E5F" w:rsidRPr="00C77E05">
        <w:t>61477</w:t>
      </w:r>
      <w:r w:rsidR="00CA37FA" w:rsidRPr="00C77E05">
        <w:t xml:space="preserve"> </w:t>
      </w:r>
      <w:r w:rsidRPr="00C77E05">
        <w:t xml:space="preserve">for a further 12 months from 1 July 2023 until 30 June 2024. There are no other changes to the use of this item. See </w:t>
      </w:r>
      <w:r w:rsidR="00127B11" w:rsidRPr="00C77E05">
        <w:t xml:space="preserve">the original </w:t>
      </w:r>
      <w:r w:rsidRPr="00C77E05">
        <w:t xml:space="preserve">factsheet </w:t>
      </w:r>
      <w:hyperlink r:id="rId11" w:history="1">
        <w:r w:rsidRPr="00C77E05">
          <w:rPr>
            <w:rStyle w:val="Hyperlink"/>
          </w:rPr>
          <w:t>Gallium-67 – New temporary diagnostic imaging MBS item</w:t>
        </w:r>
      </w:hyperlink>
      <w:r w:rsidRPr="00C77E05">
        <w:t xml:space="preserve"> for more detailed information regarding</w:t>
      </w:r>
      <w:r w:rsidR="003F78AB" w:rsidRPr="00C77E05">
        <w:t xml:space="preserve"> </w:t>
      </w:r>
      <w:r w:rsidRPr="00C77E05">
        <w:t>th</w:t>
      </w:r>
      <w:r w:rsidR="003E2A2A" w:rsidRPr="00C77E05">
        <w:t>is</w:t>
      </w:r>
      <w:r w:rsidRPr="00C77E05">
        <w:t xml:space="preserve"> item. </w:t>
      </w:r>
    </w:p>
    <w:p w14:paraId="3341A0DC" w14:textId="321B3F0E" w:rsidR="003F78AB" w:rsidRPr="00C77E05" w:rsidRDefault="003F78AB" w:rsidP="003F78AB">
      <w:pPr>
        <w:pStyle w:val="ListBullet"/>
      </w:pPr>
      <w:r w:rsidRPr="00C77E05">
        <w:t>Introduction of temporary item 61470 from 1 July 2023 until 30 June 2024 to offset recent significant increases in the cost of the radiopharmaceutical thallium</w:t>
      </w:r>
      <w:r w:rsidRPr="00C77E05">
        <w:noBreakHyphen/>
        <w:t>201.</w:t>
      </w:r>
    </w:p>
    <w:p w14:paraId="2D3D339B" w14:textId="1C086C55" w:rsidR="00385E5F" w:rsidRPr="00C77E05" w:rsidRDefault="00385E5F" w:rsidP="006259B7">
      <w:pPr>
        <w:pStyle w:val="ListBullet"/>
      </w:pPr>
      <w:r w:rsidRPr="00C77E05">
        <w:t xml:space="preserve">Amendment </w:t>
      </w:r>
      <w:r w:rsidR="005661BB" w:rsidRPr="00C77E05">
        <w:t xml:space="preserve">to item </w:t>
      </w:r>
      <w:r w:rsidRPr="00C77E05">
        <w:t>61644</w:t>
      </w:r>
      <w:r w:rsidR="005661BB" w:rsidRPr="00C77E05">
        <w:t xml:space="preserve"> to make it available on the MBS on an ongoing basis. </w:t>
      </w:r>
      <w:r w:rsidR="00127B11" w:rsidRPr="00C77E05">
        <w:t xml:space="preserve">The factsheet </w:t>
      </w:r>
      <w:hyperlink r:id="rId12" w:history="1">
        <w:r w:rsidR="00127B11" w:rsidRPr="00C77E05">
          <w:rPr>
            <w:rStyle w:val="Hyperlink"/>
          </w:rPr>
          <w:t>Substitute positron emission tomography (PET) item for use during thallium-201 supply shortage</w:t>
        </w:r>
      </w:hyperlink>
      <w:r w:rsidR="00127B11" w:rsidRPr="00C77E05">
        <w:t xml:space="preserve"> contains more information about the use of this item. </w:t>
      </w:r>
    </w:p>
    <w:p w14:paraId="42BD5171" w14:textId="77777777" w:rsidR="00064168" w:rsidRDefault="00064168" w:rsidP="00064168">
      <w:pPr>
        <w:pStyle w:val="Heading2"/>
      </w:pPr>
      <w:r>
        <w:lastRenderedPageBreak/>
        <w:t>Why are the changes being made?</w:t>
      </w:r>
    </w:p>
    <w:p w14:paraId="206BAA7D" w14:textId="7D91DC97" w:rsidR="003F78AB" w:rsidRDefault="003F78AB" w:rsidP="00094065">
      <w:pPr>
        <w:rPr>
          <w:szCs w:val="22"/>
        </w:rPr>
      </w:pPr>
      <w:r w:rsidRPr="003F78AB">
        <w:rPr>
          <w:szCs w:val="22"/>
        </w:rPr>
        <w:t xml:space="preserve">The changes are being made to ensure that </w:t>
      </w:r>
      <w:r>
        <w:rPr>
          <w:szCs w:val="22"/>
        </w:rPr>
        <w:t>diagnostic imaging</w:t>
      </w:r>
      <w:r w:rsidRPr="003F78AB">
        <w:rPr>
          <w:szCs w:val="22"/>
        </w:rPr>
        <w:t xml:space="preserve"> services provided under Medicare are up to date and support ongoing patient access.</w:t>
      </w:r>
    </w:p>
    <w:p w14:paraId="5A725F03" w14:textId="70DAFA1D" w:rsidR="00AE4C88" w:rsidRDefault="00AE4C88" w:rsidP="00BA451C">
      <w:pPr>
        <w:pStyle w:val="TableTitle"/>
      </w:pPr>
      <w:r>
        <w:t xml:space="preserve">Amendment </w:t>
      </w:r>
      <w:r w:rsidR="002E44BA">
        <w:t>to</w:t>
      </w:r>
      <w:r>
        <w:t xml:space="preserve"> item 63545</w:t>
      </w:r>
    </w:p>
    <w:p w14:paraId="2CA2989F" w14:textId="5A4ED6E6" w:rsidR="00094065" w:rsidRPr="00094065" w:rsidRDefault="00094065" w:rsidP="00094065">
      <w:pPr>
        <w:rPr>
          <w:szCs w:val="22"/>
        </w:rPr>
      </w:pPr>
      <w:r>
        <w:rPr>
          <w:szCs w:val="22"/>
        </w:rPr>
        <w:t>MBS i</w:t>
      </w:r>
      <w:r w:rsidRPr="00094065">
        <w:rPr>
          <w:szCs w:val="22"/>
        </w:rPr>
        <w:t xml:space="preserve">tem 63545 was amended on 1 November 2022 to implement a recommendation from </w:t>
      </w:r>
      <w:r w:rsidR="00BD6B85">
        <w:rPr>
          <w:szCs w:val="22"/>
        </w:rPr>
        <w:t>the Medical Services Advisory Committee (</w:t>
      </w:r>
      <w:r w:rsidRPr="00094065">
        <w:rPr>
          <w:szCs w:val="22"/>
        </w:rPr>
        <w:t>MSAC</w:t>
      </w:r>
      <w:r w:rsidR="00BD6B85">
        <w:rPr>
          <w:szCs w:val="22"/>
        </w:rPr>
        <w:t>)</w:t>
      </w:r>
      <w:r w:rsidR="0008606F">
        <w:rPr>
          <w:szCs w:val="22"/>
        </w:rPr>
        <w:t xml:space="preserve"> </w:t>
      </w:r>
      <w:r w:rsidRPr="00094065">
        <w:rPr>
          <w:szCs w:val="22"/>
        </w:rPr>
        <w:t>to allow access to MRI of the liver for patients with any oncological indication with suspected hepatic metastases.</w:t>
      </w:r>
    </w:p>
    <w:p w14:paraId="1476C0C7" w14:textId="586F3AC1" w:rsidR="00094065" w:rsidRDefault="00094065" w:rsidP="00094065">
      <w:pPr>
        <w:rPr>
          <w:szCs w:val="22"/>
        </w:rPr>
      </w:pPr>
      <w:r w:rsidRPr="00094065">
        <w:rPr>
          <w:szCs w:val="22"/>
        </w:rPr>
        <w:t xml:space="preserve">Following the implementation of the change to </w:t>
      </w:r>
      <w:r w:rsidR="0008606F">
        <w:rPr>
          <w:szCs w:val="22"/>
        </w:rPr>
        <w:t>i</w:t>
      </w:r>
      <w:r w:rsidRPr="00094065">
        <w:rPr>
          <w:szCs w:val="22"/>
        </w:rPr>
        <w:t xml:space="preserve">tem 63545 there have been a range of views presented on the appropriate use of this service. The Department has reviewed the amended item descriptor and sought expert advice from stakeholders to further amend </w:t>
      </w:r>
      <w:r w:rsidR="00E36713">
        <w:rPr>
          <w:szCs w:val="22"/>
        </w:rPr>
        <w:t>i</w:t>
      </w:r>
      <w:r w:rsidRPr="00094065">
        <w:rPr>
          <w:szCs w:val="22"/>
        </w:rPr>
        <w:t>tem 63545 from 1 July 2023 to provide clarity on the appropriate use of this item.</w:t>
      </w:r>
    </w:p>
    <w:p w14:paraId="3638ED1A" w14:textId="77777777" w:rsidR="00AE4C88" w:rsidRDefault="00AE4C88" w:rsidP="00AE4C88">
      <w:pPr>
        <w:pStyle w:val="TableTitle"/>
      </w:pPr>
      <w:r>
        <w:t>Changes to diagnostic nuclear medicine items</w:t>
      </w:r>
    </w:p>
    <w:p w14:paraId="195F49F3" w14:textId="65DA42EB" w:rsidR="00AE4C88" w:rsidRDefault="00343B60" w:rsidP="00094065">
      <w:r>
        <w:t>The MBS Review Taskforce recommended that the schedule fee for item 61409 be increased so that the fee adequately covers the cost of the radiopharmaceutical used in the scan. The Taskforce noted that the approved agent for this purpose is indium-11</w:t>
      </w:r>
      <w:r w:rsidR="00DA7FC8">
        <w:t>1</w:t>
      </w:r>
      <w:r w:rsidR="00291BEB">
        <w:t xml:space="preserve"> DTPA</w:t>
      </w:r>
      <w:r>
        <w:t>.</w:t>
      </w:r>
    </w:p>
    <w:p w14:paraId="6D6D1C71" w14:textId="01461FE5" w:rsidR="00291BEB" w:rsidRDefault="00343B60" w:rsidP="00094065">
      <w:r>
        <w:t xml:space="preserve">During consultation with the sector, it was identified that item 61409 can be undertaken </w:t>
      </w:r>
      <w:r w:rsidR="00291BEB">
        <w:t>using</w:t>
      </w:r>
      <w:r>
        <w:t xml:space="preserve"> indium-11</w:t>
      </w:r>
      <w:r w:rsidR="00DA7FC8">
        <w:t>1</w:t>
      </w:r>
      <w:r>
        <w:t xml:space="preserve"> or technetium-99m and that the choice of radiopharmaceutical is based on the patient’s clinical requirements. Indium-111 has a significantly higher cost than technetium</w:t>
      </w:r>
      <w:r w:rsidR="00AE4C88">
        <w:noBreakHyphen/>
      </w:r>
      <w:r>
        <w:t>99m. As a result, the department is</w:t>
      </w:r>
      <w:r w:rsidR="00291BEB">
        <w:t>:</w:t>
      </w:r>
    </w:p>
    <w:p w14:paraId="45000ED9" w14:textId="7EAA029D" w:rsidR="00291BEB" w:rsidRPr="007F5F0B" w:rsidRDefault="00343B60" w:rsidP="00291BEB">
      <w:pPr>
        <w:pStyle w:val="ListParagraph"/>
        <w:numPr>
          <w:ilvl w:val="0"/>
          <w:numId w:val="30"/>
        </w:numPr>
        <w:rPr>
          <w:rFonts w:ascii="Calibri" w:hAnsi="Calibri"/>
          <w:color w:val="auto"/>
          <w:szCs w:val="22"/>
        </w:rPr>
      </w:pPr>
      <w:r>
        <w:t>amending item 61409 to specify the radioisotope used as technetium-99m</w:t>
      </w:r>
      <w:r w:rsidR="00291BEB">
        <w:t>;</w:t>
      </w:r>
      <w:r>
        <w:t xml:space="preserve"> and </w:t>
      </w:r>
    </w:p>
    <w:p w14:paraId="1F3CFBD0" w14:textId="0F405009" w:rsidR="00386C1E" w:rsidRPr="003F78AB" w:rsidRDefault="00343B60" w:rsidP="00386C1E">
      <w:pPr>
        <w:pStyle w:val="ListParagraph"/>
        <w:numPr>
          <w:ilvl w:val="0"/>
          <w:numId w:val="30"/>
        </w:numPr>
        <w:rPr>
          <w:rFonts w:ascii="Calibri" w:hAnsi="Calibri"/>
          <w:color w:val="auto"/>
          <w:szCs w:val="22"/>
        </w:rPr>
      </w:pPr>
      <w:r>
        <w:t>introducing a new item which mirrors item 61409</w:t>
      </w:r>
      <w:r w:rsidR="00291BEB">
        <w:t>,</w:t>
      </w:r>
      <w:r>
        <w:t xml:space="preserve"> except that it</w:t>
      </w:r>
      <w:r w:rsidR="00291BEB">
        <w:t xml:space="preserve"> is for services using</w:t>
      </w:r>
      <w:r w:rsidR="008E6894">
        <w:t xml:space="preserve"> </w:t>
      </w:r>
      <w:r>
        <w:t xml:space="preserve">indium-111 and has a higher schedule fee to </w:t>
      </w:r>
      <w:r w:rsidR="00291BEB">
        <w:t>reflect the higher cost of ind</w:t>
      </w:r>
      <w:r w:rsidR="002E44BA">
        <w:t>i</w:t>
      </w:r>
      <w:r w:rsidR="00291BEB">
        <w:t>um-111.</w:t>
      </w:r>
    </w:p>
    <w:p w14:paraId="4342FB28" w14:textId="20328A33" w:rsidR="002E4E21" w:rsidRPr="003F78AB" w:rsidRDefault="002E4E21" w:rsidP="00AE4C88">
      <w:pPr>
        <w:rPr>
          <w:rFonts w:cs="Arial"/>
          <w:color w:val="auto"/>
          <w:szCs w:val="22"/>
        </w:rPr>
      </w:pPr>
      <w:r w:rsidRPr="003F78AB">
        <w:rPr>
          <w:rFonts w:cs="Arial"/>
          <w:color w:val="auto"/>
          <w:szCs w:val="22"/>
        </w:rPr>
        <w:t xml:space="preserve">Item 61470 </w:t>
      </w:r>
      <w:r w:rsidR="00AE4C88">
        <w:rPr>
          <w:rFonts w:cs="Arial"/>
          <w:color w:val="auto"/>
          <w:szCs w:val="22"/>
        </w:rPr>
        <w:t xml:space="preserve">is being introduced to </w:t>
      </w:r>
      <w:r w:rsidRPr="003F78AB">
        <w:rPr>
          <w:rFonts w:cs="Arial"/>
          <w:color w:val="auto"/>
          <w:szCs w:val="22"/>
        </w:rPr>
        <w:t>support patients to access important diagnostic imaging services that use thallium-201.</w:t>
      </w:r>
      <w:r w:rsidR="00AE4C88">
        <w:rPr>
          <w:rFonts w:cs="Arial"/>
          <w:color w:val="auto"/>
          <w:szCs w:val="22"/>
        </w:rPr>
        <w:t xml:space="preserve"> Item 61470 </w:t>
      </w:r>
      <w:r w:rsidR="00AE4C88" w:rsidRPr="00AE4C88">
        <w:rPr>
          <w:rFonts w:cs="Arial"/>
          <w:color w:val="auto"/>
          <w:szCs w:val="22"/>
        </w:rPr>
        <w:t>provide</w:t>
      </w:r>
      <w:r w:rsidR="00AE4C88">
        <w:rPr>
          <w:rFonts w:cs="Arial"/>
          <w:color w:val="auto"/>
          <w:szCs w:val="22"/>
        </w:rPr>
        <w:t>s</w:t>
      </w:r>
      <w:r w:rsidR="00AE4C88" w:rsidRPr="00AE4C88">
        <w:rPr>
          <w:rFonts w:cs="Arial"/>
          <w:color w:val="auto"/>
          <w:szCs w:val="22"/>
        </w:rPr>
        <w:t xml:space="preserve"> additional funding to offset some of the recent price increases of</w:t>
      </w:r>
      <w:r w:rsidR="00AE4C88">
        <w:rPr>
          <w:rFonts w:cs="Arial"/>
          <w:color w:val="auto"/>
          <w:szCs w:val="22"/>
        </w:rPr>
        <w:t xml:space="preserve"> thallium-201.</w:t>
      </w:r>
      <w:r w:rsidRPr="003F78AB">
        <w:rPr>
          <w:rFonts w:cs="Arial"/>
          <w:color w:val="auto"/>
          <w:szCs w:val="22"/>
        </w:rPr>
        <w:t xml:space="preserve"> The item is similar in nature to item 61477 for gallium</w:t>
      </w:r>
      <w:r w:rsidR="007A4BEA">
        <w:rPr>
          <w:rFonts w:cs="Arial"/>
          <w:color w:val="auto"/>
          <w:szCs w:val="22"/>
        </w:rPr>
        <w:noBreakHyphen/>
      </w:r>
      <w:r w:rsidRPr="003F78AB">
        <w:rPr>
          <w:rFonts w:cs="Arial"/>
          <w:color w:val="auto"/>
          <w:szCs w:val="22"/>
        </w:rPr>
        <w:t xml:space="preserve">67 services, which has also been extended to continue to support patients during supply availability. </w:t>
      </w:r>
      <w:r w:rsidR="00AE4C88">
        <w:rPr>
          <w:rFonts w:cs="Arial"/>
          <w:color w:val="auto"/>
          <w:szCs w:val="22"/>
        </w:rPr>
        <w:t>Both items will be available until 30 June 2024.</w:t>
      </w:r>
    </w:p>
    <w:p w14:paraId="6872133C" w14:textId="4A0FA3DD" w:rsidR="002E4E21" w:rsidRPr="003F78AB" w:rsidRDefault="002E4E21" w:rsidP="000D703E">
      <w:pPr>
        <w:rPr>
          <w:bCs/>
          <w:szCs w:val="22"/>
        </w:rPr>
      </w:pPr>
      <w:r w:rsidRPr="003F78AB">
        <w:rPr>
          <w:bCs/>
          <w:szCs w:val="22"/>
        </w:rPr>
        <w:t xml:space="preserve">Item 61644 was </w:t>
      </w:r>
      <w:r>
        <w:rPr>
          <w:bCs/>
          <w:szCs w:val="22"/>
        </w:rPr>
        <w:t xml:space="preserve">temporarily </w:t>
      </w:r>
      <w:r w:rsidRPr="003F78AB">
        <w:rPr>
          <w:bCs/>
          <w:szCs w:val="22"/>
        </w:rPr>
        <w:t>made available to provide an alternate positron emission tomography service that can be used during supply disruptions of the radiopharmaceutical thallium-201. The</w:t>
      </w:r>
      <w:r>
        <w:rPr>
          <w:bCs/>
          <w:szCs w:val="22"/>
        </w:rPr>
        <w:t xml:space="preserve"> ongoing use of this item</w:t>
      </w:r>
      <w:r w:rsidR="003E2A2A">
        <w:rPr>
          <w:bCs/>
          <w:szCs w:val="22"/>
        </w:rPr>
        <w:t xml:space="preserve"> f</w:t>
      </w:r>
      <w:r w:rsidR="00AE4C88">
        <w:rPr>
          <w:bCs/>
          <w:szCs w:val="22"/>
        </w:rPr>
        <w:t>r</w:t>
      </w:r>
      <w:r w:rsidR="003E2A2A">
        <w:rPr>
          <w:bCs/>
          <w:szCs w:val="22"/>
        </w:rPr>
        <w:t>om 1 July 2023</w:t>
      </w:r>
      <w:r w:rsidRPr="003F78AB">
        <w:rPr>
          <w:bCs/>
          <w:szCs w:val="22"/>
        </w:rPr>
        <w:t xml:space="preserve"> as a substitute for item 61325 </w:t>
      </w:r>
      <w:r>
        <w:rPr>
          <w:bCs/>
          <w:szCs w:val="22"/>
        </w:rPr>
        <w:t xml:space="preserve">continues to </w:t>
      </w:r>
      <w:r w:rsidRPr="003F78AB">
        <w:rPr>
          <w:bCs/>
          <w:szCs w:val="22"/>
        </w:rPr>
        <w:t>support</w:t>
      </w:r>
      <w:r>
        <w:rPr>
          <w:bCs/>
          <w:szCs w:val="22"/>
        </w:rPr>
        <w:t xml:space="preserve"> </w:t>
      </w:r>
      <w:r w:rsidRPr="003F78AB">
        <w:rPr>
          <w:bCs/>
          <w:szCs w:val="22"/>
        </w:rPr>
        <w:t xml:space="preserve">patients to access an alternate service when the preferred service is not available. </w:t>
      </w:r>
    </w:p>
    <w:p w14:paraId="4B2559AC" w14:textId="054DBFB5" w:rsidR="00064168" w:rsidRDefault="00064168" w:rsidP="00064168">
      <w:pPr>
        <w:pStyle w:val="Heading2"/>
      </w:pPr>
      <w:r>
        <w:t>What does this mean for providers</w:t>
      </w:r>
      <w:r w:rsidR="00343B60">
        <w:t>?</w:t>
      </w:r>
    </w:p>
    <w:p w14:paraId="09C5470C" w14:textId="62802928" w:rsidR="00343B60" w:rsidRPr="00343B60" w:rsidRDefault="00D208A8" w:rsidP="00343B60">
      <w:r>
        <w:t xml:space="preserve">Changes to nuclear medicine items will allow for providers to </w:t>
      </w:r>
      <w:r>
        <w:rPr>
          <w:szCs w:val="22"/>
        </w:rPr>
        <w:t xml:space="preserve">appropriately cover the costs of </w:t>
      </w:r>
      <w:r w:rsidRPr="00943A5B">
        <w:rPr>
          <w:szCs w:val="22"/>
        </w:rPr>
        <w:t>radiopharmaceutical</w:t>
      </w:r>
      <w:r>
        <w:rPr>
          <w:szCs w:val="22"/>
        </w:rPr>
        <w:t xml:space="preserve">s that best fit the </w:t>
      </w:r>
      <w:r w:rsidRPr="00E04906">
        <w:t>patient’s clinical requirements</w:t>
      </w:r>
      <w:r>
        <w:t>.</w:t>
      </w:r>
      <w:r w:rsidR="00127B11">
        <w:t xml:space="preserve"> </w:t>
      </w:r>
      <w:r w:rsidR="00127B11" w:rsidRPr="00127B11">
        <w:t>New item 61470 is subject to the same requirements as items 61348, 61461 and 61325</w:t>
      </w:r>
      <w:r w:rsidR="002E44BA">
        <w:t xml:space="preserve"> and</w:t>
      </w:r>
      <w:r w:rsidR="00127B11">
        <w:t xml:space="preserve"> must be performed in conjunction with these items and be </w:t>
      </w:r>
      <w:proofErr w:type="gramStart"/>
      <w:r w:rsidR="00127B11">
        <w:t>bulk</w:t>
      </w:r>
      <w:r w:rsidR="00AE4C88">
        <w:t>-</w:t>
      </w:r>
      <w:r w:rsidR="00127B11">
        <w:t>billed</w:t>
      </w:r>
      <w:proofErr w:type="gramEnd"/>
      <w:r w:rsidR="00127B11">
        <w:t xml:space="preserve">. </w:t>
      </w:r>
    </w:p>
    <w:p w14:paraId="230905A2" w14:textId="57D77050" w:rsidR="00343B60" w:rsidRDefault="00D208A8" w:rsidP="00343B60">
      <w:r>
        <w:lastRenderedPageBreak/>
        <w:t>There are no</w:t>
      </w:r>
      <w:r w:rsidR="00E36713">
        <w:t xml:space="preserve"> </w:t>
      </w:r>
      <w:r>
        <w:t>changes to the intent of MRI item 63545. This item should only be claimed in line with the relevant legislation and regulations where it is clinically appropriate to do s</w:t>
      </w:r>
      <w:r w:rsidR="007F5F0B">
        <w:t>o</w:t>
      </w:r>
      <w:r w:rsidR="003E2A2A">
        <w:t xml:space="preserve">. </w:t>
      </w:r>
      <w:r w:rsidR="007F5F0B">
        <w:t xml:space="preserve">This includes that the services </w:t>
      </w:r>
      <w:r w:rsidR="00C77E05">
        <w:t>are</w:t>
      </w:r>
      <w:r w:rsidR="007F5F0B">
        <w:t>:</w:t>
      </w:r>
    </w:p>
    <w:p w14:paraId="1DF88752" w14:textId="4DC75137" w:rsidR="007F5F0B" w:rsidRPr="002F2193" w:rsidRDefault="007F5F0B" w:rsidP="007F5F0B">
      <w:pPr>
        <w:pStyle w:val="ListParagraph"/>
        <w:numPr>
          <w:ilvl w:val="0"/>
          <w:numId w:val="27"/>
        </w:numPr>
        <w:spacing w:before="0" w:after="60" w:line="280" w:lineRule="exact"/>
        <w:contextualSpacing w:val="0"/>
        <w:rPr>
          <w:rFonts w:cs="Arial"/>
          <w:lang w:eastAsia="zh-CN"/>
        </w:rPr>
      </w:pPr>
      <w:r>
        <w:rPr>
          <w:rFonts w:cs="Arial"/>
          <w:lang w:eastAsia="zh-CN"/>
        </w:rPr>
        <w:t>R</w:t>
      </w:r>
      <w:r w:rsidRPr="002F2193">
        <w:rPr>
          <w:rFonts w:cs="Arial"/>
          <w:lang w:eastAsia="zh-CN"/>
        </w:rPr>
        <w:t>equested by a specialist or consultant physician</w:t>
      </w:r>
    </w:p>
    <w:p w14:paraId="626C11B4" w14:textId="51A14238" w:rsidR="007F5F0B" w:rsidRPr="002F2193" w:rsidRDefault="007F5F0B" w:rsidP="007F5F0B">
      <w:pPr>
        <w:pStyle w:val="ListParagraph"/>
        <w:numPr>
          <w:ilvl w:val="0"/>
          <w:numId w:val="27"/>
        </w:numPr>
        <w:spacing w:before="0" w:after="60" w:line="280" w:lineRule="exact"/>
        <w:contextualSpacing w:val="0"/>
        <w:rPr>
          <w:rFonts w:cs="Arial"/>
          <w:lang w:eastAsia="zh-CN"/>
        </w:rPr>
      </w:pPr>
      <w:r>
        <w:rPr>
          <w:rFonts w:cs="Arial"/>
          <w:lang w:eastAsia="zh-CN"/>
        </w:rPr>
        <w:t>R</w:t>
      </w:r>
      <w:r w:rsidRPr="002F2193">
        <w:rPr>
          <w:rFonts w:cs="Arial"/>
          <w:lang w:eastAsia="zh-CN"/>
        </w:rPr>
        <w:t xml:space="preserve">estricted to one scan per eligible patient in a </w:t>
      </w:r>
      <w:proofErr w:type="gramStart"/>
      <w:r w:rsidRPr="002F2193">
        <w:rPr>
          <w:rFonts w:cs="Arial"/>
          <w:lang w:eastAsia="zh-CN"/>
        </w:rPr>
        <w:t>12 month</w:t>
      </w:r>
      <w:proofErr w:type="gramEnd"/>
      <w:r w:rsidRPr="002F2193">
        <w:rPr>
          <w:rFonts w:cs="Arial"/>
          <w:lang w:eastAsia="zh-CN"/>
        </w:rPr>
        <w:t xml:space="preserve"> period</w:t>
      </w:r>
    </w:p>
    <w:p w14:paraId="6ADF9232" w14:textId="666CED08" w:rsidR="007F5F0B" w:rsidRPr="00AE4C88" w:rsidRDefault="007F5F0B" w:rsidP="00AE4C88">
      <w:pPr>
        <w:pStyle w:val="ListParagraph"/>
        <w:numPr>
          <w:ilvl w:val="0"/>
          <w:numId w:val="27"/>
        </w:numPr>
        <w:spacing w:before="0" w:after="60" w:line="280" w:lineRule="exact"/>
        <w:contextualSpacing w:val="0"/>
        <w:rPr>
          <w:rFonts w:cs="Arial"/>
          <w:lang w:eastAsia="zh-CN"/>
        </w:rPr>
      </w:pPr>
      <w:r>
        <w:rPr>
          <w:rFonts w:cs="Arial"/>
          <w:lang w:eastAsia="zh-CN"/>
        </w:rPr>
        <w:t>P</w:t>
      </w:r>
      <w:r w:rsidRPr="002F2193">
        <w:rPr>
          <w:rFonts w:cs="Arial"/>
          <w:lang w:eastAsia="zh-CN"/>
        </w:rPr>
        <w:t>erformed on a Medicare-eligible MRI unit (with full or partial eligibility)</w:t>
      </w:r>
    </w:p>
    <w:p w14:paraId="7F7DA4F7" w14:textId="77777777" w:rsidR="00064168" w:rsidRDefault="00064168" w:rsidP="00064168">
      <w:pPr>
        <w:pStyle w:val="Heading2"/>
      </w:pPr>
      <w:r>
        <w:t>How will these changes affect patients</w:t>
      </w:r>
      <w:r w:rsidRPr="001A7FB7">
        <w:t>?</w:t>
      </w:r>
    </w:p>
    <w:p w14:paraId="0DE867EA" w14:textId="1ECB993A" w:rsidR="00463472" w:rsidRDefault="00463472" w:rsidP="00463472">
      <w:pPr>
        <w:rPr>
          <w:rFonts w:cs="Arial"/>
          <w:szCs w:val="22"/>
        </w:rPr>
      </w:pPr>
      <w:r w:rsidRPr="00463472">
        <w:rPr>
          <w:rFonts w:cs="Arial"/>
          <w:szCs w:val="22"/>
        </w:rPr>
        <w:t>The changes will provide greater access for patients to services that are contemporary and</w:t>
      </w:r>
      <w:r>
        <w:rPr>
          <w:rFonts w:cs="Arial"/>
          <w:szCs w:val="22"/>
        </w:rPr>
        <w:t xml:space="preserve"> </w:t>
      </w:r>
      <w:r w:rsidRPr="00463472">
        <w:rPr>
          <w:rFonts w:cs="Arial"/>
          <w:szCs w:val="22"/>
        </w:rPr>
        <w:t>reflect best clinical practice leading to improved patient health outcomes.</w:t>
      </w:r>
      <w:r>
        <w:rPr>
          <w:rFonts w:cs="Arial"/>
          <w:szCs w:val="22"/>
        </w:rPr>
        <w:t xml:space="preserve"> </w:t>
      </w:r>
    </w:p>
    <w:p w14:paraId="5BD9BE80" w14:textId="77777777" w:rsidR="00064168" w:rsidRDefault="00064168" w:rsidP="00064168">
      <w:pPr>
        <w:pStyle w:val="Heading2"/>
      </w:pPr>
      <w:r w:rsidRPr="001A7FB7">
        <w:t>Who was consulted on the changes?</w:t>
      </w:r>
    </w:p>
    <w:p w14:paraId="7211185F" w14:textId="4F8FE262" w:rsidR="00463472" w:rsidRPr="00AE4C88" w:rsidRDefault="00463472" w:rsidP="00064168">
      <w:pPr>
        <w:rPr>
          <w:color w:val="auto"/>
          <w:szCs w:val="22"/>
          <w:highlight w:val="yellow"/>
        </w:rPr>
      </w:pPr>
      <w:r w:rsidRPr="00AE4C88">
        <w:rPr>
          <w:color w:val="auto"/>
          <w:szCs w:val="22"/>
        </w:rPr>
        <w:t xml:space="preserve">The Australasian Association of Nuclear Medicine Specialists, the Royal </w:t>
      </w:r>
      <w:proofErr w:type="gramStart"/>
      <w:r w:rsidRPr="00AE4C88">
        <w:rPr>
          <w:color w:val="auto"/>
          <w:szCs w:val="22"/>
        </w:rPr>
        <w:t>Australian</w:t>
      </w:r>
      <w:proofErr w:type="gramEnd"/>
      <w:r w:rsidRPr="00AE4C88">
        <w:rPr>
          <w:color w:val="auto"/>
          <w:szCs w:val="22"/>
        </w:rPr>
        <w:t xml:space="preserve"> and New Zealand College of Radiologists and the Australian and New Zealand Society of Nuclear Medicine were consulted on the changes.</w:t>
      </w:r>
    </w:p>
    <w:p w14:paraId="32E82B19" w14:textId="77777777" w:rsidR="00064168" w:rsidRDefault="00064168" w:rsidP="00064168">
      <w:pPr>
        <w:pStyle w:val="Heading2"/>
      </w:pPr>
      <w:r w:rsidRPr="001A7FB7">
        <w:t>How will the changes be monitored</w:t>
      </w:r>
      <w:r>
        <w:t xml:space="preserve"> and reviewed</w:t>
      </w:r>
      <w:r w:rsidRPr="001A7FB7">
        <w:t>?</w:t>
      </w:r>
    </w:p>
    <w:p w14:paraId="2B4DC7DC" w14:textId="4F811B40" w:rsidR="00463472" w:rsidRDefault="00463472" w:rsidP="00064168">
      <w:pPr>
        <w:rPr>
          <w:szCs w:val="22"/>
        </w:rPr>
      </w:pPr>
      <w:r w:rsidRPr="00463472">
        <w:rPr>
          <w:szCs w:val="22"/>
        </w:rPr>
        <w:t>The Department of Health and Aged Care will monitor MBS data on the utilisation of th</w:t>
      </w:r>
      <w:r>
        <w:rPr>
          <w:szCs w:val="22"/>
        </w:rPr>
        <w:t>ese</w:t>
      </w:r>
      <w:r w:rsidRPr="00463472">
        <w:rPr>
          <w:szCs w:val="22"/>
        </w:rPr>
        <w:t xml:space="preserve"> service</w:t>
      </w:r>
      <w:r>
        <w:rPr>
          <w:szCs w:val="22"/>
        </w:rPr>
        <w:t>s</w:t>
      </w:r>
      <w:r w:rsidRPr="00463472">
        <w:rPr>
          <w:szCs w:val="22"/>
        </w:rPr>
        <w:t xml:space="preserve">. </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3"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4"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5"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7C2E1F77" w14:textId="33A4EB4F" w:rsidR="00234381" w:rsidRDefault="00064168" w:rsidP="007F5F0B">
      <w:pPr>
        <w:rPr>
          <w:szCs w:val="22"/>
        </w:rPr>
      </w:pPr>
      <w:r w:rsidRPr="00867595">
        <w:rPr>
          <w:szCs w:val="22"/>
        </w:rPr>
        <w:t xml:space="preserve">The data file for software vendors when available can be accessed via the </w:t>
      </w:r>
      <w:hyperlink r:id="rId21" w:history="1">
        <w:r w:rsidRPr="00867595">
          <w:rPr>
            <w:rStyle w:val="Hyperlink"/>
            <w:szCs w:val="22"/>
          </w:rPr>
          <w:t>Downloads</w:t>
        </w:r>
      </w:hyperlink>
      <w:r w:rsidRPr="00867595">
        <w:rPr>
          <w:szCs w:val="22"/>
        </w:rPr>
        <w:t xml:space="preserve"> page.</w:t>
      </w:r>
    </w:p>
    <w:p w14:paraId="53D3FE4C" w14:textId="4A6ABEFF" w:rsidR="00B937A1" w:rsidRPr="00B937A1" w:rsidRDefault="00BE3ED5" w:rsidP="00463472">
      <w:pPr>
        <w:pStyle w:val="Heading2"/>
      </w:pPr>
      <w:r w:rsidRPr="007A32E7">
        <w:t>Amended item descriptors (</w:t>
      </w:r>
      <w:r w:rsidR="00641C93">
        <w:t xml:space="preserve">Effective 1 July </w:t>
      </w:r>
      <w:r w:rsidRPr="007A32E7">
        <w:t>20</w:t>
      </w:r>
      <w:r w:rsidR="00641C93">
        <w:t>23</w:t>
      </w:r>
      <w:r w:rsidRPr="007A32E7">
        <w:t>)</w:t>
      </w:r>
    </w:p>
    <w:tbl>
      <w:tblPr>
        <w:tblStyle w:val="GridTable4-Accent2"/>
        <w:tblW w:w="0" w:type="auto"/>
        <w:tblLook w:val="04A0" w:firstRow="1" w:lastRow="0" w:firstColumn="1" w:lastColumn="0" w:noHBand="0" w:noVBand="1"/>
      </w:tblPr>
      <w:tblGrid>
        <w:gridCol w:w="9060"/>
      </w:tblGrid>
      <w:tr w:rsidR="00B937A1" w:rsidRPr="00B937A1" w14:paraId="36B54FC0" w14:textId="77777777" w:rsidTr="00210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62CB9238" w14:textId="77777777" w:rsidR="00B937A1" w:rsidRPr="00B937A1" w:rsidRDefault="00B937A1" w:rsidP="00B937A1">
            <w:pPr>
              <w:rPr>
                <w:lang w:eastAsia="en-AU"/>
              </w:rPr>
            </w:pPr>
            <w:r w:rsidRPr="00B937A1">
              <w:rPr>
                <w:lang w:eastAsia="en-AU"/>
              </w:rPr>
              <w:t xml:space="preserve">Category 5 – Diagnostic imaging services </w:t>
            </w:r>
          </w:p>
        </w:tc>
      </w:tr>
      <w:tr w:rsidR="00B937A1" w:rsidRPr="00B937A1" w14:paraId="684DB3BB" w14:textId="77777777" w:rsidTr="00210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4C157AF" w14:textId="77777777" w:rsidR="00B937A1" w:rsidRPr="00B937A1" w:rsidRDefault="00B937A1" w:rsidP="00B937A1">
            <w:pPr>
              <w:rPr>
                <w:lang w:eastAsia="en-AU"/>
              </w:rPr>
            </w:pPr>
            <w:r w:rsidRPr="00B937A1">
              <w:rPr>
                <w:lang w:eastAsia="en-AU"/>
              </w:rPr>
              <w:t>Group 5 – Magnetic resonance imaging</w:t>
            </w:r>
          </w:p>
        </w:tc>
      </w:tr>
      <w:tr w:rsidR="00B937A1" w:rsidRPr="00B937A1" w14:paraId="5D341E56" w14:textId="77777777" w:rsidTr="00210100">
        <w:tc>
          <w:tcPr>
            <w:cnfStyle w:val="001000000000" w:firstRow="0" w:lastRow="0" w:firstColumn="1" w:lastColumn="0" w:oddVBand="0" w:evenVBand="0" w:oddHBand="0" w:evenHBand="0" w:firstRowFirstColumn="0" w:firstRowLastColumn="0" w:lastRowFirstColumn="0" w:lastRowLastColumn="0"/>
            <w:tcW w:w="9060" w:type="dxa"/>
            <w:hideMark/>
          </w:tcPr>
          <w:p w14:paraId="07F50100" w14:textId="77777777" w:rsidR="00B937A1" w:rsidRPr="00B937A1" w:rsidRDefault="00B937A1" w:rsidP="00B937A1">
            <w:r w:rsidRPr="00B937A1">
              <w:rPr>
                <w:lang w:eastAsia="en-AU"/>
              </w:rPr>
              <w:t>Subgroup 21 – Scan of body – for suspected hepato-biliary or pancreatic pathology</w:t>
            </w:r>
            <w:r w:rsidRPr="00B937A1">
              <w:rPr>
                <w:rFonts w:ascii="Helvetica" w:hAnsi="Helvetica" w:cs="Helvetica"/>
                <w:color w:val="9900CC"/>
                <w:sz w:val="20"/>
                <w:szCs w:val="20"/>
              </w:rPr>
              <w:t xml:space="preserve"> </w:t>
            </w:r>
          </w:p>
        </w:tc>
      </w:tr>
      <w:tr w:rsidR="00B937A1" w:rsidRPr="00B937A1" w14:paraId="4B6DADA6" w14:textId="77777777" w:rsidTr="00210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37CB211" w14:textId="77777777" w:rsidR="00B937A1" w:rsidRPr="00B937A1" w:rsidRDefault="00B937A1" w:rsidP="00B937A1">
            <w:pPr>
              <w:rPr>
                <w:b w:val="0"/>
                <w:bCs w:val="0"/>
                <w:szCs w:val="22"/>
              </w:rPr>
            </w:pPr>
            <w:r w:rsidRPr="00B937A1">
              <w:rPr>
                <w:b w:val="0"/>
                <w:bCs w:val="0"/>
                <w:szCs w:val="22"/>
              </w:rPr>
              <w:t xml:space="preserve">63545 </w:t>
            </w:r>
          </w:p>
          <w:p w14:paraId="51C8146F" w14:textId="77777777" w:rsidR="00B937A1" w:rsidRPr="00B937A1" w:rsidRDefault="00B937A1" w:rsidP="00B937A1">
            <w:pPr>
              <w:rPr>
                <w:rFonts w:cs="Arial"/>
                <w:b w:val="0"/>
                <w:bCs w:val="0"/>
                <w:color w:val="222222"/>
                <w:szCs w:val="22"/>
              </w:rPr>
            </w:pPr>
            <w:r w:rsidRPr="00B937A1">
              <w:rPr>
                <w:rFonts w:cs="Arial"/>
                <w:b w:val="0"/>
                <w:bCs w:val="0"/>
                <w:color w:val="222222"/>
                <w:szCs w:val="22"/>
              </w:rPr>
              <w:t xml:space="preserve">MRI—multiphase scans of liver (including delayed imaging, if performed) with a contrast agent, for characterisation, or for staging where surgical resection or interventional techniques are under consideration, if </w:t>
            </w:r>
          </w:p>
          <w:p w14:paraId="03C4D380" w14:textId="77777777" w:rsidR="00B937A1" w:rsidRPr="00B937A1" w:rsidRDefault="00B937A1" w:rsidP="00B937A1">
            <w:pPr>
              <w:numPr>
                <w:ilvl w:val="0"/>
                <w:numId w:val="29"/>
              </w:numPr>
              <w:contextualSpacing/>
              <w:rPr>
                <w:rFonts w:cs="Arial"/>
                <w:b w:val="0"/>
                <w:bCs w:val="0"/>
                <w:color w:val="222222"/>
                <w:szCs w:val="22"/>
              </w:rPr>
            </w:pPr>
            <w:r w:rsidRPr="00B937A1">
              <w:rPr>
                <w:rFonts w:cs="Arial"/>
                <w:b w:val="0"/>
                <w:bCs w:val="0"/>
                <w:color w:val="222222"/>
                <w:szCs w:val="22"/>
              </w:rPr>
              <w:t>the patient has a confirmed extra</w:t>
            </w:r>
            <w:r w:rsidRPr="00B937A1">
              <w:rPr>
                <w:rFonts w:cs="Arial"/>
                <w:b w:val="0"/>
                <w:bCs w:val="0"/>
                <w:color w:val="222222"/>
                <w:szCs w:val="22"/>
              </w:rPr>
              <w:noBreakHyphen/>
              <w:t xml:space="preserve">hepatic primary malignancy (other than hepatocellular carcinoma); and </w:t>
            </w:r>
          </w:p>
          <w:p w14:paraId="30F27B91" w14:textId="77777777" w:rsidR="00B937A1" w:rsidRPr="00B937A1" w:rsidRDefault="00B937A1" w:rsidP="00B937A1">
            <w:pPr>
              <w:numPr>
                <w:ilvl w:val="0"/>
                <w:numId w:val="29"/>
              </w:numPr>
              <w:contextualSpacing/>
              <w:rPr>
                <w:rFonts w:cs="Arial"/>
                <w:b w:val="0"/>
                <w:bCs w:val="0"/>
                <w:color w:val="222222"/>
                <w:szCs w:val="22"/>
              </w:rPr>
            </w:pPr>
            <w:r w:rsidRPr="00B937A1">
              <w:rPr>
                <w:rFonts w:cs="Arial"/>
                <w:b w:val="0"/>
                <w:bCs w:val="0"/>
                <w:color w:val="222222"/>
                <w:szCs w:val="22"/>
              </w:rPr>
              <w:t xml:space="preserve">computed tomography is negative or inconclusive for hepatic metastatic disease; and </w:t>
            </w:r>
          </w:p>
          <w:p w14:paraId="617B27A4" w14:textId="77777777" w:rsidR="00B937A1" w:rsidRPr="00B937A1" w:rsidRDefault="00B937A1" w:rsidP="00B937A1">
            <w:pPr>
              <w:numPr>
                <w:ilvl w:val="0"/>
                <w:numId w:val="29"/>
              </w:numPr>
              <w:contextualSpacing/>
              <w:rPr>
                <w:rFonts w:cs="Arial"/>
                <w:b w:val="0"/>
                <w:bCs w:val="0"/>
                <w:color w:val="222222"/>
                <w:szCs w:val="22"/>
              </w:rPr>
            </w:pPr>
            <w:r w:rsidRPr="00B937A1">
              <w:rPr>
                <w:rFonts w:cs="Arial"/>
                <w:b w:val="0"/>
                <w:bCs w:val="0"/>
                <w:color w:val="222222"/>
                <w:szCs w:val="22"/>
              </w:rPr>
              <w:t>the identification of liver metastases would change the patient’s treatment planning.</w:t>
            </w:r>
          </w:p>
          <w:p w14:paraId="7E9E8DAD" w14:textId="77777777" w:rsidR="00EA692A" w:rsidRDefault="00EA692A" w:rsidP="00B937A1">
            <w:pPr>
              <w:rPr>
                <w:rFonts w:cs="Arial"/>
                <w:color w:val="222222"/>
                <w:szCs w:val="22"/>
              </w:rPr>
            </w:pPr>
          </w:p>
          <w:p w14:paraId="159F2431" w14:textId="5FC87E5F" w:rsidR="00B937A1" w:rsidRPr="00B937A1" w:rsidRDefault="00B937A1" w:rsidP="000D703E">
            <w:pPr>
              <w:rPr>
                <w:rFonts w:eastAsiaTheme="minorHAnsi" w:cs="Arial"/>
                <w:b w:val="0"/>
                <w:bCs w:val="0"/>
                <w:color w:val="auto"/>
                <w:szCs w:val="22"/>
                <w:lang w:eastAsia="en-AU"/>
              </w:rPr>
            </w:pPr>
            <w:r w:rsidRPr="00B937A1">
              <w:rPr>
                <w:rFonts w:cs="Arial"/>
                <w:b w:val="0"/>
                <w:bCs w:val="0"/>
                <w:color w:val="222222"/>
                <w:szCs w:val="22"/>
              </w:rPr>
              <w:t xml:space="preserve">Applicable not more than once in a </w:t>
            </w:r>
            <w:proofErr w:type="gramStart"/>
            <w:r w:rsidRPr="00B937A1">
              <w:rPr>
                <w:rFonts w:cs="Arial"/>
                <w:b w:val="0"/>
                <w:bCs w:val="0"/>
                <w:color w:val="222222"/>
                <w:szCs w:val="22"/>
              </w:rPr>
              <w:t>12 month</w:t>
            </w:r>
            <w:proofErr w:type="gramEnd"/>
            <w:r w:rsidRPr="00B937A1">
              <w:rPr>
                <w:rFonts w:cs="Arial"/>
                <w:b w:val="0"/>
                <w:bCs w:val="0"/>
                <w:color w:val="222222"/>
                <w:szCs w:val="22"/>
              </w:rPr>
              <w:t xml:space="preserve"> period (R) (Contrast)</w:t>
            </w:r>
            <w:r w:rsidR="00BA451C">
              <w:rPr>
                <w:rFonts w:eastAsiaTheme="minorHAnsi" w:cs="Arial"/>
                <w:b w:val="0"/>
                <w:bCs w:val="0"/>
                <w:color w:val="auto"/>
                <w:szCs w:val="22"/>
                <w:lang w:eastAsia="en-AU"/>
              </w:rPr>
              <w:t xml:space="preserve"> </w:t>
            </w:r>
            <w:r w:rsidRPr="00B937A1">
              <w:rPr>
                <w:rFonts w:eastAsiaTheme="minorHAnsi" w:cs="Arial"/>
                <w:b w:val="0"/>
                <w:bCs w:val="0"/>
                <w:color w:val="auto"/>
                <w:szCs w:val="22"/>
                <w:lang w:eastAsia="en-AU"/>
              </w:rPr>
              <w:t>(</w:t>
            </w:r>
            <w:proofErr w:type="spellStart"/>
            <w:r w:rsidRPr="00B937A1">
              <w:rPr>
                <w:rFonts w:eastAsiaTheme="minorHAnsi" w:cs="Arial"/>
                <w:b w:val="0"/>
                <w:bCs w:val="0"/>
                <w:color w:val="auto"/>
                <w:szCs w:val="22"/>
                <w:lang w:eastAsia="en-AU"/>
              </w:rPr>
              <w:t>Anaes</w:t>
            </w:r>
            <w:proofErr w:type="spellEnd"/>
            <w:r w:rsidRPr="00B937A1">
              <w:rPr>
                <w:rFonts w:eastAsiaTheme="minorHAnsi" w:cs="Arial"/>
                <w:b w:val="0"/>
                <w:bCs w:val="0"/>
                <w:color w:val="auto"/>
                <w:szCs w:val="22"/>
                <w:lang w:eastAsia="en-AU"/>
              </w:rPr>
              <w:t>.)</w:t>
            </w:r>
          </w:p>
          <w:p w14:paraId="153C21C1" w14:textId="1B628EAF" w:rsidR="00B937A1" w:rsidRPr="00CA70F9" w:rsidRDefault="00B937A1" w:rsidP="00B937A1">
            <w:pPr>
              <w:spacing w:before="0" w:line="240" w:lineRule="auto"/>
              <w:rPr>
                <w:rFonts w:eastAsiaTheme="minorHAnsi" w:cs="Arial"/>
                <w:b w:val="0"/>
                <w:bCs w:val="0"/>
                <w:color w:val="auto"/>
                <w:szCs w:val="22"/>
                <w:lang w:eastAsia="en-AU"/>
              </w:rPr>
            </w:pPr>
            <w:r w:rsidRPr="00BA451C">
              <w:rPr>
                <w:rFonts w:eastAsiaTheme="minorHAnsi" w:cs="Arial"/>
                <w:color w:val="auto"/>
                <w:szCs w:val="22"/>
                <w:lang w:eastAsia="en-AU"/>
              </w:rPr>
              <w:t> </w:t>
            </w:r>
            <w:r w:rsidRPr="00CA70F9">
              <w:rPr>
                <w:rFonts w:eastAsiaTheme="minorHAnsi" w:cs="Arial"/>
                <w:b w:val="0"/>
                <w:bCs w:val="0"/>
                <w:color w:val="auto"/>
                <w:szCs w:val="22"/>
                <w:lang w:eastAsia="en-AU"/>
              </w:rPr>
              <w:t xml:space="preserve">Fee: </w:t>
            </w:r>
            <w:r w:rsidR="009642B3" w:rsidRPr="00CA70F9">
              <w:rPr>
                <w:rFonts w:eastAsiaTheme="minorHAnsi" w:cs="Arial"/>
                <w:b w:val="0"/>
                <w:bCs w:val="0"/>
                <w:color w:val="auto"/>
                <w:szCs w:val="22"/>
                <w:lang w:eastAsia="en-AU"/>
              </w:rPr>
              <w:t>No change</w:t>
            </w:r>
          </w:p>
          <w:p w14:paraId="3EE79433" w14:textId="77777777" w:rsidR="00B937A1" w:rsidRPr="00B937A1" w:rsidRDefault="00B937A1" w:rsidP="00B937A1">
            <w:pPr>
              <w:tabs>
                <w:tab w:val="left" w:pos="340"/>
                <w:tab w:val="left" w:pos="680"/>
              </w:tabs>
              <w:spacing w:before="60" w:after="60"/>
              <w:ind w:left="360" w:hanging="360"/>
              <w:rPr>
                <w:szCs w:val="22"/>
              </w:rPr>
            </w:pPr>
          </w:p>
          <w:p w14:paraId="552D2D03" w14:textId="77777777" w:rsidR="00B937A1" w:rsidRPr="00B937A1" w:rsidRDefault="00B937A1" w:rsidP="00B937A1">
            <w:pPr>
              <w:tabs>
                <w:tab w:val="left" w:pos="340"/>
                <w:tab w:val="left" w:pos="680"/>
              </w:tabs>
              <w:spacing w:before="60" w:after="60"/>
              <w:ind w:left="360" w:hanging="360"/>
            </w:pPr>
            <w:r w:rsidRPr="00B937A1">
              <w:t>Private Health Insurance Classification:</w:t>
            </w:r>
          </w:p>
          <w:p w14:paraId="5092BE9A" w14:textId="604EFB98" w:rsidR="00B937A1" w:rsidRPr="00B937A1" w:rsidRDefault="00B937A1" w:rsidP="00B937A1">
            <w:pPr>
              <w:pStyle w:val="ListBullet"/>
              <w:rPr>
                <w:b w:val="0"/>
                <w:bCs w:val="0"/>
              </w:rPr>
            </w:pPr>
            <w:r w:rsidRPr="00B937A1">
              <w:rPr>
                <w:b w:val="0"/>
                <w:bCs w:val="0"/>
              </w:rPr>
              <w:t>Clinical category: Support List (DI)</w:t>
            </w:r>
          </w:p>
          <w:p w14:paraId="361B2BD7" w14:textId="0040E520" w:rsidR="00BA451C" w:rsidRPr="00B937A1" w:rsidRDefault="00B937A1" w:rsidP="00BA451C">
            <w:pPr>
              <w:pStyle w:val="ListBullet"/>
              <w:rPr>
                <w:b w:val="0"/>
                <w:bCs w:val="0"/>
              </w:rPr>
            </w:pPr>
            <w:r w:rsidRPr="00B937A1">
              <w:rPr>
                <w:b w:val="0"/>
                <w:bCs w:val="0"/>
              </w:rPr>
              <w:t>Procedure type: Type C</w:t>
            </w:r>
          </w:p>
        </w:tc>
      </w:tr>
    </w:tbl>
    <w:p w14:paraId="08198ABD" w14:textId="15A70F4B" w:rsidR="001B4586" w:rsidRDefault="001B4586" w:rsidP="001B4586">
      <w:pPr>
        <w:spacing w:before="0" w:after="0"/>
      </w:pPr>
    </w:p>
    <w:p w14:paraId="450276C1" w14:textId="77777777" w:rsidR="001B4586" w:rsidRDefault="001B4586">
      <w:pPr>
        <w:spacing w:before="0" w:after="0" w:line="240" w:lineRule="auto"/>
      </w:pPr>
      <w:r>
        <w:br w:type="page"/>
      </w:r>
    </w:p>
    <w:tbl>
      <w:tblPr>
        <w:tblStyle w:val="GridTable4-Accent2"/>
        <w:tblW w:w="0" w:type="auto"/>
        <w:tblLook w:val="04A0" w:firstRow="1" w:lastRow="0" w:firstColumn="1" w:lastColumn="0" w:noHBand="0" w:noVBand="1"/>
      </w:tblPr>
      <w:tblGrid>
        <w:gridCol w:w="9060"/>
      </w:tblGrid>
      <w:tr w:rsidR="00BE3ED5" w14:paraId="148B360C" w14:textId="77777777" w:rsidTr="001B45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3F245F1" w:rsidR="00BE3ED5" w:rsidRDefault="00B937A1" w:rsidP="000F29A4">
            <w:pPr>
              <w:rPr>
                <w:b w:val="0"/>
                <w:bCs w:val="0"/>
                <w:lang w:eastAsia="en-AU"/>
              </w:rPr>
            </w:pPr>
            <w:bookmarkStart w:id="3" w:name="_Hlk118987208"/>
            <w:r w:rsidRPr="00B937A1">
              <w:rPr>
                <w:lang w:eastAsia="en-AU"/>
              </w:rPr>
              <w:lastRenderedPageBreak/>
              <w:t>Category 5 – Diagnostic imaging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49D10C6" w:rsidR="00BE3ED5" w:rsidRDefault="008437CA" w:rsidP="000F29A4">
            <w:pPr>
              <w:rPr>
                <w:b w:val="0"/>
                <w:bCs w:val="0"/>
                <w:lang w:eastAsia="en-AU"/>
              </w:rPr>
            </w:pPr>
            <w:r>
              <w:rPr>
                <w:lang w:eastAsia="en-AU"/>
              </w:rPr>
              <w:t>Group</w:t>
            </w:r>
            <w:r w:rsidR="00B937A1">
              <w:rPr>
                <w:lang w:eastAsia="en-AU"/>
              </w:rPr>
              <w:t xml:space="preserve"> 4 - </w:t>
            </w:r>
            <w:r w:rsidR="00B937A1" w:rsidRPr="00B937A1">
              <w:rPr>
                <w:lang w:eastAsia="en-AU"/>
              </w:rPr>
              <w:t>Nuclear Medicine Imaging</w:t>
            </w:r>
          </w:p>
        </w:tc>
      </w:tr>
      <w:tr w:rsidR="00642F20" w14:paraId="3DDFF680" w14:textId="77777777" w:rsidTr="006E7D4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741A8794" w:rsidR="00642F20" w:rsidRPr="00642F20" w:rsidRDefault="00642F20" w:rsidP="00642F20">
            <w:pPr>
              <w:pStyle w:val="Tabletextleft"/>
              <w:rPr>
                <w:b/>
              </w:rPr>
            </w:pPr>
            <w:r w:rsidRPr="00642F20">
              <w:rPr>
                <w:b/>
              </w:rPr>
              <w:t>Subgroup</w:t>
            </w:r>
            <w:r w:rsidR="00B937A1">
              <w:rPr>
                <w:b/>
              </w:rPr>
              <w:t xml:space="preserve"> 1 - </w:t>
            </w:r>
            <w:r w:rsidR="00B937A1" w:rsidRPr="00B937A1">
              <w:rPr>
                <w:b/>
              </w:rPr>
              <w:t xml:space="preserve">Nuclear medicine - </w:t>
            </w:r>
            <w:proofErr w:type="gramStart"/>
            <w:r w:rsidR="00B937A1" w:rsidRPr="00B937A1">
              <w:rPr>
                <w:b/>
              </w:rPr>
              <w:t>non PET</w:t>
            </w:r>
            <w:proofErr w:type="gramEnd"/>
          </w:p>
        </w:tc>
      </w:tr>
      <w:tr w:rsidR="00642F20" w14:paraId="25FF7AAD"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48D158D2" w:rsidR="00642F20" w:rsidRPr="00642F20" w:rsidRDefault="00B937A1" w:rsidP="00642F20">
            <w:pPr>
              <w:rPr>
                <w:b w:val="0"/>
                <w:bCs w:val="0"/>
              </w:rPr>
            </w:pPr>
            <w:r>
              <w:rPr>
                <w:b w:val="0"/>
                <w:bCs w:val="0"/>
              </w:rPr>
              <w:t>61409</w:t>
            </w:r>
          </w:p>
          <w:p w14:paraId="32EEAFF0" w14:textId="77777777" w:rsidR="00B937A1" w:rsidRPr="00B937A1" w:rsidRDefault="00B937A1" w:rsidP="00B937A1">
            <w:pPr>
              <w:rPr>
                <w:b w:val="0"/>
                <w:bCs w:val="0"/>
              </w:rPr>
            </w:pPr>
            <w:proofErr w:type="spellStart"/>
            <w:r w:rsidRPr="00B937A1">
              <w:rPr>
                <w:b w:val="0"/>
                <w:bCs w:val="0"/>
              </w:rPr>
              <w:t>Cerebro</w:t>
            </w:r>
            <w:proofErr w:type="spellEnd"/>
            <w:r w:rsidRPr="00B937A1">
              <w:rPr>
                <w:b w:val="0"/>
                <w:bCs w:val="0"/>
              </w:rPr>
              <w:t xml:space="preserve">-spinal fluid transport study </w:t>
            </w:r>
            <w:r w:rsidRPr="00234381">
              <w:t>using technetium-99m</w:t>
            </w:r>
            <w:r w:rsidRPr="00B937A1">
              <w:rPr>
                <w:b w:val="0"/>
                <w:bCs w:val="0"/>
              </w:rPr>
              <w:t>, with imaging on 2 or more separate occasions (R)</w:t>
            </w:r>
          </w:p>
          <w:p w14:paraId="4A47F116" w14:textId="3342B2E4" w:rsidR="00B937A1" w:rsidRDefault="00B937A1" w:rsidP="00B937A1">
            <w:pPr>
              <w:pStyle w:val="ListBullet"/>
              <w:numPr>
                <w:ilvl w:val="0"/>
                <w:numId w:val="0"/>
              </w:numPr>
            </w:pPr>
            <w:r w:rsidRPr="00B937A1">
              <w:rPr>
                <w:b w:val="0"/>
                <w:bCs w:val="0"/>
              </w:rPr>
              <w:t>Fee: No change</w:t>
            </w:r>
          </w:p>
          <w:p w14:paraId="20D595B8" w14:textId="77777777" w:rsidR="00B937A1" w:rsidRPr="00B937A1" w:rsidRDefault="00B937A1" w:rsidP="00B937A1">
            <w:pPr>
              <w:pStyle w:val="ListBullet"/>
              <w:numPr>
                <w:ilvl w:val="0"/>
                <w:numId w:val="0"/>
              </w:numPr>
              <w:rPr>
                <w:b w:val="0"/>
                <w:bCs w:val="0"/>
              </w:rPr>
            </w:pPr>
          </w:p>
          <w:p w14:paraId="1D174DD5" w14:textId="77777777" w:rsidR="00B937A1" w:rsidRPr="00B937A1" w:rsidRDefault="00B937A1" w:rsidP="00B937A1">
            <w:pPr>
              <w:tabs>
                <w:tab w:val="left" w:pos="340"/>
                <w:tab w:val="left" w:pos="680"/>
              </w:tabs>
              <w:spacing w:before="60" w:after="60"/>
              <w:ind w:left="360" w:hanging="360"/>
            </w:pPr>
            <w:r w:rsidRPr="00B937A1">
              <w:t>Private Health Insurance Classification:</w:t>
            </w:r>
          </w:p>
          <w:p w14:paraId="6600D6CF" w14:textId="77777777" w:rsidR="00B937A1" w:rsidRPr="00B937A1" w:rsidRDefault="00B937A1" w:rsidP="00B937A1">
            <w:pPr>
              <w:pStyle w:val="ListBullet"/>
              <w:rPr>
                <w:b w:val="0"/>
                <w:bCs w:val="0"/>
              </w:rPr>
            </w:pPr>
            <w:r w:rsidRPr="00B937A1">
              <w:rPr>
                <w:b w:val="0"/>
                <w:bCs w:val="0"/>
              </w:rPr>
              <w:t>Clinical category: Support List (DI)</w:t>
            </w:r>
          </w:p>
          <w:p w14:paraId="110B502F" w14:textId="29A4E38C" w:rsidR="00BB5753" w:rsidRPr="00BA451C" w:rsidRDefault="00B937A1" w:rsidP="000D703E">
            <w:pPr>
              <w:pStyle w:val="ListBullet"/>
            </w:pPr>
            <w:r w:rsidRPr="00B937A1">
              <w:rPr>
                <w:b w:val="0"/>
                <w:bCs w:val="0"/>
              </w:rPr>
              <w:t xml:space="preserve">Procedure type: Type </w:t>
            </w:r>
            <w:r w:rsidR="00BB5753">
              <w:rPr>
                <w:b w:val="0"/>
                <w:bCs w:val="0"/>
              </w:rPr>
              <w:t>C</w:t>
            </w:r>
          </w:p>
          <w:p w14:paraId="2BDF063F" w14:textId="5797B19E" w:rsidR="00BB5753" w:rsidRPr="00AA6575" w:rsidRDefault="00BB5753" w:rsidP="001B4586">
            <w:pPr>
              <w:pStyle w:val="ListBullet"/>
              <w:numPr>
                <w:ilvl w:val="0"/>
                <w:numId w:val="0"/>
              </w:numPr>
              <w:ind w:left="360"/>
            </w:pPr>
          </w:p>
        </w:tc>
      </w:tr>
      <w:tr w:rsidR="00BB5753" w14:paraId="2036FE81" w14:textId="77777777" w:rsidTr="00BA451C">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7ACAB3BC" w14:textId="77777777" w:rsidR="00BB5753" w:rsidRPr="001B4586" w:rsidRDefault="00BB5753" w:rsidP="00BB5753">
            <w:pPr>
              <w:rPr>
                <w:b w:val="0"/>
                <w:bCs w:val="0"/>
              </w:rPr>
            </w:pPr>
            <w:r w:rsidRPr="001B4586">
              <w:rPr>
                <w:b w:val="0"/>
                <w:bCs w:val="0"/>
              </w:rPr>
              <w:t>61477</w:t>
            </w:r>
          </w:p>
          <w:p w14:paraId="47A6D4A0" w14:textId="77777777" w:rsidR="00BB5753" w:rsidRPr="001B4586" w:rsidRDefault="00BB5753" w:rsidP="00BB5753">
            <w:pPr>
              <w:rPr>
                <w:b w:val="0"/>
                <w:bCs w:val="0"/>
              </w:rPr>
            </w:pPr>
            <w:r w:rsidRPr="001B4586">
              <w:rPr>
                <w:b w:val="0"/>
                <w:bCs w:val="0"/>
              </w:rPr>
              <w:t xml:space="preserve">Whole body or localised study using </w:t>
            </w:r>
            <w:proofErr w:type="gramStart"/>
            <w:r w:rsidRPr="001B4586">
              <w:rPr>
                <w:b w:val="0"/>
                <w:bCs w:val="0"/>
              </w:rPr>
              <w:t>gallium, if</w:t>
            </w:r>
            <w:proofErr w:type="gramEnd"/>
            <w:r w:rsidRPr="001B4586">
              <w:rPr>
                <w:b w:val="0"/>
                <w:bCs w:val="0"/>
              </w:rPr>
              <w:t xml:space="preserve"> all of the following apply:</w:t>
            </w:r>
          </w:p>
          <w:p w14:paraId="6637DF01" w14:textId="3068DA02" w:rsidR="00BB5753" w:rsidRPr="001B4586" w:rsidRDefault="00BB5753" w:rsidP="001B4586">
            <w:pPr>
              <w:pStyle w:val="ListParagraph"/>
              <w:numPr>
                <w:ilvl w:val="0"/>
                <w:numId w:val="35"/>
              </w:numPr>
              <w:rPr>
                <w:b w:val="0"/>
                <w:bCs w:val="0"/>
              </w:rPr>
            </w:pPr>
            <w:r w:rsidRPr="001B4586">
              <w:rPr>
                <w:b w:val="0"/>
                <w:bCs w:val="0"/>
              </w:rPr>
              <w:t>the service is bulk-</w:t>
            </w:r>
            <w:proofErr w:type="gramStart"/>
            <w:r w:rsidRPr="001B4586">
              <w:rPr>
                <w:b w:val="0"/>
                <w:bCs w:val="0"/>
              </w:rPr>
              <w:t>billed;</w:t>
            </w:r>
            <w:proofErr w:type="gramEnd"/>
          </w:p>
          <w:p w14:paraId="47162F28" w14:textId="3FBB7714" w:rsidR="00BB5753" w:rsidRPr="001B4586" w:rsidRDefault="00BB5753" w:rsidP="001B4586">
            <w:pPr>
              <w:pStyle w:val="ListParagraph"/>
              <w:numPr>
                <w:ilvl w:val="0"/>
                <w:numId w:val="35"/>
              </w:numPr>
              <w:rPr>
                <w:b w:val="0"/>
                <w:bCs w:val="0"/>
              </w:rPr>
            </w:pPr>
            <w:r w:rsidRPr="001B4586">
              <w:rPr>
                <w:b w:val="0"/>
                <w:bCs w:val="0"/>
              </w:rPr>
              <w:t>the service is performed in conjunction with a service described in items 61429, 61430, 61442, 61450 or 61453</w:t>
            </w:r>
          </w:p>
          <w:p w14:paraId="0E3F9BDD" w14:textId="77394D76" w:rsidR="00BB5753" w:rsidRDefault="00BB5753" w:rsidP="0016787F">
            <w:pPr>
              <w:pStyle w:val="ListBullet"/>
              <w:numPr>
                <w:ilvl w:val="0"/>
                <w:numId w:val="0"/>
              </w:numPr>
            </w:pPr>
            <w:r w:rsidRPr="00B937A1">
              <w:rPr>
                <w:b w:val="0"/>
                <w:bCs w:val="0"/>
              </w:rPr>
              <w:t>Fee: No change</w:t>
            </w:r>
          </w:p>
          <w:p w14:paraId="6C5D8CCB" w14:textId="77777777" w:rsidR="0016787F" w:rsidRDefault="0016787F" w:rsidP="001B4586">
            <w:pPr>
              <w:pStyle w:val="ListBullet"/>
              <w:numPr>
                <w:ilvl w:val="0"/>
                <w:numId w:val="0"/>
              </w:numPr>
            </w:pPr>
          </w:p>
          <w:p w14:paraId="391BFA35" w14:textId="77777777" w:rsidR="00BB5753" w:rsidRPr="00B937A1" w:rsidRDefault="00BB5753" w:rsidP="00BB5753">
            <w:pPr>
              <w:tabs>
                <w:tab w:val="left" w:pos="340"/>
                <w:tab w:val="left" w:pos="680"/>
              </w:tabs>
              <w:spacing w:before="60" w:after="60"/>
              <w:ind w:left="360" w:hanging="360"/>
            </w:pPr>
            <w:r w:rsidRPr="00B937A1">
              <w:t>Private Health Insurance Classification:</w:t>
            </w:r>
          </w:p>
          <w:p w14:paraId="1DBE14F7" w14:textId="1D4746BA" w:rsidR="003E2A2A" w:rsidRPr="001B4586" w:rsidRDefault="00C77E05" w:rsidP="000D703E">
            <w:pPr>
              <w:pStyle w:val="ListBullet"/>
              <w:rPr>
                <w:b w:val="0"/>
                <w:bCs w:val="0"/>
              </w:rPr>
            </w:pPr>
            <w:r w:rsidRPr="00C77E05">
              <w:rPr>
                <w:b w:val="0"/>
                <w:bCs w:val="0"/>
              </w:rPr>
              <w:t xml:space="preserve">Private health insurance minimum benefit classifications do not apply to item 61477 as this service is only claimable when </w:t>
            </w:r>
            <w:proofErr w:type="gramStart"/>
            <w:r w:rsidRPr="00C77E05">
              <w:rPr>
                <w:b w:val="0"/>
                <w:bCs w:val="0"/>
              </w:rPr>
              <w:t>bulk-billed</w:t>
            </w:r>
            <w:proofErr w:type="gramEnd"/>
            <w:r w:rsidRPr="00C77E05">
              <w:rPr>
                <w:b w:val="0"/>
                <w:bCs w:val="0"/>
              </w:rPr>
              <w:t>.</w:t>
            </w:r>
          </w:p>
        </w:tc>
      </w:tr>
    </w:tbl>
    <w:p w14:paraId="68D3493B" w14:textId="305449B8" w:rsidR="001B4586" w:rsidRDefault="001B4586"/>
    <w:p w14:paraId="2C9CD776" w14:textId="77777777" w:rsidR="001B4586" w:rsidRDefault="001B4586">
      <w:pPr>
        <w:spacing w:before="0" w:after="0" w:line="240" w:lineRule="auto"/>
      </w:pPr>
      <w:r>
        <w:br w:type="page"/>
      </w:r>
    </w:p>
    <w:tbl>
      <w:tblPr>
        <w:tblStyle w:val="GridTable4-Accent2"/>
        <w:tblW w:w="0" w:type="auto"/>
        <w:tblLook w:val="04A0" w:firstRow="1" w:lastRow="0" w:firstColumn="1" w:lastColumn="0" w:noHBand="0" w:noVBand="1"/>
      </w:tblPr>
      <w:tblGrid>
        <w:gridCol w:w="9060"/>
      </w:tblGrid>
      <w:tr w:rsidR="001B4586" w14:paraId="6904EA44" w14:textId="77777777" w:rsidTr="001B45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9930A75" w14:textId="77777777" w:rsidR="001B4586" w:rsidRDefault="001B4586" w:rsidP="008E3BC0">
            <w:pPr>
              <w:rPr>
                <w:b w:val="0"/>
                <w:bCs w:val="0"/>
                <w:lang w:eastAsia="en-AU"/>
              </w:rPr>
            </w:pPr>
            <w:r w:rsidRPr="00B937A1">
              <w:rPr>
                <w:lang w:eastAsia="en-AU"/>
              </w:rPr>
              <w:lastRenderedPageBreak/>
              <w:t>Category 5 – Diagnostic imaging services</w:t>
            </w:r>
          </w:p>
        </w:tc>
      </w:tr>
      <w:tr w:rsidR="001B4586" w14:paraId="0CE9FC05" w14:textId="77777777" w:rsidTr="001B45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C9C22A5" w14:textId="77777777" w:rsidR="001B4586" w:rsidRDefault="001B4586" w:rsidP="008E3BC0">
            <w:pPr>
              <w:rPr>
                <w:b w:val="0"/>
                <w:bCs w:val="0"/>
                <w:lang w:eastAsia="en-AU"/>
              </w:rPr>
            </w:pPr>
            <w:r>
              <w:rPr>
                <w:lang w:eastAsia="en-AU"/>
              </w:rPr>
              <w:t xml:space="preserve">Group 4 - </w:t>
            </w:r>
            <w:r w:rsidRPr="00B937A1">
              <w:rPr>
                <w:lang w:eastAsia="en-AU"/>
              </w:rPr>
              <w:t>Nuclear Medicine Imaging</w:t>
            </w:r>
          </w:p>
        </w:tc>
      </w:tr>
      <w:tr w:rsidR="00BB5753" w14:paraId="059A254A" w14:textId="77777777" w:rsidTr="00BA451C">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6F3CABDD" w14:textId="4DFA12F2" w:rsidR="00BB5753" w:rsidRPr="00385E5F" w:rsidRDefault="00BB5753" w:rsidP="00BB5753">
            <w:pPr>
              <w:rPr>
                <w:b w:val="0"/>
              </w:rPr>
            </w:pPr>
            <w:r w:rsidRPr="00642F20">
              <w:t>Subgroup</w:t>
            </w:r>
            <w:r>
              <w:t xml:space="preserve"> 2 - </w:t>
            </w:r>
            <w:r w:rsidRPr="00B937A1">
              <w:t>PET</w:t>
            </w:r>
          </w:p>
        </w:tc>
      </w:tr>
      <w:tr w:rsidR="00BB5753" w14:paraId="74B68D2A" w14:textId="77777777" w:rsidTr="00BA4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19369A9" w14:textId="77777777" w:rsidR="00BB5753" w:rsidRDefault="00BB5753" w:rsidP="00BB5753">
            <w:pPr>
              <w:rPr>
                <w:bCs w:val="0"/>
              </w:rPr>
            </w:pPr>
            <w:r>
              <w:rPr>
                <w:b w:val="0"/>
              </w:rPr>
              <w:t>61644</w:t>
            </w:r>
          </w:p>
          <w:p w14:paraId="096653AF" w14:textId="77777777" w:rsidR="00BB5753" w:rsidRPr="00385E5F" w:rsidRDefault="00BB5753" w:rsidP="00BB5753">
            <w:pPr>
              <w:rPr>
                <w:b w:val="0"/>
              </w:rPr>
            </w:pPr>
            <w:r w:rsidRPr="00385E5F">
              <w:rPr>
                <w:b w:val="0"/>
              </w:rPr>
              <w:t>Single rest myocardial perfusion study for the assessment of the extent and severity of non</w:t>
            </w:r>
            <w:r w:rsidRPr="00385E5F">
              <w:rPr>
                <w:rFonts w:ascii="Cambria Math" w:hAnsi="Cambria Math" w:cs="Cambria Math"/>
                <w:b w:val="0"/>
              </w:rPr>
              <w:t>‑</w:t>
            </w:r>
            <w:r w:rsidRPr="00385E5F">
              <w:rPr>
                <w:b w:val="0"/>
              </w:rPr>
              <w:t>viable myocardium, with PET, if:</w:t>
            </w:r>
          </w:p>
          <w:p w14:paraId="35A503F1" w14:textId="3A838822" w:rsidR="00BB5753" w:rsidRPr="000D703E" w:rsidRDefault="00BB5753" w:rsidP="001B4586">
            <w:pPr>
              <w:pStyle w:val="ListParagraph"/>
              <w:numPr>
                <w:ilvl w:val="0"/>
                <w:numId w:val="33"/>
              </w:numPr>
              <w:rPr>
                <w:b w:val="0"/>
                <w:bCs w:val="0"/>
              </w:rPr>
            </w:pPr>
            <w:r w:rsidRPr="000D703E">
              <w:rPr>
                <w:b w:val="0"/>
                <w:bCs w:val="0"/>
              </w:rPr>
              <w:t>the service is performed because the service to which item 61325 applies cannot be performed due to unavailability of thallous chloride 201 (Tl-201); and</w:t>
            </w:r>
          </w:p>
          <w:p w14:paraId="16950434" w14:textId="60EC6F1D" w:rsidR="00BB5753" w:rsidRPr="000D703E" w:rsidRDefault="00BB5753" w:rsidP="001B4586">
            <w:pPr>
              <w:pStyle w:val="ListParagraph"/>
              <w:numPr>
                <w:ilvl w:val="0"/>
                <w:numId w:val="33"/>
              </w:numPr>
              <w:rPr>
                <w:b w:val="0"/>
                <w:bCs w:val="0"/>
              </w:rPr>
            </w:pPr>
            <w:r w:rsidRPr="000D703E">
              <w:rPr>
                <w:b w:val="0"/>
                <w:bCs w:val="0"/>
              </w:rPr>
              <w:t>the patient has left ventricular systolic dysfunction and probable or confirmed coronary artery disease; and</w:t>
            </w:r>
          </w:p>
          <w:p w14:paraId="6DCEF596" w14:textId="65DFDEBB" w:rsidR="00BB5753" w:rsidRPr="000D703E" w:rsidRDefault="00BB5753" w:rsidP="001B4586">
            <w:pPr>
              <w:pStyle w:val="ListParagraph"/>
              <w:numPr>
                <w:ilvl w:val="0"/>
                <w:numId w:val="33"/>
              </w:numPr>
              <w:rPr>
                <w:b w:val="0"/>
                <w:bCs w:val="0"/>
              </w:rPr>
            </w:pPr>
            <w:r w:rsidRPr="000D703E">
              <w:rPr>
                <w:b w:val="0"/>
                <w:bCs w:val="0"/>
              </w:rPr>
              <w:t>the service is performed in conjunction with a rest myocardial perfusion study using technetium-99m; and</w:t>
            </w:r>
          </w:p>
          <w:p w14:paraId="37B06C43" w14:textId="06D76FC5" w:rsidR="00BB5753" w:rsidRPr="000D703E" w:rsidRDefault="00BB5753" w:rsidP="001B4586">
            <w:pPr>
              <w:pStyle w:val="ListParagraph"/>
              <w:numPr>
                <w:ilvl w:val="0"/>
                <w:numId w:val="33"/>
              </w:numPr>
              <w:rPr>
                <w:b w:val="0"/>
                <w:bCs w:val="0"/>
              </w:rPr>
            </w:pPr>
            <w:r w:rsidRPr="000D703E">
              <w:rPr>
                <w:b w:val="0"/>
                <w:bCs w:val="0"/>
              </w:rPr>
              <w:t>the service is requested by a specialist or a consultant physician; and</w:t>
            </w:r>
          </w:p>
          <w:p w14:paraId="0636080E" w14:textId="32D3C82B" w:rsidR="00BB5753" w:rsidRPr="000D703E" w:rsidRDefault="00BB5753" w:rsidP="001B4586">
            <w:pPr>
              <w:pStyle w:val="ListParagraph"/>
              <w:numPr>
                <w:ilvl w:val="0"/>
                <w:numId w:val="33"/>
              </w:numPr>
              <w:rPr>
                <w:b w:val="0"/>
                <w:bCs w:val="0"/>
              </w:rPr>
            </w:pPr>
            <w:r w:rsidRPr="000D703E">
              <w:rPr>
                <w:b w:val="0"/>
                <w:bCs w:val="0"/>
              </w:rPr>
              <w:t>the service is not associated with a service to which item 11704, 11705, 11707, 11714, 11729 or 11730 applies; and</w:t>
            </w:r>
          </w:p>
          <w:p w14:paraId="1CE07CF1" w14:textId="64800730" w:rsidR="00BB5753" w:rsidRPr="000D703E" w:rsidRDefault="00BB5753" w:rsidP="001B4586">
            <w:pPr>
              <w:pStyle w:val="ListParagraph"/>
              <w:numPr>
                <w:ilvl w:val="0"/>
                <w:numId w:val="33"/>
              </w:numPr>
              <w:rPr>
                <w:b w:val="0"/>
                <w:bCs w:val="0"/>
              </w:rPr>
            </w:pPr>
            <w:r w:rsidRPr="000D703E">
              <w:rPr>
                <w:b w:val="0"/>
                <w:bCs w:val="0"/>
              </w:rPr>
              <w:t>this service and item 61325 are applicable only twice each 24 months (R)</w:t>
            </w:r>
          </w:p>
          <w:p w14:paraId="286352C8" w14:textId="39D07EB7" w:rsidR="00BB5753" w:rsidRDefault="00BB5753" w:rsidP="00BB5753">
            <w:pPr>
              <w:pStyle w:val="ListBullet"/>
              <w:numPr>
                <w:ilvl w:val="0"/>
                <w:numId w:val="0"/>
              </w:numPr>
            </w:pPr>
            <w:r w:rsidRPr="00B937A1">
              <w:rPr>
                <w:b w:val="0"/>
                <w:bCs w:val="0"/>
              </w:rPr>
              <w:t>Fee: No change</w:t>
            </w:r>
          </w:p>
          <w:p w14:paraId="0E9A03B5" w14:textId="77777777" w:rsidR="00BB5753" w:rsidRPr="003B5273" w:rsidRDefault="00BB5753" w:rsidP="001B4586">
            <w:pPr>
              <w:pStyle w:val="ListBullet"/>
              <w:numPr>
                <w:ilvl w:val="0"/>
                <w:numId w:val="0"/>
              </w:numPr>
            </w:pPr>
          </w:p>
          <w:p w14:paraId="781C33B9" w14:textId="77777777" w:rsidR="00BB5753" w:rsidRPr="00B937A1" w:rsidRDefault="00BB5753" w:rsidP="00BB5753">
            <w:pPr>
              <w:tabs>
                <w:tab w:val="left" w:pos="340"/>
                <w:tab w:val="left" w:pos="680"/>
              </w:tabs>
              <w:spacing w:before="60" w:after="60"/>
              <w:ind w:left="360" w:hanging="360"/>
            </w:pPr>
            <w:r w:rsidRPr="00B937A1">
              <w:t>Private Health Insurance Classification:</w:t>
            </w:r>
          </w:p>
          <w:p w14:paraId="6CF93BD6" w14:textId="77777777" w:rsidR="00BB5753" w:rsidRPr="00B937A1" w:rsidRDefault="00BB5753" w:rsidP="00BB5753">
            <w:pPr>
              <w:pStyle w:val="ListBullet"/>
              <w:rPr>
                <w:b w:val="0"/>
                <w:bCs w:val="0"/>
              </w:rPr>
            </w:pPr>
            <w:r w:rsidRPr="00B937A1">
              <w:rPr>
                <w:b w:val="0"/>
                <w:bCs w:val="0"/>
              </w:rPr>
              <w:t>Clinical category: Support List (DI)</w:t>
            </w:r>
          </w:p>
          <w:p w14:paraId="0EEB5207" w14:textId="1FB86D77" w:rsidR="0016787F" w:rsidRPr="001B4586" w:rsidRDefault="00BB5753" w:rsidP="000D703E">
            <w:pPr>
              <w:pStyle w:val="ListBullet"/>
              <w:rPr>
                <w:b w:val="0"/>
                <w:bCs w:val="0"/>
              </w:rPr>
            </w:pPr>
            <w:r w:rsidRPr="000D703E">
              <w:rPr>
                <w:b w:val="0"/>
                <w:bCs w:val="0"/>
              </w:rPr>
              <w:t>Procedure type: Type C</w:t>
            </w:r>
          </w:p>
        </w:tc>
      </w:tr>
      <w:bookmarkEnd w:id="3"/>
    </w:tbl>
    <w:p w14:paraId="508B4C47" w14:textId="21E936E1" w:rsidR="00BE3ED5" w:rsidRDefault="00BE3ED5" w:rsidP="00BE3ED5"/>
    <w:p w14:paraId="33C8BC8C" w14:textId="77777777" w:rsidR="001B4586" w:rsidRDefault="001B4586">
      <w:pPr>
        <w:spacing w:before="0" w:after="0" w:line="240" w:lineRule="auto"/>
        <w:rPr>
          <w:rFonts w:cs="Arial"/>
          <w:b/>
          <w:bCs/>
          <w:iCs/>
          <w:color w:val="358189"/>
          <w:sz w:val="36"/>
          <w:szCs w:val="28"/>
        </w:rPr>
      </w:pPr>
      <w:r>
        <w:br w:type="page"/>
      </w:r>
    </w:p>
    <w:p w14:paraId="631FEC19" w14:textId="7EB7E331" w:rsidR="00B937A1" w:rsidRPr="00B937A1" w:rsidRDefault="00B937A1" w:rsidP="00145595">
      <w:pPr>
        <w:pStyle w:val="Heading2"/>
      </w:pPr>
      <w:r>
        <w:lastRenderedPageBreak/>
        <w:t xml:space="preserve">New </w:t>
      </w:r>
      <w:r w:rsidRPr="007A32E7">
        <w:t>item descriptor</w:t>
      </w:r>
      <w:r w:rsidR="002E44BA">
        <w:t>s</w:t>
      </w:r>
      <w:r w:rsidRPr="007A32E7">
        <w:t xml:space="preserve"> (</w:t>
      </w:r>
      <w:r>
        <w:t xml:space="preserve">Effective 1 July </w:t>
      </w:r>
      <w:r w:rsidRPr="007A32E7">
        <w:t>20</w:t>
      </w:r>
      <w:r>
        <w:t>23</w:t>
      </w:r>
      <w:r w:rsidRPr="007A32E7">
        <w:t>)</w:t>
      </w:r>
    </w:p>
    <w:tbl>
      <w:tblPr>
        <w:tblStyle w:val="GridTable4-Accent2"/>
        <w:tblW w:w="0" w:type="auto"/>
        <w:tblLook w:val="04A0" w:firstRow="1" w:lastRow="0" w:firstColumn="1" w:lastColumn="0" w:noHBand="0" w:noVBand="1"/>
      </w:tblPr>
      <w:tblGrid>
        <w:gridCol w:w="9060"/>
      </w:tblGrid>
      <w:tr w:rsidR="00B937A1" w14:paraId="2FD44A47" w14:textId="77777777" w:rsidTr="00210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6415B52C" w14:textId="77777777" w:rsidR="00B937A1" w:rsidRDefault="00B937A1" w:rsidP="00210100">
            <w:pPr>
              <w:rPr>
                <w:b w:val="0"/>
                <w:bCs w:val="0"/>
                <w:lang w:eastAsia="en-AU"/>
              </w:rPr>
            </w:pPr>
            <w:r w:rsidRPr="00B937A1">
              <w:rPr>
                <w:lang w:eastAsia="en-AU"/>
              </w:rPr>
              <w:t>Category 5 – Diagnostic imaging services</w:t>
            </w:r>
          </w:p>
        </w:tc>
      </w:tr>
      <w:tr w:rsidR="00B937A1" w14:paraId="6B7AB351" w14:textId="77777777" w:rsidTr="00210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E3251D7" w14:textId="77777777" w:rsidR="00B937A1" w:rsidRDefault="00B937A1" w:rsidP="00210100">
            <w:pPr>
              <w:rPr>
                <w:b w:val="0"/>
                <w:bCs w:val="0"/>
                <w:lang w:eastAsia="en-AU"/>
              </w:rPr>
            </w:pPr>
            <w:r>
              <w:rPr>
                <w:lang w:eastAsia="en-AU"/>
              </w:rPr>
              <w:t xml:space="preserve">Group 4 - </w:t>
            </w:r>
            <w:r w:rsidRPr="00B937A1">
              <w:rPr>
                <w:lang w:eastAsia="en-AU"/>
              </w:rPr>
              <w:t>Nuclear Medicine Imaging</w:t>
            </w:r>
          </w:p>
        </w:tc>
      </w:tr>
      <w:tr w:rsidR="00B937A1" w14:paraId="3391C446" w14:textId="77777777" w:rsidTr="00210100">
        <w:tc>
          <w:tcPr>
            <w:cnfStyle w:val="001000000000" w:firstRow="0" w:lastRow="0" w:firstColumn="1" w:lastColumn="0" w:oddVBand="0" w:evenVBand="0" w:oddHBand="0" w:evenHBand="0" w:firstRowFirstColumn="0" w:firstRowLastColumn="0" w:lastRowFirstColumn="0" w:lastRowLastColumn="0"/>
            <w:tcW w:w="9060" w:type="dxa"/>
            <w:hideMark/>
          </w:tcPr>
          <w:p w14:paraId="5D3E2156" w14:textId="77777777" w:rsidR="00B937A1" w:rsidRPr="00642F20" w:rsidRDefault="00B937A1" w:rsidP="00210100">
            <w:pPr>
              <w:pStyle w:val="Tabletextleft"/>
              <w:rPr>
                <w:b/>
              </w:rPr>
            </w:pPr>
            <w:r w:rsidRPr="00642F20">
              <w:rPr>
                <w:b/>
              </w:rPr>
              <w:t>Subgroup</w:t>
            </w:r>
            <w:r>
              <w:rPr>
                <w:b/>
              </w:rPr>
              <w:t xml:space="preserve"> 1 - </w:t>
            </w:r>
            <w:r w:rsidRPr="00B937A1">
              <w:rPr>
                <w:b/>
              </w:rPr>
              <w:t xml:space="preserve">Nuclear medicine - </w:t>
            </w:r>
            <w:proofErr w:type="gramStart"/>
            <w:r w:rsidRPr="00B937A1">
              <w:rPr>
                <w:b/>
              </w:rPr>
              <w:t>non PET</w:t>
            </w:r>
            <w:proofErr w:type="gramEnd"/>
          </w:p>
        </w:tc>
      </w:tr>
      <w:tr w:rsidR="00B937A1" w14:paraId="47BFDB1E" w14:textId="77777777" w:rsidTr="00210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A2377B6" w14:textId="600143ED" w:rsidR="00B937A1" w:rsidRPr="00642F20" w:rsidRDefault="00B937A1" w:rsidP="00210100">
            <w:pPr>
              <w:rPr>
                <w:b w:val="0"/>
                <w:bCs w:val="0"/>
              </w:rPr>
            </w:pPr>
            <w:r>
              <w:rPr>
                <w:b w:val="0"/>
                <w:bCs w:val="0"/>
              </w:rPr>
              <w:t>614</w:t>
            </w:r>
            <w:r w:rsidR="00E00F25">
              <w:rPr>
                <w:b w:val="0"/>
                <w:bCs w:val="0"/>
              </w:rPr>
              <w:t>66</w:t>
            </w:r>
          </w:p>
          <w:p w14:paraId="50506B3C" w14:textId="77777777" w:rsidR="00B937A1" w:rsidRPr="00B937A1" w:rsidRDefault="00B937A1" w:rsidP="00B937A1">
            <w:pPr>
              <w:spacing w:after="0" w:line="221" w:lineRule="atLeast"/>
              <w:rPr>
                <w:rFonts w:cs="Arial"/>
                <w:b w:val="0"/>
                <w:bCs w:val="0"/>
                <w:color w:val="auto"/>
                <w:szCs w:val="22"/>
                <w:lang w:eastAsia="en-AU"/>
              </w:rPr>
            </w:pPr>
            <w:proofErr w:type="spellStart"/>
            <w:r w:rsidRPr="00B937A1">
              <w:rPr>
                <w:rFonts w:cs="Arial"/>
                <w:b w:val="0"/>
                <w:bCs w:val="0"/>
                <w:color w:val="auto"/>
                <w:szCs w:val="22"/>
              </w:rPr>
              <w:t>Cerebro</w:t>
            </w:r>
            <w:proofErr w:type="spellEnd"/>
            <w:r w:rsidRPr="00B937A1">
              <w:rPr>
                <w:rFonts w:cs="Arial"/>
                <w:b w:val="0"/>
                <w:bCs w:val="0"/>
                <w:color w:val="auto"/>
                <w:szCs w:val="22"/>
              </w:rPr>
              <w:t>-spinal fluid transport study using indium-111, with imaging on 2 or more separate occasions (R)</w:t>
            </w:r>
          </w:p>
          <w:p w14:paraId="26C0F6E6" w14:textId="321F998F" w:rsidR="00B937A1" w:rsidRPr="00CA70F9" w:rsidRDefault="00B937A1" w:rsidP="00B937A1">
            <w:pPr>
              <w:pStyle w:val="ListBullet"/>
              <w:numPr>
                <w:ilvl w:val="0"/>
                <w:numId w:val="0"/>
              </w:numPr>
              <w:rPr>
                <w:b w:val="0"/>
                <w:bCs w:val="0"/>
              </w:rPr>
            </w:pPr>
            <w:r w:rsidRPr="00B937A1">
              <w:rPr>
                <w:rFonts w:cs="Arial"/>
                <w:b w:val="0"/>
                <w:bCs w:val="0"/>
                <w:color w:val="auto"/>
              </w:rPr>
              <w:br/>
            </w:r>
            <w:r w:rsidRPr="00CA70F9">
              <w:rPr>
                <w:rFonts w:cs="Arial"/>
                <w:b w:val="0"/>
                <w:bCs w:val="0"/>
                <w:color w:val="auto"/>
              </w:rPr>
              <w:t xml:space="preserve">Fee: $4,690.90    </w:t>
            </w:r>
            <w:r w:rsidRPr="00CA70F9">
              <w:rPr>
                <w:rFonts w:ascii="Times New Roman" w:hAnsi="Times New Roman"/>
                <w:b w:val="0"/>
                <w:bCs w:val="0"/>
                <w:sz w:val="20"/>
                <w:szCs w:val="20"/>
              </w:rPr>
              <w:br/>
            </w:r>
          </w:p>
          <w:p w14:paraId="53CC9B9D" w14:textId="1182FBEA" w:rsidR="00B937A1" w:rsidRPr="00B937A1" w:rsidRDefault="00C77E05" w:rsidP="00210100">
            <w:pPr>
              <w:tabs>
                <w:tab w:val="left" w:pos="340"/>
                <w:tab w:val="left" w:pos="680"/>
              </w:tabs>
              <w:spacing w:before="60" w:after="60"/>
              <w:ind w:left="360" w:hanging="360"/>
            </w:pPr>
            <w:r>
              <w:t xml:space="preserve">Proposed </w:t>
            </w:r>
            <w:r w:rsidR="00B937A1" w:rsidRPr="00B937A1">
              <w:t>Private Health Insurance Classification:</w:t>
            </w:r>
          </w:p>
          <w:p w14:paraId="6B7AA981" w14:textId="77777777" w:rsidR="00B937A1" w:rsidRPr="00B937A1" w:rsidRDefault="00B937A1" w:rsidP="00210100">
            <w:pPr>
              <w:pStyle w:val="ListBullet"/>
              <w:rPr>
                <w:b w:val="0"/>
                <w:bCs w:val="0"/>
              </w:rPr>
            </w:pPr>
            <w:r w:rsidRPr="00B937A1">
              <w:rPr>
                <w:b w:val="0"/>
                <w:bCs w:val="0"/>
              </w:rPr>
              <w:t>Clinical category: Support List (DI)</w:t>
            </w:r>
          </w:p>
          <w:p w14:paraId="214ACEFC" w14:textId="77777777" w:rsidR="00B937A1" w:rsidRDefault="00B937A1" w:rsidP="00210100">
            <w:pPr>
              <w:pStyle w:val="ListBullet"/>
            </w:pPr>
            <w:r w:rsidRPr="00B937A1">
              <w:rPr>
                <w:b w:val="0"/>
                <w:bCs w:val="0"/>
              </w:rPr>
              <w:t>Procedure type: Type C</w:t>
            </w:r>
          </w:p>
          <w:p w14:paraId="5BC5A10A" w14:textId="1A434215" w:rsidR="0016787F" w:rsidRPr="00AA6575" w:rsidRDefault="0016787F" w:rsidP="00E34A04">
            <w:pPr>
              <w:pStyle w:val="ListBullet"/>
              <w:numPr>
                <w:ilvl w:val="0"/>
                <w:numId w:val="0"/>
              </w:numPr>
            </w:pPr>
          </w:p>
        </w:tc>
      </w:tr>
      <w:tr w:rsidR="003B5273" w14:paraId="21DF74F6" w14:textId="77777777" w:rsidTr="00210100">
        <w:tc>
          <w:tcPr>
            <w:cnfStyle w:val="001000000000" w:firstRow="0" w:lastRow="0" w:firstColumn="1" w:lastColumn="0" w:oddVBand="0" w:evenVBand="0" w:oddHBand="0" w:evenHBand="0" w:firstRowFirstColumn="0" w:firstRowLastColumn="0" w:lastRowFirstColumn="0" w:lastRowLastColumn="0"/>
            <w:tcW w:w="9060" w:type="dxa"/>
          </w:tcPr>
          <w:p w14:paraId="5A492E28" w14:textId="77777777" w:rsidR="003B5273" w:rsidRPr="000D703E" w:rsidRDefault="003B5273" w:rsidP="00210100">
            <w:pPr>
              <w:rPr>
                <w:b w:val="0"/>
                <w:bCs w:val="0"/>
              </w:rPr>
            </w:pPr>
            <w:r w:rsidRPr="000D703E">
              <w:rPr>
                <w:b w:val="0"/>
                <w:bCs w:val="0"/>
              </w:rPr>
              <w:t>61470</w:t>
            </w:r>
          </w:p>
          <w:p w14:paraId="1D0F9BA8" w14:textId="77777777" w:rsidR="003B5273" w:rsidRPr="000D703E" w:rsidRDefault="003B5273" w:rsidP="003B5273">
            <w:pPr>
              <w:rPr>
                <w:b w:val="0"/>
                <w:bCs w:val="0"/>
              </w:rPr>
            </w:pPr>
            <w:r w:rsidRPr="000D703E">
              <w:rPr>
                <w:b w:val="0"/>
                <w:bCs w:val="0"/>
              </w:rPr>
              <w:t xml:space="preserve">Whole body or localised study using thallium-201, or single rest myocardial perfusion study using thallium-201, if </w:t>
            </w:r>
            <w:proofErr w:type="gramStart"/>
            <w:r w:rsidRPr="000D703E">
              <w:rPr>
                <w:b w:val="0"/>
                <w:bCs w:val="0"/>
              </w:rPr>
              <w:t>all of</w:t>
            </w:r>
            <w:proofErr w:type="gramEnd"/>
            <w:r w:rsidRPr="000D703E">
              <w:rPr>
                <w:b w:val="0"/>
                <w:bCs w:val="0"/>
              </w:rPr>
              <w:t xml:space="preserve"> the following apply:</w:t>
            </w:r>
          </w:p>
          <w:p w14:paraId="7AD33F63" w14:textId="5932A774" w:rsidR="003B5273" w:rsidRPr="000D703E" w:rsidRDefault="003B5273" w:rsidP="00E34A04">
            <w:pPr>
              <w:pStyle w:val="ListParagraph"/>
              <w:numPr>
                <w:ilvl w:val="0"/>
                <w:numId w:val="31"/>
              </w:numPr>
              <w:rPr>
                <w:b w:val="0"/>
                <w:bCs w:val="0"/>
              </w:rPr>
            </w:pPr>
            <w:r w:rsidRPr="000D703E">
              <w:rPr>
                <w:b w:val="0"/>
                <w:bCs w:val="0"/>
              </w:rPr>
              <w:t xml:space="preserve">The service is bulk </w:t>
            </w:r>
            <w:proofErr w:type="gramStart"/>
            <w:r w:rsidRPr="000D703E">
              <w:rPr>
                <w:b w:val="0"/>
                <w:bCs w:val="0"/>
              </w:rPr>
              <w:t>billed;</w:t>
            </w:r>
            <w:proofErr w:type="gramEnd"/>
          </w:p>
          <w:p w14:paraId="34C8E3DE" w14:textId="09913F3C" w:rsidR="003B5273" w:rsidRPr="000D703E" w:rsidRDefault="003B5273" w:rsidP="00E34A04">
            <w:pPr>
              <w:pStyle w:val="ListParagraph"/>
              <w:numPr>
                <w:ilvl w:val="0"/>
                <w:numId w:val="31"/>
              </w:numPr>
              <w:rPr>
                <w:b w:val="0"/>
                <w:bCs w:val="0"/>
              </w:rPr>
            </w:pPr>
            <w:r w:rsidRPr="000D703E">
              <w:rPr>
                <w:b w:val="0"/>
                <w:bCs w:val="0"/>
              </w:rPr>
              <w:t>The service is performed in conjunction with a service described in items 61438, 61461 or 61325.</w:t>
            </w:r>
          </w:p>
          <w:p w14:paraId="716C30AA" w14:textId="5FD21D38" w:rsidR="003B5273" w:rsidRPr="00CA70F9" w:rsidRDefault="003B5273" w:rsidP="003B5273">
            <w:pPr>
              <w:rPr>
                <w:b w:val="0"/>
                <w:bCs w:val="0"/>
                <w:color w:val="FF0000"/>
              </w:rPr>
            </w:pPr>
            <w:r w:rsidRPr="00CA70F9">
              <w:rPr>
                <w:b w:val="0"/>
                <w:bCs w:val="0"/>
                <w:color w:val="auto"/>
              </w:rPr>
              <w:t>Fee: $</w:t>
            </w:r>
            <w:r w:rsidR="00BB5753" w:rsidRPr="00CA70F9">
              <w:rPr>
                <w:b w:val="0"/>
                <w:bCs w:val="0"/>
                <w:color w:val="auto"/>
              </w:rPr>
              <w:t>1,126.00</w:t>
            </w:r>
            <w:r w:rsidRPr="00CA70F9">
              <w:rPr>
                <w:b w:val="0"/>
                <w:bCs w:val="0"/>
                <w:color w:val="auto"/>
              </w:rPr>
              <w:t xml:space="preserve">    </w:t>
            </w:r>
          </w:p>
          <w:p w14:paraId="35E912A1" w14:textId="61302F61" w:rsidR="003B5273" w:rsidRPr="00B937A1" w:rsidRDefault="003B5273" w:rsidP="003B5273">
            <w:pPr>
              <w:tabs>
                <w:tab w:val="left" w:pos="340"/>
                <w:tab w:val="left" w:pos="680"/>
              </w:tabs>
              <w:spacing w:before="60" w:after="60"/>
              <w:ind w:left="360" w:hanging="360"/>
            </w:pPr>
            <w:r w:rsidRPr="00B937A1">
              <w:t>Private Health Insurance Classification:</w:t>
            </w:r>
          </w:p>
          <w:p w14:paraId="367782BE" w14:textId="5A5F3685" w:rsidR="0016787F" w:rsidRPr="00E34A04" w:rsidRDefault="00C77E05" w:rsidP="000D703E">
            <w:pPr>
              <w:pStyle w:val="ListBullet"/>
              <w:rPr>
                <w:b w:val="0"/>
                <w:bCs w:val="0"/>
              </w:rPr>
            </w:pPr>
            <w:r w:rsidRPr="00C77E05">
              <w:rPr>
                <w:b w:val="0"/>
                <w:bCs w:val="0"/>
              </w:rPr>
              <w:t xml:space="preserve">Private health insurance minimum benefit classifications do not apply to item </w:t>
            </w:r>
            <w:r>
              <w:rPr>
                <w:b w:val="0"/>
                <w:bCs w:val="0"/>
              </w:rPr>
              <w:t>61470</w:t>
            </w:r>
            <w:r w:rsidRPr="00C77E05">
              <w:rPr>
                <w:b w:val="0"/>
                <w:bCs w:val="0"/>
              </w:rPr>
              <w:t xml:space="preserve"> as this service is only claimable when </w:t>
            </w:r>
            <w:proofErr w:type="gramStart"/>
            <w:r w:rsidRPr="00C77E05">
              <w:rPr>
                <w:b w:val="0"/>
                <w:bCs w:val="0"/>
              </w:rPr>
              <w:t>bulk-billed</w:t>
            </w:r>
            <w:proofErr w:type="gramEnd"/>
            <w:r w:rsidRPr="00C77E05">
              <w:rPr>
                <w:b w:val="0"/>
                <w:bCs w:val="0"/>
              </w:rPr>
              <w:t>.</w:t>
            </w:r>
          </w:p>
        </w:tc>
      </w:tr>
    </w:tbl>
    <w:p w14:paraId="50D9FB12" w14:textId="77777777" w:rsidR="00B937A1" w:rsidRDefault="00B937A1"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4177CA73" w:rsidR="007C31DD" w:rsidRPr="00BE3ED5" w:rsidRDefault="007C31DD" w:rsidP="00E00F25">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5692" w14:textId="77777777" w:rsidR="00970053" w:rsidRDefault="00970053" w:rsidP="006B56BB">
      <w:r>
        <w:separator/>
      </w:r>
    </w:p>
    <w:p w14:paraId="7C61D8F5" w14:textId="77777777" w:rsidR="00970053" w:rsidRDefault="00970053"/>
    <w:p w14:paraId="50CD1881" w14:textId="77777777" w:rsidR="00970053" w:rsidRDefault="00970053"/>
  </w:endnote>
  <w:endnote w:type="continuationSeparator" w:id="0">
    <w:p w14:paraId="7EFC699D" w14:textId="77777777" w:rsidR="00970053" w:rsidRDefault="00970053" w:rsidP="006B56BB">
      <w:r>
        <w:continuationSeparator/>
      </w:r>
    </w:p>
    <w:p w14:paraId="346CA233" w14:textId="77777777" w:rsidR="00970053" w:rsidRDefault="00970053"/>
    <w:p w14:paraId="4697433D" w14:textId="77777777" w:rsidR="00970053" w:rsidRDefault="00970053"/>
  </w:endnote>
  <w:endnote w:type="continuationNotice" w:id="1">
    <w:p w14:paraId="4977AF83" w14:textId="77777777" w:rsidR="00970053" w:rsidRDefault="00970053"/>
    <w:p w14:paraId="0F950C42" w14:textId="77777777" w:rsidR="00970053" w:rsidRDefault="00970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0A4D" w14:textId="77777777" w:rsidR="00AE4C88" w:rsidRDefault="00AE4C88">
    <w:pPr>
      <w:pStyle w:val="Footer"/>
    </w:pPr>
  </w:p>
  <w:p w14:paraId="1A32CB9D" w14:textId="77777777" w:rsidR="005B5241" w:rsidRDefault="005B52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E93132"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5EA84004" w:rsidR="00F51321" w:rsidRDefault="00436C0E" w:rsidP="00F51321">
    <w:pPr>
      <w:pStyle w:val="Footer"/>
      <w:tabs>
        <w:tab w:val="clear" w:pos="9026"/>
        <w:tab w:val="right" w:pos="10466"/>
      </w:tabs>
    </w:pPr>
    <w:r w:rsidRPr="00436C0E">
      <w:rPr>
        <w:b/>
      </w:rPr>
      <w:t>Diagnostic Imaging Services Table – Changes commencing from 1 July 2023</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E93132" w:rsidP="00F51321">
    <w:pPr>
      <w:pStyle w:val="Footer"/>
      <w:jc w:val="left"/>
      <w:rPr>
        <w:rStyle w:val="Hyperlink"/>
        <w:szCs w:val="18"/>
      </w:rPr>
    </w:pPr>
    <w:hyperlink r:id="rId1" w:history="1">
      <w:r w:rsidR="00F51321" w:rsidRPr="00E863C4">
        <w:rPr>
          <w:rStyle w:val="Hyperlink"/>
          <w:szCs w:val="18"/>
        </w:rPr>
        <w:t>MBS Online</w:t>
      </w:r>
    </w:hyperlink>
  </w:p>
  <w:p w14:paraId="0D093570" w14:textId="49DA2F79" w:rsidR="00F51321" w:rsidRPr="009B32BA" w:rsidRDefault="00F51321" w:rsidP="00F51321">
    <w:pPr>
      <w:pStyle w:val="Footer"/>
      <w:jc w:val="left"/>
      <w:rPr>
        <w:szCs w:val="18"/>
      </w:rPr>
    </w:pPr>
    <w:r w:rsidRPr="00870B05">
      <w:t>Last updated</w:t>
    </w:r>
    <w:r>
      <w:t xml:space="preserve"> – </w:t>
    </w:r>
    <w:r w:rsidR="00C77E05">
      <w:t>2</w:t>
    </w:r>
    <w:r w:rsidR="00436C0E">
      <w:t>6</w:t>
    </w:r>
    <w:r w:rsidR="00C77E05">
      <w:t xml:space="preserve"> April</w:t>
    </w:r>
    <w:r w:rsidR="00E00F25" w:rsidRPr="000D703E">
      <w:t xml:space="preserve"> 2023</w:t>
    </w:r>
  </w:p>
  <w:p w14:paraId="78B91981" w14:textId="77777777" w:rsidR="00CB03B8" w:rsidRPr="00F51321" w:rsidRDefault="00CB03B8" w:rsidP="00F51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0630" w14:textId="0BD6CACF" w:rsidR="00E00F25" w:rsidRDefault="00E93132" w:rsidP="00E00F25">
    <w:pPr>
      <w:pStyle w:val="Footer"/>
      <w:jc w:val="left"/>
    </w:pPr>
    <w:r>
      <w:rPr>
        <w:rStyle w:val="BookTitle"/>
        <w:rFonts w:eastAsiaTheme="minorEastAsia"/>
        <w:noProof/>
      </w:rPr>
      <w:pict w14:anchorId="1DB3991B">
        <v:rect id="_x0000_i1026" style="width:523.3pt;height:1.9pt" o:hralign="center" o:hrstd="t" o:hr="t" fillcolor="#a0a0a0" stroked="f"/>
      </w:pict>
    </w:r>
    <w:r w:rsidR="00E00F25">
      <w:t>Medicare Benefits Schedule</w:t>
    </w:r>
  </w:p>
  <w:p w14:paraId="3B96493D" w14:textId="3CBA5737" w:rsidR="00E00F25" w:rsidRDefault="00436C0E" w:rsidP="00E00F25">
    <w:pPr>
      <w:pStyle w:val="Footer"/>
      <w:tabs>
        <w:tab w:val="clear" w:pos="9026"/>
        <w:tab w:val="right" w:pos="10466"/>
      </w:tabs>
    </w:pPr>
    <w:r w:rsidRPr="00436C0E">
      <w:rPr>
        <w:b/>
      </w:rPr>
      <w:t>Diagnostic Imaging Services Table – Changes commencing from 1 July 2023</w:t>
    </w:r>
    <w:sdt>
      <w:sdtPr>
        <w:id w:val="178015015"/>
        <w:docPartObj>
          <w:docPartGallery w:val="Page Numbers (Bottom of Page)"/>
          <w:docPartUnique/>
        </w:docPartObj>
      </w:sdtPr>
      <w:sdtEndPr>
        <w:rPr>
          <w:noProof/>
        </w:rPr>
      </w:sdtEndPr>
      <w:sdtContent>
        <w:r w:rsidR="00E00F25">
          <w:tab/>
        </w:r>
        <w:sdt>
          <w:sdtPr>
            <w:id w:val="2104674228"/>
            <w:docPartObj>
              <w:docPartGallery w:val="Page Numbers (Bottom of Page)"/>
              <w:docPartUnique/>
            </w:docPartObj>
          </w:sdtPr>
          <w:sdtEndPr/>
          <w:sdtContent>
            <w:sdt>
              <w:sdtPr>
                <w:id w:val="-1491946129"/>
                <w:docPartObj>
                  <w:docPartGallery w:val="Page Numbers (Top of Page)"/>
                  <w:docPartUnique/>
                </w:docPartObj>
              </w:sdtPr>
              <w:sdtEndPr/>
              <w:sdtContent>
                <w:r w:rsidR="00E00F25" w:rsidRPr="00F546CA">
                  <w:t xml:space="preserve">Page </w:t>
                </w:r>
                <w:r w:rsidR="00E00F25" w:rsidRPr="00F546CA">
                  <w:rPr>
                    <w:bCs/>
                    <w:sz w:val="24"/>
                  </w:rPr>
                  <w:fldChar w:fldCharType="begin"/>
                </w:r>
                <w:r w:rsidR="00E00F25" w:rsidRPr="00F546CA">
                  <w:rPr>
                    <w:bCs/>
                  </w:rPr>
                  <w:instrText xml:space="preserve"> PAGE </w:instrText>
                </w:r>
                <w:r w:rsidR="00E00F25" w:rsidRPr="00F546CA">
                  <w:rPr>
                    <w:bCs/>
                    <w:sz w:val="24"/>
                  </w:rPr>
                  <w:fldChar w:fldCharType="separate"/>
                </w:r>
                <w:r w:rsidR="00E00F25">
                  <w:rPr>
                    <w:bCs/>
                    <w:sz w:val="24"/>
                  </w:rPr>
                  <w:t>2</w:t>
                </w:r>
                <w:r w:rsidR="00E00F25" w:rsidRPr="00F546CA">
                  <w:rPr>
                    <w:bCs/>
                    <w:sz w:val="24"/>
                  </w:rPr>
                  <w:fldChar w:fldCharType="end"/>
                </w:r>
                <w:r w:rsidR="00E00F25" w:rsidRPr="00F546CA">
                  <w:t xml:space="preserve"> of </w:t>
                </w:r>
                <w:r w:rsidR="00E00F25" w:rsidRPr="00F546CA">
                  <w:rPr>
                    <w:bCs/>
                    <w:sz w:val="24"/>
                  </w:rPr>
                  <w:fldChar w:fldCharType="begin"/>
                </w:r>
                <w:r w:rsidR="00E00F25" w:rsidRPr="00F546CA">
                  <w:rPr>
                    <w:bCs/>
                  </w:rPr>
                  <w:instrText xml:space="preserve"> NUMPAGES  </w:instrText>
                </w:r>
                <w:r w:rsidR="00E00F25" w:rsidRPr="00F546CA">
                  <w:rPr>
                    <w:bCs/>
                    <w:sz w:val="24"/>
                  </w:rPr>
                  <w:fldChar w:fldCharType="separate"/>
                </w:r>
                <w:r w:rsidR="00E00F25">
                  <w:rPr>
                    <w:bCs/>
                    <w:sz w:val="24"/>
                  </w:rPr>
                  <w:t>5</w:t>
                </w:r>
                <w:r w:rsidR="00E00F25" w:rsidRPr="00F546CA">
                  <w:rPr>
                    <w:bCs/>
                    <w:sz w:val="24"/>
                  </w:rPr>
                  <w:fldChar w:fldCharType="end"/>
                </w:r>
              </w:sdtContent>
            </w:sdt>
          </w:sdtContent>
        </w:sdt>
        <w:r w:rsidR="00E00F25">
          <w:t xml:space="preserve"> </w:t>
        </w:r>
      </w:sdtContent>
    </w:sdt>
  </w:p>
  <w:p w14:paraId="0F846EEC" w14:textId="77777777" w:rsidR="00E00F25" w:rsidRDefault="00E93132" w:rsidP="00E00F25">
    <w:pPr>
      <w:pStyle w:val="Footer"/>
      <w:jc w:val="left"/>
      <w:rPr>
        <w:rStyle w:val="Hyperlink"/>
        <w:szCs w:val="18"/>
      </w:rPr>
    </w:pPr>
    <w:hyperlink r:id="rId1" w:history="1">
      <w:r w:rsidR="00E00F25" w:rsidRPr="00E863C4">
        <w:rPr>
          <w:rStyle w:val="Hyperlink"/>
          <w:szCs w:val="18"/>
        </w:rPr>
        <w:t>MBS Online</w:t>
      </w:r>
    </w:hyperlink>
  </w:p>
  <w:p w14:paraId="66A00B54" w14:textId="37EBC349" w:rsidR="00E00F25" w:rsidRPr="009B32BA" w:rsidRDefault="00E00F25" w:rsidP="00E00F25">
    <w:pPr>
      <w:pStyle w:val="Footer"/>
      <w:jc w:val="left"/>
      <w:rPr>
        <w:szCs w:val="18"/>
      </w:rPr>
    </w:pPr>
    <w:r w:rsidRPr="00870B05">
      <w:t>Last updated</w:t>
    </w:r>
    <w:r>
      <w:t xml:space="preserve"> – </w:t>
    </w:r>
    <w:r w:rsidR="00C77E05">
      <w:t>2</w:t>
    </w:r>
    <w:r w:rsidR="00436C0E">
      <w:t>6</w:t>
    </w:r>
    <w:r w:rsidR="00C77E05">
      <w:t xml:space="preserve"> April</w:t>
    </w:r>
    <w:r w:rsidR="0016787F" w:rsidRPr="000D703E">
      <w:t xml:space="preserve"> </w:t>
    </w:r>
    <w:r w:rsidRPr="000D703E">
      <w:t>2023</w:t>
    </w:r>
  </w:p>
  <w:p w14:paraId="2964AB57" w14:textId="24DF8D2E" w:rsidR="00CB03B8" w:rsidRPr="00064168" w:rsidRDefault="00CB03B8" w:rsidP="00E00F25">
    <w:pPr>
      <w:pStyle w:val="Footer"/>
      <w:jc w:val="left"/>
    </w:pPr>
  </w:p>
  <w:p w14:paraId="1ACFF50A" w14:textId="77777777" w:rsidR="005B5241" w:rsidRDefault="005B5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72F9" w14:textId="77777777" w:rsidR="00970053" w:rsidRDefault="00970053" w:rsidP="006B56BB">
      <w:r>
        <w:separator/>
      </w:r>
    </w:p>
    <w:p w14:paraId="71FF6970" w14:textId="77777777" w:rsidR="00970053" w:rsidRDefault="00970053"/>
    <w:p w14:paraId="6E7CD19F" w14:textId="77777777" w:rsidR="00970053" w:rsidRDefault="00970053"/>
  </w:footnote>
  <w:footnote w:type="continuationSeparator" w:id="0">
    <w:p w14:paraId="4168B58D" w14:textId="77777777" w:rsidR="00970053" w:rsidRDefault="00970053" w:rsidP="006B56BB">
      <w:r>
        <w:continuationSeparator/>
      </w:r>
    </w:p>
    <w:p w14:paraId="6909B4CB" w14:textId="77777777" w:rsidR="00970053" w:rsidRDefault="00970053"/>
    <w:p w14:paraId="3469B008" w14:textId="77777777" w:rsidR="00970053" w:rsidRDefault="00970053"/>
  </w:footnote>
  <w:footnote w:type="continuationNotice" w:id="1">
    <w:p w14:paraId="7F90043E" w14:textId="77777777" w:rsidR="00970053" w:rsidRDefault="00970053"/>
    <w:p w14:paraId="52FFACF8" w14:textId="77777777" w:rsidR="00970053" w:rsidRDefault="00970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9D00" w14:textId="77777777" w:rsidR="00AE4C88" w:rsidRDefault="00AE4C88">
    <w:pPr>
      <w:pStyle w:val="Header"/>
    </w:pPr>
  </w:p>
  <w:p w14:paraId="2D6050F9" w14:textId="77777777" w:rsidR="005B5241" w:rsidRDefault="005B52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C891" w14:textId="77777777" w:rsidR="00AE4C88" w:rsidRDefault="00AE4C88">
    <w:pPr>
      <w:pStyle w:val="Header"/>
    </w:pPr>
  </w:p>
  <w:p w14:paraId="6D63B5A0" w14:textId="77777777" w:rsidR="005B5241" w:rsidRDefault="005B52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249BCBDA" w14:textId="77777777" w:rsidR="005B5241" w:rsidRDefault="005B5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4E7ABF"/>
    <w:multiLevelType w:val="hybridMultilevel"/>
    <w:tmpl w:val="0D1682BC"/>
    <w:lvl w:ilvl="0" w:tplc="8B26B27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9864AD7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920652"/>
    <w:multiLevelType w:val="hybridMultilevel"/>
    <w:tmpl w:val="3F20FBD4"/>
    <w:lvl w:ilvl="0" w:tplc="8B62A8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76A226B"/>
    <w:multiLevelType w:val="hybridMultilevel"/>
    <w:tmpl w:val="86921A38"/>
    <w:lvl w:ilvl="0" w:tplc="60E0E0F8">
      <w:start w:val="1"/>
      <w:numFmt w:val="low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7F70CF"/>
    <w:multiLevelType w:val="hybridMultilevel"/>
    <w:tmpl w:val="0100979E"/>
    <w:lvl w:ilvl="0" w:tplc="7FFED200">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442502"/>
    <w:multiLevelType w:val="hybridMultilevel"/>
    <w:tmpl w:val="0D6C39DE"/>
    <w:lvl w:ilvl="0" w:tplc="8B62A8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091CFF"/>
    <w:multiLevelType w:val="hybridMultilevel"/>
    <w:tmpl w:val="D96226C8"/>
    <w:lvl w:ilvl="0" w:tplc="1318F05E">
      <w:start w:val="1"/>
      <w:numFmt w:val="lowerLetter"/>
      <w:lvlText w:val="%1)"/>
      <w:lvlJc w:val="left"/>
      <w:pPr>
        <w:ind w:left="980" w:hanging="6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755747"/>
    <w:multiLevelType w:val="hybridMultilevel"/>
    <w:tmpl w:val="587E5006"/>
    <w:lvl w:ilvl="0" w:tplc="2050F554">
      <w:start w:val="1"/>
      <w:numFmt w:val="lowerLetter"/>
      <w:lvlText w:val="%1)"/>
      <w:lvlJc w:val="left"/>
      <w:pPr>
        <w:ind w:left="720" w:hanging="360"/>
      </w:pPr>
      <w:rPr>
        <w:rFonts w:ascii="Arial" w:hAnsi="Aria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9F1C14"/>
    <w:multiLevelType w:val="hybridMultilevel"/>
    <w:tmpl w:val="E4BEF714"/>
    <w:lvl w:ilvl="0" w:tplc="8B62A8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1"/>
  </w:num>
  <w:num w:numId="3">
    <w:abstractNumId w:val="25"/>
  </w:num>
  <w:num w:numId="4">
    <w:abstractNumId w:val="8"/>
  </w:num>
  <w:num w:numId="5">
    <w:abstractNumId w:val="8"/>
    <w:lvlOverride w:ilvl="0">
      <w:startOverride w:val="1"/>
    </w:lvlOverride>
  </w:num>
  <w:num w:numId="6">
    <w:abstractNumId w:val="10"/>
  </w:num>
  <w:num w:numId="7">
    <w:abstractNumId w:val="19"/>
  </w:num>
  <w:num w:numId="8">
    <w:abstractNumId w:val="24"/>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8"/>
  </w:num>
  <w:num w:numId="17">
    <w:abstractNumId w:val="11"/>
  </w:num>
  <w:num w:numId="18">
    <w:abstractNumId w:val="13"/>
  </w:num>
  <w:num w:numId="19">
    <w:abstractNumId w:val="16"/>
  </w:num>
  <w:num w:numId="20">
    <w:abstractNumId w:val="11"/>
  </w:num>
  <w:num w:numId="21">
    <w:abstractNumId w:val="16"/>
  </w:num>
  <w:num w:numId="22">
    <w:abstractNumId w:val="28"/>
  </w:num>
  <w:num w:numId="23">
    <w:abstractNumId w:val="21"/>
  </w:num>
  <w:num w:numId="24">
    <w:abstractNumId w:val="25"/>
  </w:num>
  <w:num w:numId="25">
    <w:abstractNumId w:val="8"/>
  </w:num>
  <w:num w:numId="26">
    <w:abstractNumId w:val="20"/>
  </w:num>
  <w:num w:numId="27">
    <w:abstractNumId w:val="12"/>
  </w:num>
  <w:num w:numId="28">
    <w:abstractNumId w:val="15"/>
  </w:num>
  <w:num w:numId="29">
    <w:abstractNumId w:val="17"/>
  </w:num>
  <w:num w:numId="30">
    <w:abstractNumId w:val="26"/>
  </w:num>
  <w:num w:numId="31">
    <w:abstractNumId w:val="14"/>
  </w:num>
  <w:num w:numId="32">
    <w:abstractNumId w:val="9"/>
  </w:num>
  <w:num w:numId="33">
    <w:abstractNumId w:val="27"/>
  </w:num>
  <w:num w:numId="34">
    <w:abstractNumId w:val="23"/>
  </w:num>
  <w:num w:numId="35">
    <w:abstractNumId w:val="2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8606F"/>
    <w:rsid w:val="00090316"/>
    <w:rsid w:val="00093981"/>
    <w:rsid w:val="00094065"/>
    <w:rsid w:val="000B067A"/>
    <w:rsid w:val="000B1540"/>
    <w:rsid w:val="000B1E53"/>
    <w:rsid w:val="000B33FD"/>
    <w:rsid w:val="000B4ABA"/>
    <w:rsid w:val="000C4B16"/>
    <w:rsid w:val="000C50C3"/>
    <w:rsid w:val="000C5E14"/>
    <w:rsid w:val="000D21F6"/>
    <w:rsid w:val="000D4500"/>
    <w:rsid w:val="000D703E"/>
    <w:rsid w:val="000D7AEA"/>
    <w:rsid w:val="000E2C66"/>
    <w:rsid w:val="000F123C"/>
    <w:rsid w:val="000F2FED"/>
    <w:rsid w:val="0010616D"/>
    <w:rsid w:val="00110478"/>
    <w:rsid w:val="0011711B"/>
    <w:rsid w:val="00117F8A"/>
    <w:rsid w:val="00121B9B"/>
    <w:rsid w:val="00122ADC"/>
    <w:rsid w:val="001245EF"/>
    <w:rsid w:val="00127B11"/>
    <w:rsid w:val="00130F59"/>
    <w:rsid w:val="00133EC0"/>
    <w:rsid w:val="00134B6F"/>
    <w:rsid w:val="00141CE5"/>
    <w:rsid w:val="00144908"/>
    <w:rsid w:val="00144BC4"/>
    <w:rsid w:val="00145595"/>
    <w:rsid w:val="00156D96"/>
    <w:rsid w:val="001571C7"/>
    <w:rsid w:val="00161094"/>
    <w:rsid w:val="0016787F"/>
    <w:rsid w:val="0017665C"/>
    <w:rsid w:val="00177AD2"/>
    <w:rsid w:val="001815A8"/>
    <w:rsid w:val="001840FA"/>
    <w:rsid w:val="00190079"/>
    <w:rsid w:val="0019622E"/>
    <w:rsid w:val="001966A7"/>
    <w:rsid w:val="001A4627"/>
    <w:rsid w:val="001A4979"/>
    <w:rsid w:val="001B15D3"/>
    <w:rsid w:val="001B3443"/>
    <w:rsid w:val="001B4586"/>
    <w:rsid w:val="001C0326"/>
    <w:rsid w:val="001C192F"/>
    <w:rsid w:val="001C3C42"/>
    <w:rsid w:val="001D6FCD"/>
    <w:rsid w:val="001D7869"/>
    <w:rsid w:val="002026CD"/>
    <w:rsid w:val="002033FC"/>
    <w:rsid w:val="002044BB"/>
    <w:rsid w:val="00210B09"/>
    <w:rsid w:val="00210C9E"/>
    <w:rsid w:val="00211840"/>
    <w:rsid w:val="00220E5F"/>
    <w:rsid w:val="002212B5"/>
    <w:rsid w:val="00226668"/>
    <w:rsid w:val="00233809"/>
    <w:rsid w:val="00234381"/>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1BEB"/>
    <w:rsid w:val="00295AF2"/>
    <w:rsid w:val="00295C91"/>
    <w:rsid w:val="00297151"/>
    <w:rsid w:val="002B20E6"/>
    <w:rsid w:val="002B42A3"/>
    <w:rsid w:val="002C0CDD"/>
    <w:rsid w:val="002C38C4"/>
    <w:rsid w:val="002C46AA"/>
    <w:rsid w:val="002E1A1D"/>
    <w:rsid w:val="002E4081"/>
    <w:rsid w:val="002E44BA"/>
    <w:rsid w:val="002E4E21"/>
    <w:rsid w:val="002E5B78"/>
    <w:rsid w:val="002F3AE3"/>
    <w:rsid w:val="0030464B"/>
    <w:rsid w:val="0030786C"/>
    <w:rsid w:val="003233DE"/>
    <w:rsid w:val="0032466B"/>
    <w:rsid w:val="003330EB"/>
    <w:rsid w:val="003415FD"/>
    <w:rsid w:val="003429F0"/>
    <w:rsid w:val="00343B60"/>
    <w:rsid w:val="00345A82"/>
    <w:rsid w:val="0035097A"/>
    <w:rsid w:val="003540A4"/>
    <w:rsid w:val="00357BCC"/>
    <w:rsid w:val="00360E4E"/>
    <w:rsid w:val="00370AAA"/>
    <w:rsid w:val="00375F77"/>
    <w:rsid w:val="00381BBE"/>
    <w:rsid w:val="00382903"/>
    <w:rsid w:val="003846FF"/>
    <w:rsid w:val="003857D4"/>
    <w:rsid w:val="00385AD4"/>
    <w:rsid w:val="00385C01"/>
    <w:rsid w:val="00385E5F"/>
    <w:rsid w:val="00386C1E"/>
    <w:rsid w:val="00387924"/>
    <w:rsid w:val="0039384D"/>
    <w:rsid w:val="00395C23"/>
    <w:rsid w:val="003A2E4F"/>
    <w:rsid w:val="003A4438"/>
    <w:rsid w:val="003A5013"/>
    <w:rsid w:val="003A5078"/>
    <w:rsid w:val="003A62DD"/>
    <w:rsid w:val="003A775A"/>
    <w:rsid w:val="003B213A"/>
    <w:rsid w:val="003B43AD"/>
    <w:rsid w:val="003B5273"/>
    <w:rsid w:val="003C0FEC"/>
    <w:rsid w:val="003C2AC8"/>
    <w:rsid w:val="003D033A"/>
    <w:rsid w:val="003D17F9"/>
    <w:rsid w:val="003D2D88"/>
    <w:rsid w:val="003D41EA"/>
    <w:rsid w:val="003D4850"/>
    <w:rsid w:val="003D535A"/>
    <w:rsid w:val="003E2A2A"/>
    <w:rsid w:val="003E5265"/>
    <w:rsid w:val="003F0955"/>
    <w:rsid w:val="003F37BE"/>
    <w:rsid w:val="003F5F4D"/>
    <w:rsid w:val="003F646F"/>
    <w:rsid w:val="003F78AB"/>
    <w:rsid w:val="00400BBB"/>
    <w:rsid w:val="00400F00"/>
    <w:rsid w:val="00404F8B"/>
    <w:rsid w:val="00405256"/>
    <w:rsid w:val="00405ADD"/>
    <w:rsid w:val="00410031"/>
    <w:rsid w:val="00415C81"/>
    <w:rsid w:val="00432378"/>
    <w:rsid w:val="00436C0E"/>
    <w:rsid w:val="00440D65"/>
    <w:rsid w:val="004435E6"/>
    <w:rsid w:val="00447E31"/>
    <w:rsid w:val="00453923"/>
    <w:rsid w:val="00454B9B"/>
    <w:rsid w:val="00457858"/>
    <w:rsid w:val="00460B0B"/>
    <w:rsid w:val="00461023"/>
    <w:rsid w:val="00462FAC"/>
    <w:rsid w:val="00463472"/>
    <w:rsid w:val="00464631"/>
    <w:rsid w:val="00464B79"/>
    <w:rsid w:val="00467BBF"/>
    <w:rsid w:val="00482D72"/>
    <w:rsid w:val="0048593C"/>
    <w:rsid w:val="004867E2"/>
    <w:rsid w:val="004929A9"/>
    <w:rsid w:val="004A78D9"/>
    <w:rsid w:val="004B451B"/>
    <w:rsid w:val="004C1BCD"/>
    <w:rsid w:val="004C6BCF"/>
    <w:rsid w:val="004D58BF"/>
    <w:rsid w:val="004E3A84"/>
    <w:rsid w:val="004E4335"/>
    <w:rsid w:val="004E5226"/>
    <w:rsid w:val="004F13EE"/>
    <w:rsid w:val="004F2022"/>
    <w:rsid w:val="004F7C05"/>
    <w:rsid w:val="00501C94"/>
    <w:rsid w:val="00506432"/>
    <w:rsid w:val="00506E82"/>
    <w:rsid w:val="0052051D"/>
    <w:rsid w:val="00541B4D"/>
    <w:rsid w:val="00544BE7"/>
    <w:rsid w:val="00545EE6"/>
    <w:rsid w:val="005550E7"/>
    <w:rsid w:val="005564FB"/>
    <w:rsid w:val="005572C7"/>
    <w:rsid w:val="005650ED"/>
    <w:rsid w:val="005661BB"/>
    <w:rsid w:val="00575754"/>
    <w:rsid w:val="00581FBA"/>
    <w:rsid w:val="005858A4"/>
    <w:rsid w:val="00591E20"/>
    <w:rsid w:val="00595408"/>
    <w:rsid w:val="00595E84"/>
    <w:rsid w:val="005A0C59"/>
    <w:rsid w:val="005A48EB"/>
    <w:rsid w:val="005A6CFB"/>
    <w:rsid w:val="005B5241"/>
    <w:rsid w:val="005C5AEB"/>
    <w:rsid w:val="005D5F4E"/>
    <w:rsid w:val="005E0A3F"/>
    <w:rsid w:val="005E1AF9"/>
    <w:rsid w:val="005E2D76"/>
    <w:rsid w:val="005E6883"/>
    <w:rsid w:val="005E772F"/>
    <w:rsid w:val="005F4ECA"/>
    <w:rsid w:val="006041BE"/>
    <w:rsid w:val="006043C7"/>
    <w:rsid w:val="0062247D"/>
    <w:rsid w:val="00624B52"/>
    <w:rsid w:val="006259B7"/>
    <w:rsid w:val="00630794"/>
    <w:rsid w:val="00631DF4"/>
    <w:rsid w:val="00634175"/>
    <w:rsid w:val="0063574E"/>
    <w:rsid w:val="006408AC"/>
    <w:rsid w:val="00641C93"/>
    <w:rsid w:val="00642F20"/>
    <w:rsid w:val="006511B6"/>
    <w:rsid w:val="00657FF8"/>
    <w:rsid w:val="00670D99"/>
    <w:rsid w:val="00670E2B"/>
    <w:rsid w:val="006734BB"/>
    <w:rsid w:val="0067697A"/>
    <w:rsid w:val="006821EB"/>
    <w:rsid w:val="006B2286"/>
    <w:rsid w:val="006B56BB"/>
    <w:rsid w:val="006C085B"/>
    <w:rsid w:val="006C28D6"/>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41971"/>
    <w:rsid w:val="0076672A"/>
    <w:rsid w:val="00775E45"/>
    <w:rsid w:val="00776E74"/>
    <w:rsid w:val="00785169"/>
    <w:rsid w:val="007954AB"/>
    <w:rsid w:val="007A14C5"/>
    <w:rsid w:val="007A4A10"/>
    <w:rsid w:val="007A4BEA"/>
    <w:rsid w:val="007B1750"/>
    <w:rsid w:val="007B1760"/>
    <w:rsid w:val="007C1FDC"/>
    <w:rsid w:val="007C31DD"/>
    <w:rsid w:val="007C6D9C"/>
    <w:rsid w:val="007C7DDB"/>
    <w:rsid w:val="007D2CC7"/>
    <w:rsid w:val="007D673D"/>
    <w:rsid w:val="007E0068"/>
    <w:rsid w:val="007E0FB8"/>
    <w:rsid w:val="007E4D09"/>
    <w:rsid w:val="007F2220"/>
    <w:rsid w:val="007F4B3E"/>
    <w:rsid w:val="007F5F0B"/>
    <w:rsid w:val="008127AF"/>
    <w:rsid w:val="00812B46"/>
    <w:rsid w:val="00815700"/>
    <w:rsid w:val="0082246B"/>
    <w:rsid w:val="008264EB"/>
    <w:rsid w:val="00826B8F"/>
    <w:rsid w:val="00831E8A"/>
    <w:rsid w:val="00835C76"/>
    <w:rsid w:val="008376E2"/>
    <w:rsid w:val="00843049"/>
    <w:rsid w:val="00843685"/>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C63C0"/>
    <w:rsid w:val="008D0533"/>
    <w:rsid w:val="008D42CB"/>
    <w:rsid w:val="008D48C9"/>
    <w:rsid w:val="008D6381"/>
    <w:rsid w:val="008E0C77"/>
    <w:rsid w:val="008E625F"/>
    <w:rsid w:val="008E6894"/>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642B3"/>
    <w:rsid w:val="00970053"/>
    <w:rsid w:val="00974B59"/>
    <w:rsid w:val="0098340B"/>
    <w:rsid w:val="00986830"/>
    <w:rsid w:val="009924C3"/>
    <w:rsid w:val="00993102"/>
    <w:rsid w:val="009A5AB4"/>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C4E52"/>
    <w:rsid w:val="00AD05E6"/>
    <w:rsid w:val="00AD0D3F"/>
    <w:rsid w:val="00AE1D7D"/>
    <w:rsid w:val="00AE2A8B"/>
    <w:rsid w:val="00AE3F64"/>
    <w:rsid w:val="00AE4C88"/>
    <w:rsid w:val="00AF7386"/>
    <w:rsid w:val="00AF7934"/>
    <w:rsid w:val="00B00B81"/>
    <w:rsid w:val="00B04580"/>
    <w:rsid w:val="00B04B09"/>
    <w:rsid w:val="00B16A51"/>
    <w:rsid w:val="00B24DDC"/>
    <w:rsid w:val="00B32222"/>
    <w:rsid w:val="00B3618D"/>
    <w:rsid w:val="00B36233"/>
    <w:rsid w:val="00B42851"/>
    <w:rsid w:val="00B45350"/>
    <w:rsid w:val="00B45AC7"/>
    <w:rsid w:val="00B5372F"/>
    <w:rsid w:val="00B53987"/>
    <w:rsid w:val="00B61129"/>
    <w:rsid w:val="00B67E7F"/>
    <w:rsid w:val="00B76DB3"/>
    <w:rsid w:val="00B80C39"/>
    <w:rsid w:val="00B839B2"/>
    <w:rsid w:val="00B87B9A"/>
    <w:rsid w:val="00B937A1"/>
    <w:rsid w:val="00B94252"/>
    <w:rsid w:val="00B9715A"/>
    <w:rsid w:val="00BA14BE"/>
    <w:rsid w:val="00BA2732"/>
    <w:rsid w:val="00BA293D"/>
    <w:rsid w:val="00BA451C"/>
    <w:rsid w:val="00BA49BC"/>
    <w:rsid w:val="00BA56B7"/>
    <w:rsid w:val="00BA7A1E"/>
    <w:rsid w:val="00BB2F6C"/>
    <w:rsid w:val="00BB3875"/>
    <w:rsid w:val="00BB5753"/>
    <w:rsid w:val="00BB5860"/>
    <w:rsid w:val="00BB6AAD"/>
    <w:rsid w:val="00BC4A19"/>
    <w:rsid w:val="00BC4E6D"/>
    <w:rsid w:val="00BD0617"/>
    <w:rsid w:val="00BD0A9E"/>
    <w:rsid w:val="00BD2E9B"/>
    <w:rsid w:val="00BD6B85"/>
    <w:rsid w:val="00BD7FB2"/>
    <w:rsid w:val="00BE3ED5"/>
    <w:rsid w:val="00C00930"/>
    <w:rsid w:val="00C060AD"/>
    <w:rsid w:val="00C113BF"/>
    <w:rsid w:val="00C2176E"/>
    <w:rsid w:val="00C23430"/>
    <w:rsid w:val="00C27D67"/>
    <w:rsid w:val="00C435AF"/>
    <w:rsid w:val="00C45692"/>
    <w:rsid w:val="00C4631F"/>
    <w:rsid w:val="00C47CDE"/>
    <w:rsid w:val="00C50E16"/>
    <w:rsid w:val="00C55258"/>
    <w:rsid w:val="00C75FA3"/>
    <w:rsid w:val="00C77E05"/>
    <w:rsid w:val="00C82EEB"/>
    <w:rsid w:val="00C971DC"/>
    <w:rsid w:val="00CA16B7"/>
    <w:rsid w:val="00CA37FA"/>
    <w:rsid w:val="00CA62AE"/>
    <w:rsid w:val="00CA70F9"/>
    <w:rsid w:val="00CB03B8"/>
    <w:rsid w:val="00CB5B1A"/>
    <w:rsid w:val="00CC220B"/>
    <w:rsid w:val="00CC5C43"/>
    <w:rsid w:val="00CD02AE"/>
    <w:rsid w:val="00CD2A4F"/>
    <w:rsid w:val="00CE03CA"/>
    <w:rsid w:val="00CE22F1"/>
    <w:rsid w:val="00CE50F2"/>
    <w:rsid w:val="00CE6502"/>
    <w:rsid w:val="00CF6BFA"/>
    <w:rsid w:val="00CF7D3C"/>
    <w:rsid w:val="00D01F09"/>
    <w:rsid w:val="00D03527"/>
    <w:rsid w:val="00D147EB"/>
    <w:rsid w:val="00D208A8"/>
    <w:rsid w:val="00D34667"/>
    <w:rsid w:val="00D401E1"/>
    <w:rsid w:val="00D408B4"/>
    <w:rsid w:val="00D44330"/>
    <w:rsid w:val="00D524C8"/>
    <w:rsid w:val="00D70E24"/>
    <w:rsid w:val="00D72B61"/>
    <w:rsid w:val="00DA3D1D"/>
    <w:rsid w:val="00DA40D3"/>
    <w:rsid w:val="00DA7FC8"/>
    <w:rsid w:val="00DB6286"/>
    <w:rsid w:val="00DB645F"/>
    <w:rsid w:val="00DB76E9"/>
    <w:rsid w:val="00DC0A67"/>
    <w:rsid w:val="00DC1D5E"/>
    <w:rsid w:val="00DC5220"/>
    <w:rsid w:val="00DD2061"/>
    <w:rsid w:val="00DD7DAB"/>
    <w:rsid w:val="00DE3355"/>
    <w:rsid w:val="00DF0C60"/>
    <w:rsid w:val="00DF486F"/>
    <w:rsid w:val="00DF5B5B"/>
    <w:rsid w:val="00DF7619"/>
    <w:rsid w:val="00E00F25"/>
    <w:rsid w:val="00E042D8"/>
    <w:rsid w:val="00E07EE7"/>
    <w:rsid w:val="00E1103B"/>
    <w:rsid w:val="00E17B44"/>
    <w:rsid w:val="00E20F27"/>
    <w:rsid w:val="00E22443"/>
    <w:rsid w:val="00E25B1F"/>
    <w:rsid w:val="00E27FEA"/>
    <w:rsid w:val="00E34A04"/>
    <w:rsid w:val="00E36713"/>
    <w:rsid w:val="00E4086F"/>
    <w:rsid w:val="00E43B3C"/>
    <w:rsid w:val="00E50188"/>
    <w:rsid w:val="00E50BB3"/>
    <w:rsid w:val="00E515CB"/>
    <w:rsid w:val="00E52260"/>
    <w:rsid w:val="00E639B6"/>
    <w:rsid w:val="00E6434B"/>
    <w:rsid w:val="00E6463D"/>
    <w:rsid w:val="00E71492"/>
    <w:rsid w:val="00E72E9B"/>
    <w:rsid w:val="00E850C3"/>
    <w:rsid w:val="00E87DF2"/>
    <w:rsid w:val="00E93132"/>
    <w:rsid w:val="00E9462E"/>
    <w:rsid w:val="00EA470E"/>
    <w:rsid w:val="00EA47A7"/>
    <w:rsid w:val="00EA57EB"/>
    <w:rsid w:val="00EA692A"/>
    <w:rsid w:val="00EB3226"/>
    <w:rsid w:val="00EB6D17"/>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E36713"/>
    <w:rPr>
      <w:sz w:val="16"/>
      <w:szCs w:val="16"/>
    </w:rPr>
  </w:style>
  <w:style w:type="paragraph" w:styleId="CommentSubject">
    <w:name w:val="annotation subject"/>
    <w:basedOn w:val="CommentText"/>
    <w:next w:val="CommentText"/>
    <w:link w:val="CommentSubjectChar"/>
    <w:semiHidden/>
    <w:unhideWhenUsed/>
    <w:rsid w:val="00E36713"/>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E36713"/>
    <w:rPr>
      <w:rFonts w:ascii="Arial" w:eastAsiaTheme="minorEastAsia" w:hAnsi="Arial" w:cstheme="minorBidi"/>
      <w:b/>
      <w:bCs/>
      <w:color w:val="000000" w:themeColor="text1"/>
      <w:lang w:eastAsia="en-US"/>
    </w:rPr>
  </w:style>
  <w:style w:type="paragraph" w:styleId="ListParagraph">
    <w:name w:val="List Paragraph"/>
    <w:basedOn w:val="Normal"/>
    <w:uiPriority w:val="34"/>
    <w:qFormat/>
    <w:rsid w:val="00291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436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7372453">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6351557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8415272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yperlink" Target="https://www.legislation.gov.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mbsonline.gov.au/internet/mbsonline/publishing.nsf/Content/downloads" TargetMode="External"/><Relationship Id="rId7" Type="http://schemas.openxmlformats.org/officeDocument/2006/relationships/settings" Target="settings.xml"/><Relationship Id="rId12" Type="http://schemas.openxmlformats.org/officeDocument/2006/relationships/hyperlink" Target="http://www.mbsonline.gov.au/internet/mbsonline/publishing.nsf/Content/Factsheet-PET" TargetMode="External"/><Relationship Id="rId17" Type="http://schemas.openxmlformats.org/officeDocument/2006/relationships/hyperlink" Target="https://www.health.gov.au/topics/private-health-insurance/private-health-insurance-reform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internet/mbsonline/publishing.nsf/Content/Factsheet-Gallium-67"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skMBS@health.gov.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HI@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2.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1761</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Australian Government Department of Health and Aged Care</dc:creator>
  <cp:keywords>MBS;</cp:keywords>
  <cp:lastModifiedBy>GLEESON, Mikayla</cp:lastModifiedBy>
  <cp:revision>2</cp:revision>
  <dcterms:created xsi:type="dcterms:W3CDTF">2023-05-14T23:09:00Z</dcterms:created>
  <dcterms:modified xsi:type="dcterms:W3CDTF">2023-05-14T23:09:00Z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