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FF9" w:rsidRPr="00BC739A" w:rsidRDefault="001A6FF9" w:rsidP="0089175A">
      <w:pPr>
        <w:spacing w:after="360" w:line="360" w:lineRule="auto"/>
        <w:jc w:val="both"/>
        <w:rPr>
          <w:rFonts w:ascii="Times New Roman" w:hAnsi="Times New Roman" w:cs="Times New Roman"/>
          <w:sz w:val="24"/>
          <w:szCs w:val="24"/>
        </w:rPr>
      </w:pPr>
      <w:bookmarkStart w:id="0" w:name="_GoBack"/>
      <w:bookmarkEnd w:id="0"/>
      <w:r w:rsidRPr="00BC739A">
        <w:rPr>
          <w:rFonts w:ascii="Times New Roman" w:hAnsi="Times New Roman" w:cs="Times New Roman"/>
          <w:sz w:val="24"/>
          <w:szCs w:val="24"/>
        </w:rPr>
        <w:t>On 26 September 2020, the Department of Health presented</w:t>
      </w:r>
      <w:r w:rsidR="00895FF4" w:rsidRPr="00BC739A">
        <w:rPr>
          <w:rFonts w:ascii="Times New Roman" w:hAnsi="Times New Roman" w:cs="Times New Roman"/>
          <w:sz w:val="24"/>
          <w:szCs w:val="24"/>
        </w:rPr>
        <w:t xml:space="preserve"> </w:t>
      </w:r>
      <w:r w:rsidR="00C90B8A">
        <w:rPr>
          <w:rFonts w:ascii="Times New Roman" w:hAnsi="Times New Roman" w:cs="Times New Roman"/>
          <w:sz w:val="24"/>
          <w:szCs w:val="24"/>
        </w:rPr>
        <w:t>a</w:t>
      </w:r>
      <w:r w:rsidR="00C90B8A" w:rsidRPr="00BC739A">
        <w:rPr>
          <w:rFonts w:ascii="Times New Roman" w:hAnsi="Times New Roman" w:cs="Times New Roman"/>
          <w:sz w:val="24"/>
          <w:szCs w:val="24"/>
        </w:rPr>
        <w:t xml:space="preserve"> </w:t>
      </w:r>
      <w:r w:rsidR="00895FF4" w:rsidRPr="00BC739A">
        <w:rPr>
          <w:rFonts w:ascii="Times New Roman" w:hAnsi="Times New Roman" w:cs="Times New Roman"/>
          <w:sz w:val="24"/>
          <w:szCs w:val="24"/>
        </w:rPr>
        <w:t>webinar</w:t>
      </w:r>
      <w:r w:rsidRPr="00BC739A">
        <w:rPr>
          <w:rFonts w:ascii="Times New Roman" w:hAnsi="Times New Roman" w:cs="Times New Roman"/>
          <w:sz w:val="24"/>
          <w:szCs w:val="24"/>
        </w:rPr>
        <w:t xml:space="preserve"> </w:t>
      </w:r>
      <w:r w:rsidR="00C90B8A">
        <w:rPr>
          <w:rFonts w:ascii="Times New Roman" w:hAnsi="Times New Roman" w:cs="Times New Roman"/>
          <w:sz w:val="24"/>
          <w:szCs w:val="24"/>
        </w:rPr>
        <w:t xml:space="preserve">on </w:t>
      </w:r>
      <w:r w:rsidRPr="00BC739A">
        <w:rPr>
          <w:rFonts w:ascii="Times New Roman" w:hAnsi="Times New Roman" w:cs="Times New Roman"/>
          <w:sz w:val="24"/>
          <w:szCs w:val="24"/>
        </w:rPr>
        <w:t xml:space="preserve">the changes that are to take </w:t>
      </w:r>
      <w:r w:rsidR="00401BD6" w:rsidRPr="00BC739A">
        <w:rPr>
          <w:rFonts w:ascii="Times New Roman" w:hAnsi="Times New Roman" w:cs="Times New Roman"/>
          <w:sz w:val="24"/>
          <w:szCs w:val="24"/>
        </w:rPr>
        <w:t>effect</w:t>
      </w:r>
      <w:r w:rsidRPr="00BC739A">
        <w:rPr>
          <w:rFonts w:ascii="Times New Roman" w:hAnsi="Times New Roman" w:cs="Times New Roman"/>
          <w:sz w:val="24"/>
          <w:szCs w:val="24"/>
        </w:rPr>
        <w:t xml:space="preserve"> on 1 November 2020 for chemotherapeutic procedures listed on the </w:t>
      </w:r>
      <w:r w:rsidR="00C90B8A">
        <w:rPr>
          <w:rFonts w:ascii="Times New Roman" w:hAnsi="Times New Roman" w:cs="Times New Roman"/>
          <w:sz w:val="24"/>
          <w:szCs w:val="24"/>
        </w:rPr>
        <w:t>Medicare Benefits Schedule (</w:t>
      </w:r>
      <w:r w:rsidRPr="00BC739A">
        <w:rPr>
          <w:rFonts w:ascii="Times New Roman" w:hAnsi="Times New Roman" w:cs="Times New Roman"/>
          <w:sz w:val="24"/>
          <w:szCs w:val="24"/>
        </w:rPr>
        <w:t>MBS</w:t>
      </w:r>
      <w:r w:rsidR="00C90B8A">
        <w:rPr>
          <w:rFonts w:ascii="Times New Roman" w:hAnsi="Times New Roman" w:cs="Times New Roman"/>
          <w:sz w:val="24"/>
          <w:szCs w:val="24"/>
        </w:rPr>
        <w:t>)</w:t>
      </w:r>
      <w:r w:rsidRPr="00BC739A">
        <w:rPr>
          <w:rFonts w:ascii="Times New Roman" w:hAnsi="Times New Roman" w:cs="Times New Roman"/>
          <w:sz w:val="24"/>
          <w:szCs w:val="24"/>
        </w:rPr>
        <w:t>. Following the webinar, a broad range of stakeholders posed a variety of questions. The following explanatory statements are provided in response.</w:t>
      </w:r>
    </w:p>
    <w:p w:rsidR="00C671DE" w:rsidRPr="00BC739A" w:rsidRDefault="00DF1141" w:rsidP="0089175A">
      <w:pPr>
        <w:pStyle w:val="Heading2"/>
        <w:spacing w:line="360" w:lineRule="auto"/>
        <w:jc w:val="both"/>
        <w:rPr>
          <w:sz w:val="24"/>
          <w:szCs w:val="24"/>
        </w:rPr>
      </w:pPr>
      <w:r w:rsidRPr="00BC739A">
        <w:rPr>
          <w:sz w:val="24"/>
          <w:szCs w:val="24"/>
        </w:rPr>
        <w:t>Parenteral Administration</w:t>
      </w:r>
    </w:p>
    <w:p w:rsidR="00A62295" w:rsidRPr="00BC739A" w:rsidRDefault="00A62295" w:rsidP="0089175A">
      <w:pPr>
        <w:spacing w:line="360" w:lineRule="auto"/>
        <w:jc w:val="both"/>
        <w:rPr>
          <w:rFonts w:ascii="Times New Roman" w:hAnsi="Times New Roman" w:cs="Times New Roman"/>
          <w:sz w:val="24"/>
          <w:szCs w:val="24"/>
        </w:rPr>
      </w:pPr>
      <w:r w:rsidRPr="00BC739A">
        <w:rPr>
          <w:rFonts w:ascii="Times New Roman" w:hAnsi="Times New Roman" w:cs="Times New Roman"/>
          <w:sz w:val="24"/>
          <w:szCs w:val="24"/>
        </w:rPr>
        <w:t>Parenteral administration refers to the delivery of a therapeutic agent via injection, as</w:t>
      </w:r>
      <w:r w:rsidR="00C66CD2" w:rsidRPr="00BC739A">
        <w:rPr>
          <w:rFonts w:ascii="Times New Roman" w:hAnsi="Times New Roman" w:cs="Times New Roman"/>
          <w:sz w:val="24"/>
          <w:szCs w:val="24"/>
        </w:rPr>
        <w:t xml:space="preserve"> opposed to administration via </w:t>
      </w:r>
      <w:r w:rsidR="00CF231C" w:rsidRPr="00BC739A">
        <w:rPr>
          <w:rFonts w:ascii="Times New Roman" w:hAnsi="Times New Roman" w:cs="Times New Roman"/>
          <w:sz w:val="24"/>
          <w:szCs w:val="24"/>
        </w:rPr>
        <w:t xml:space="preserve">the alimentary tract or topically </w:t>
      </w:r>
      <w:r w:rsidRPr="00BC739A">
        <w:rPr>
          <w:rFonts w:ascii="Times New Roman" w:hAnsi="Times New Roman" w:cs="Times New Roman"/>
          <w:sz w:val="24"/>
          <w:szCs w:val="24"/>
        </w:rPr>
        <w:t xml:space="preserve">(e.g. </w:t>
      </w:r>
      <w:r w:rsidR="006D04A4" w:rsidRPr="00BC739A">
        <w:rPr>
          <w:rFonts w:ascii="Times New Roman" w:hAnsi="Times New Roman" w:cs="Times New Roman"/>
          <w:sz w:val="24"/>
          <w:szCs w:val="24"/>
        </w:rPr>
        <w:t>application of creams or ointments).</w:t>
      </w:r>
    </w:p>
    <w:p w:rsidR="00E25E0C" w:rsidRPr="00BC739A" w:rsidRDefault="00E25E0C" w:rsidP="0089175A">
      <w:pPr>
        <w:spacing w:after="0" w:line="360" w:lineRule="auto"/>
        <w:jc w:val="both"/>
        <w:rPr>
          <w:rFonts w:ascii="Times New Roman" w:hAnsi="Times New Roman" w:cs="Times New Roman"/>
          <w:sz w:val="24"/>
          <w:szCs w:val="24"/>
        </w:rPr>
      </w:pPr>
      <w:r w:rsidRPr="00BC739A">
        <w:rPr>
          <w:rFonts w:ascii="Times New Roman" w:hAnsi="Times New Roman" w:cs="Times New Roman"/>
          <w:sz w:val="24"/>
          <w:szCs w:val="24"/>
        </w:rPr>
        <w:t>Examples of suitable parenteral routes for the administration of cytotoxic chemotherapy and/or monoclonal antibody therapy include:</w:t>
      </w:r>
    </w:p>
    <w:p w:rsidR="00E25E0C" w:rsidRPr="00BC739A" w:rsidRDefault="005C731A" w:rsidP="0089175A">
      <w:pPr>
        <w:pStyle w:val="ListParagraph"/>
        <w:numPr>
          <w:ilvl w:val="0"/>
          <w:numId w:val="6"/>
        </w:numPr>
        <w:spacing w:line="360" w:lineRule="auto"/>
        <w:jc w:val="both"/>
      </w:pPr>
      <w:r w:rsidRPr="00BC739A">
        <w:t>intravascular</w:t>
      </w:r>
      <w:r w:rsidR="00C90B8A">
        <w:t>;</w:t>
      </w:r>
      <w:r w:rsidR="00E25E0C" w:rsidRPr="00BC739A">
        <w:t xml:space="preserve"> </w:t>
      </w:r>
    </w:p>
    <w:p w:rsidR="00E25E0C" w:rsidRPr="00BC739A" w:rsidRDefault="00E25E0C" w:rsidP="0089175A">
      <w:pPr>
        <w:pStyle w:val="ListParagraph"/>
        <w:numPr>
          <w:ilvl w:val="0"/>
          <w:numId w:val="6"/>
        </w:numPr>
        <w:spacing w:line="360" w:lineRule="auto"/>
        <w:jc w:val="both"/>
      </w:pPr>
      <w:r w:rsidRPr="00BC739A">
        <w:t>intramuscular</w:t>
      </w:r>
      <w:r w:rsidR="00C90B8A">
        <w:t>;</w:t>
      </w:r>
      <w:r w:rsidRPr="00BC739A">
        <w:t xml:space="preserve"> </w:t>
      </w:r>
    </w:p>
    <w:p w:rsidR="00E25E0C" w:rsidRPr="00BC739A" w:rsidRDefault="005C731A" w:rsidP="0089175A">
      <w:pPr>
        <w:pStyle w:val="ListParagraph"/>
        <w:numPr>
          <w:ilvl w:val="0"/>
          <w:numId w:val="6"/>
        </w:numPr>
        <w:spacing w:line="360" w:lineRule="auto"/>
        <w:jc w:val="both"/>
      </w:pPr>
      <w:r w:rsidRPr="00BC739A">
        <w:t>subcutaneous</w:t>
      </w:r>
      <w:r w:rsidR="00C90B8A">
        <w:t>;</w:t>
      </w:r>
      <w:r w:rsidR="00E25E0C" w:rsidRPr="00BC739A">
        <w:t xml:space="preserve"> </w:t>
      </w:r>
    </w:p>
    <w:p w:rsidR="00E25E0C" w:rsidRPr="00BC739A" w:rsidRDefault="005C731A">
      <w:pPr>
        <w:pStyle w:val="ListParagraph"/>
        <w:numPr>
          <w:ilvl w:val="0"/>
          <w:numId w:val="6"/>
        </w:numPr>
        <w:spacing w:line="360" w:lineRule="auto"/>
        <w:jc w:val="both"/>
      </w:pPr>
      <w:r w:rsidRPr="00BC739A">
        <w:t>intrathecal</w:t>
      </w:r>
      <w:r w:rsidR="00C90B8A">
        <w:t>;</w:t>
      </w:r>
      <w:r w:rsidR="00E25E0C" w:rsidRPr="00BC739A">
        <w:t xml:space="preserve"> or </w:t>
      </w:r>
    </w:p>
    <w:p w:rsidR="00E25E0C" w:rsidRDefault="00CF231C" w:rsidP="0089175A">
      <w:pPr>
        <w:pStyle w:val="ListParagraph"/>
        <w:numPr>
          <w:ilvl w:val="0"/>
          <w:numId w:val="6"/>
        </w:numPr>
        <w:spacing w:line="360" w:lineRule="auto"/>
        <w:jc w:val="both"/>
      </w:pPr>
      <w:proofErr w:type="spellStart"/>
      <w:proofErr w:type="gramStart"/>
      <w:r w:rsidRPr="00BC739A">
        <w:t>intracavitary</w:t>
      </w:r>
      <w:proofErr w:type="spellEnd"/>
      <w:proofErr w:type="gramEnd"/>
      <w:r w:rsidR="00E25E0C" w:rsidRPr="00BC739A">
        <w:t>.</w:t>
      </w:r>
    </w:p>
    <w:p w:rsidR="00C74C1D" w:rsidRPr="00C74C1D" w:rsidRDefault="00C74C1D" w:rsidP="00862642">
      <w:pPr>
        <w:spacing w:line="360" w:lineRule="auto"/>
      </w:pPr>
      <w:r w:rsidRPr="00C74C1D">
        <w:rPr>
          <w:rFonts w:ascii="Times New Roman" w:hAnsi="Times New Roman" w:cs="Times New Roman"/>
          <w:sz w:val="24"/>
          <w:szCs w:val="24"/>
        </w:rPr>
        <w:t>Item 13950</w:t>
      </w:r>
      <w:r>
        <w:rPr>
          <w:rFonts w:ascii="Times New Roman" w:hAnsi="Times New Roman" w:cs="Times New Roman"/>
          <w:sz w:val="24"/>
          <w:szCs w:val="24"/>
        </w:rPr>
        <w:t xml:space="preserve"> provides for each attendance at which one or more antineoplastic agents are </w:t>
      </w:r>
      <w:proofErr w:type="gramStart"/>
      <w:r>
        <w:rPr>
          <w:rFonts w:ascii="Times New Roman" w:hAnsi="Times New Roman" w:cs="Times New Roman"/>
          <w:sz w:val="24"/>
          <w:szCs w:val="24"/>
        </w:rPr>
        <w:t>administered</w:t>
      </w:r>
      <w:proofErr w:type="gramEnd"/>
      <w:r>
        <w:rPr>
          <w:rFonts w:ascii="Times New Roman" w:hAnsi="Times New Roman" w:cs="Times New Roman"/>
          <w:sz w:val="24"/>
          <w:szCs w:val="24"/>
        </w:rPr>
        <w:t xml:space="preserve"> and can be claimed for each day where the service is provided in the course of treatment. The item cove</w:t>
      </w:r>
      <w:r w:rsidR="00C42FB1">
        <w:rPr>
          <w:rFonts w:ascii="Times New Roman" w:hAnsi="Times New Roman" w:cs="Times New Roman"/>
          <w:sz w:val="24"/>
          <w:szCs w:val="24"/>
        </w:rPr>
        <w:t xml:space="preserve">rs the administration of one or </w:t>
      </w:r>
      <w:r>
        <w:rPr>
          <w:rFonts w:ascii="Times New Roman" w:hAnsi="Times New Roman" w:cs="Times New Roman"/>
          <w:sz w:val="24"/>
          <w:szCs w:val="24"/>
        </w:rPr>
        <w:t>more antineoplastic agents on the same occasion and it is not be expected that there would be multiple claims for item 13950 on one day.</w:t>
      </w:r>
    </w:p>
    <w:p w:rsidR="00C671DE" w:rsidRPr="00BC739A" w:rsidRDefault="007503B5" w:rsidP="0089175A">
      <w:pPr>
        <w:pStyle w:val="Heading2"/>
        <w:spacing w:before="0" w:after="120" w:line="360" w:lineRule="auto"/>
        <w:jc w:val="both"/>
        <w:rPr>
          <w:sz w:val="24"/>
          <w:szCs w:val="24"/>
        </w:rPr>
      </w:pPr>
      <w:r w:rsidRPr="00BC739A">
        <w:rPr>
          <w:sz w:val="24"/>
          <w:szCs w:val="24"/>
        </w:rPr>
        <w:t>Accessing</w:t>
      </w:r>
      <w:r w:rsidR="00C671DE" w:rsidRPr="00BC739A">
        <w:rPr>
          <w:sz w:val="24"/>
          <w:szCs w:val="24"/>
        </w:rPr>
        <w:t xml:space="preserve"> long-term implanted delivery </w:t>
      </w:r>
      <w:r w:rsidR="00DF1141" w:rsidRPr="00BC739A">
        <w:rPr>
          <w:sz w:val="24"/>
          <w:szCs w:val="24"/>
        </w:rPr>
        <w:t>devices</w:t>
      </w:r>
    </w:p>
    <w:p w:rsidR="00C90B8A" w:rsidRDefault="0090177B" w:rsidP="0089175A">
      <w:pPr>
        <w:tabs>
          <w:tab w:val="left" w:pos="1170"/>
        </w:tabs>
        <w:spacing w:line="360" w:lineRule="auto"/>
        <w:jc w:val="both"/>
        <w:rPr>
          <w:rFonts w:ascii="Times New Roman" w:hAnsi="Times New Roman" w:cs="Times New Roman"/>
          <w:sz w:val="24"/>
          <w:szCs w:val="24"/>
        </w:rPr>
      </w:pPr>
      <w:r w:rsidRPr="00BC739A">
        <w:rPr>
          <w:rFonts w:ascii="Times New Roman" w:hAnsi="Times New Roman" w:cs="Times New Roman"/>
          <w:sz w:val="24"/>
          <w:szCs w:val="24"/>
        </w:rPr>
        <w:t xml:space="preserve">From 1 November 2020, </w:t>
      </w:r>
      <w:r w:rsidR="004F2FD7">
        <w:rPr>
          <w:rFonts w:ascii="Times New Roman" w:hAnsi="Times New Roman" w:cs="Times New Roman"/>
          <w:sz w:val="24"/>
          <w:szCs w:val="24"/>
        </w:rPr>
        <w:t xml:space="preserve">a </w:t>
      </w:r>
      <w:r w:rsidRPr="00BC739A">
        <w:rPr>
          <w:rFonts w:ascii="Times New Roman" w:hAnsi="Times New Roman" w:cs="Times New Roman"/>
          <w:sz w:val="24"/>
          <w:szCs w:val="24"/>
        </w:rPr>
        <w:t>new item</w:t>
      </w:r>
      <w:r w:rsidR="004F2FD7">
        <w:rPr>
          <w:rFonts w:ascii="Times New Roman" w:hAnsi="Times New Roman" w:cs="Times New Roman"/>
          <w:sz w:val="24"/>
          <w:szCs w:val="24"/>
        </w:rPr>
        <w:t xml:space="preserve"> -</w:t>
      </w:r>
      <w:r w:rsidRPr="00BC739A">
        <w:rPr>
          <w:rFonts w:ascii="Times New Roman" w:hAnsi="Times New Roman" w:cs="Times New Roman"/>
          <w:sz w:val="24"/>
          <w:szCs w:val="24"/>
        </w:rPr>
        <w:t xml:space="preserve"> 13950 </w:t>
      </w:r>
      <w:r w:rsidR="004F2FD7">
        <w:rPr>
          <w:rFonts w:ascii="Times New Roman" w:hAnsi="Times New Roman" w:cs="Times New Roman"/>
          <w:sz w:val="24"/>
          <w:szCs w:val="24"/>
        </w:rPr>
        <w:t xml:space="preserve">- </w:t>
      </w:r>
      <w:r w:rsidRPr="00BC739A">
        <w:rPr>
          <w:rFonts w:ascii="Times New Roman" w:hAnsi="Times New Roman" w:cs="Times New Roman"/>
          <w:sz w:val="24"/>
          <w:szCs w:val="24"/>
        </w:rPr>
        <w:t>will provide Medicare benefits for patients who undergo parenteral administration of</w:t>
      </w:r>
      <w:r w:rsidR="004F2FD7" w:rsidRPr="004F2FD7">
        <w:rPr>
          <w:rFonts w:ascii="Times New Roman" w:hAnsi="Times New Roman" w:cs="Times New Roman"/>
          <w:sz w:val="24"/>
          <w:szCs w:val="24"/>
        </w:rPr>
        <w:t xml:space="preserve"> </w:t>
      </w:r>
      <w:r w:rsidR="004F2FD7" w:rsidRPr="00BC739A">
        <w:rPr>
          <w:rFonts w:ascii="Times New Roman" w:hAnsi="Times New Roman" w:cs="Times New Roman"/>
          <w:sz w:val="24"/>
          <w:szCs w:val="24"/>
        </w:rPr>
        <w:t>antineoplastic agents</w:t>
      </w:r>
      <w:r w:rsidR="004F2FD7">
        <w:rPr>
          <w:rFonts w:ascii="Times New Roman" w:hAnsi="Times New Roman" w:cs="Times New Roman"/>
          <w:sz w:val="24"/>
          <w:szCs w:val="24"/>
        </w:rPr>
        <w:t xml:space="preserve"> (</w:t>
      </w:r>
      <w:r w:rsidR="004F2FD7" w:rsidRPr="00BC739A">
        <w:rPr>
          <w:rFonts w:ascii="Times New Roman" w:hAnsi="Times New Roman" w:cs="Times New Roman"/>
          <w:sz w:val="24"/>
          <w:szCs w:val="24"/>
        </w:rPr>
        <w:t>cytotoxic chemotherapy or monoclonal antibody therapy</w:t>
      </w:r>
      <w:r w:rsidR="004F2FD7">
        <w:rPr>
          <w:rFonts w:ascii="Times New Roman" w:hAnsi="Times New Roman" w:cs="Times New Roman"/>
          <w:sz w:val="24"/>
          <w:szCs w:val="24"/>
        </w:rPr>
        <w:t>)</w:t>
      </w:r>
      <w:r w:rsidRPr="00BC739A">
        <w:rPr>
          <w:rFonts w:ascii="Times New Roman" w:hAnsi="Times New Roman" w:cs="Times New Roman"/>
          <w:sz w:val="24"/>
          <w:szCs w:val="24"/>
        </w:rPr>
        <w:t>. Accessing a long-term implanted device, such as a peripherally inserted central catheter (PICC) line, for the purpose of administering the antineoplastic agent and at the time of administering the antineoplastic agent, is considered an integral component of th</w:t>
      </w:r>
      <w:r w:rsidR="004F2FD7">
        <w:rPr>
          <w:rFonts w:ascii="Times New Roman" w:hAnsi="Times New Roman" w:cs="Times New Roman"/>
          <w:sz w:val="24"/>
          <w:szCs w:val="24"/>
        </w:rPr>
        <w:t>is</w:t>
      </w:r>
      <w:r w:rsidRPr="00BC739A">
        <w:rPr>
          <w:rFonts w:ascii="Times New Roman" w:hAnsi="Times New Roman" w:cs="Times New Roman"/>
          <w:sz w:val="24"/>
          <w:szCs w:val="24"/>
        </w:rPr>
        <w:t xml:space="preserve"> service, and therefore should not receive a separate MBS benefit. Item 14221 cannot be claimed in these circumstances. </w:t>
      </w:r>
    </w:p>
    <w:p w:rsidR="00DF1141" w:rsidRPr="00BC739A" w:rsidRDefault="0090177B" w:rsidP="0089175A">
      <w:pPr>
        <w:tabs>
          <w:tab w:val="left" w:pos="1170"/>
        </w:tabs>
        <w:spacing w:line="360" w:lineRule="auto"/>
        <w:jc w:val="both"/>
        <w:rPr>
          <w:rFonts w:ascii="Times New Roman" w:hAnsi="Times New Roman" w:cs="Times New Roman"/>
          <w:sz w:val="24"/>
          <w:szCs w:val="24"/>
        </w:rPr>
      </w:pPr>
      <w:r w:rsidRPr="00BC739A">
        <w:rPr>
          <w:rFonts w:ascii="Times New Roman" w:hAnsi="Times New Roman" w:cs="Times New Roman"/>
          <w:sz w:val="24"/>
          <w:szCs w:val="24"/>
        </w:rPr>
        <w:lastRenderedPageBreak/>
        <w:t>Providers should note that the fee for item 13950 includes a component for accessing a long-term implanted drug delivery device when administering antineoplastic agents, and should be mindful of this when billing patients for services not specifically listed on the MBS.</w:t>
      </w:r>
      <w:r w:rsidR="00DF1141" w:rsidRPr="00BC739A">
        <w:rPr>
          <w:rFonts w:ascii="Times New Roman" w:hAnsi="Times New Roman" w:cs="Times New Roman"/>
          <w:sz w:val="24"/>
          <w:szCs w:val="24"/>
        </w:rPr>
        <w:t xml:space="preserve"> Note that billing against item 14221, for any reason (e.g. flushing or taking of bloods), is not permitted when the device is accessed during the attendance associated with 13950.</w:t>
      </w:r>
    </w:p>
    <w:p w:rsidR="00401BD6" w:rsidRDefault="0090177B" w:rsidP="0089175A">
      <w:pPr>
        <w:tabs>
          <w:tab w:val="left" w:pos="1170"/>
        </w:tabs>
        <w:spacing w:line="360" w:lineRule="auto"/>
        <w:jc w:val="both"/>
        <w:rPr>
          <w:rFonts w:ascii="Times New Roman" w:hAnsi="Times New Roman" w:cs="Times New Roman"/>
          <w:sz w:val="24"/>
          <w:szCs w:val="24"/>
        </w:rPr>
      </w:pPr>
      <w:r w:rsidRPr="00BC739A">
        <w:rPr>
          <w:rFonts w:ascii="Times New Roman" w:hAnsi="Times New Roman" w:cs="Times New Roman"/>
          <w:sz w:val="24"/>
          <w:szCs w:val="24"/>
        </w:rPr>
        <w:t xml:space="preserve">However, </w:t>
      </w:r>
      <w:r w:rsidR="009C1B9B">
        <w:rPr>
          <w:rFonts w:ascii="Times New Roman" w:hAnsi="Times New Roman" w:cs="Times New Roman"/>
          <w:sz w:val="24"/>
          <w:szCs w:val="24"/>
        </w:rPr>
        <w:t xml:space="preserve">it is recognised that </w:t>
      </w:r>
      <w:r w:rsidR="00CF231C" w:rsidRPr="00BC739A">
        <w:rPr>
          <w:rFonts w:ascii="Times New Roman" w:hAnsi="Times New Roman" w:cs="Times New Roman"/>
          <w:sz w:val="24"/>
          <w:szCs w:val="24"/>
        </w:rPr>
        <w:t>the clinical need</w:t>
      </w:r>
      <w:r w:rsidRPr="00BC739A">
        <w:rPr>
          <w:rFonts w:ascii="Times New Roman" w:hAnsi="Times New Roman" w:cs="Times New Roman"/>
          <w:sz w:val="24"/>
          <w:szCs w:val="24"/>
        </w:rPr>
        <w:t xml:space="preserve"> for access </w:t>
      </w:r>
      <w:r w:rsidR="00CF231C" w:rsidRPr="00BC739A">
        <w:rPr>
          <w:rFonts w:ascii="Times New Roman" w:hAnsi="Times New Roman" w:cs="Times New Roman"/>
          <w:sz w:val="24"/>
          <w:szCs w:val="24"/>
        </w:rPr>
        <w:t xml:space="preserve">to </w:t>
      </w:r>
      <w:r w:rsidRPr="00BC739A">
        <w:rPr>
          <w:rFonts w:ascii="Times New Roman" w:hAnsi="Times New Roman" w:cs="Times New Roman"/>
          <w:sz w:val="24"/>
          <w:szCs w:val="24"/>
        </w:rPr>
        <w:t>an implanted device exist</w:t>
      </w:r>
      <w:r w:rsidR="00CF231C" w:rsidRPr="00BC739A">
        <w:rPr>
          <w:rFonts w:ascii="Times New Roman" w:hAnsi="Times New Roman" w:cs="Times New Roman"/>
          <w:sz w:val="24"/>
          <w:szCs w:val="24"/>
        </w:rPr>
        <w:t>s</w:t>
      </w:r>
      <w:r w:rsidRPr="00BC739A">
        <w:rPr>
          <w:rFonts w:ascii="Times New Roman" w:hAnsi="Times New Roman" w:cs="Times New Roman"/>
          <w:sz w:val="24"/>
          <w:szCs w:val="24"/>
        </w:rPr>
        <w:t xml:space="preserve"> beyond the administration of antineoplastic therapy</w:t>
      </w:r>
      <w:r w:rsidR="00AB72F5">
        <w:rPr>
          <w:rFonts w:ascii="Times New Roman" w:hAnsi="Times New Roman" w:cs="Times New Roman"/>
          <w:sz w:val="24"/>
          <w:szCs w:val="24"/>
        </w:rPr>
        <w:t>, f</w:t>
      </w:r>
      <w:r w:rsidRPr="00BC739A">
        <w:rPr>
          <w:rFonts w:ascii="Times New Roman" w:hAnsi="Times New Roman" w:cs="Times New Roman"/>
          <w:sz w:val="24"/>
          <w:szCs w:val="24"/>
        </w:rPr>
        <w:t>or example</w:t>
      </w:r>
      <w:r w:rsidR="009C1B9B">
        <w:rPr>
          <w:rFonts w:ascii="Times New Roman" w:hAnsi="Times New Roman" w:cs="Times New Roman"/>
          <w:sz w:val="24"/>
          <w:szCs w:val="24"/>
        </w:rPr>
        <w:t>,</w:t>
      </w:r>
      <w:r w:rsidRPr="00BC739A">
        <w:rPr>
          <w:rFonts w:ascii="Times New Roman" w:hAnsi="Times New Roman" w:cs="Times New Roman"/>
          <w:sz w:val="24"/>
          <w:szCs w:val="24"/>
        </w:rPr>
        <w:t xml:space="preserve"> flushing a long-term intravascular access device in order to </w:t>
      </w:r>
      <w:r w:rsidR="00DF1141" w:rsidRPr="00BC739A">
        <w:rPr>
          <w:rFonts w:ascii="Times New Roman" w:hAnsi="Times New Roman" w:cs="Times New Roman"/>
          <w:sz w:val="24"/>
          <w:szCs w:val="24"/>
        </w:rPr>
        <w:t>maintain</w:t>
      </w:r>
      <w:r w:rsidRPr="00BC739A">
        <w:rPr>
          <w:rFonts w:ascii="Times New Roman" w:hAnsi="Times New Roman" w:cs="Times New Roman"/>
          <w:sz w:val="24"/>
          <w:szCs w:val="24"/>
        </w:rPr>
        <w:t xml:space="preserve"> patency during prolonged periods of disuse or giving antibiotic therapy or </w:t>
      </w:r>
      <w:r w:rsidR="00AB72F5">
        <w:rPr>
          <w:rFonts w:ascii="Times New Roman" w:hAnsi="Times New Roman" w:cs="Times New Roman"/>
          <w:sz w:val="24"/>
          <w:szCs w:val="24"/>
        </w:rPr>
        <w:t>trans</w:t>
      </w:r>
      <w:r w:rsidRPr="00BC739A">
        <w:rPr>
          <w:rFonts w:ascii="Times New Roman" w:hAnsi="Times New Roman" w:cs="Times New Roman"/>
          <w:sz w:val="24"/>
          <w:szCs w:val="24"/>
        </w:rPr>
        <w:t>fusin</w:t>
      </w:r>
      <w:r w:rsidR="00AB72F5">
        <w:rPr>
          <w:rFonts w:ascii="Times New Roman" w:hAnsi="Times New Roman" w:cs="Times New Roman"/>
          <w:sz w:val="24"/>
          <w:szCs w:val="24"/>
        </w:rPr>
        <w:t>g</w:t>
      </w:r>
      <w:r w:rsidRPr="00BC739A">
        <w:rPr>
          <w:rFonts w:ascii="Times New Roman" w:hAnsi="Times New Roman" w:cs="Times New Roman"/>
          <w:sz w:val="24"/>
          <w:szCs w:val="24"/>
        </w:rPr>
        <w:t xml:space="preserve"> blood products or taking </w:t>
      </w:r>
      <w:r w:rsidR="00557A9A" w:rsidRPr="00BC739A">
        <w:rPr>
          <w:rFonts w:ascii="Times New Roman" w:hAnsi="Times New Roman" w:cs="Times New Roman"/>
          <w:sz w:val="24"/>
          <w:szCs w:val="24"/>
        </w:rPr>
        <w:t>a blood sample</w:t>
      </w:r>
      <w:r w:rsidRPr="00BC739A">
        <w:rPr>
          <w:rFonts w:ascii="Times New Roman" w:hAnsi="Times New Roman" w:cs="Times New Roman"/>
          <w:sz w:val="24"/>
          <w:szCs w:val="24"/>
        </w:rPr>
        <w:t>. Billing against</w:t>
      </w:r>
      <w:r w:rsidR="00C66CD2" w:rsidRPr="00BC739A">
        <w:rPr>
          <w:rFonts w:ascii="Times New Roman" w:hAnsi="Times New Roman" w:cs="Times New Roman"/>
          <w:sz w:val="24"/>
          <w:szCs w:val="24"/>
        </w:rPr>
        <w:t xml:space="preserve"> item 14221, in these situations</w:t>
      </w:r>
      <w:r w:rsidRPr="00BC739A">
        <w:rPr>
          <w:rFonts w:ascii="Times New Roman" w:hAnsi="Times New Roman" w:cs="Times New Roman"/>
          <w:sz w:val="24"/>
          <w:szCs w:val="24"/>
        </w:rPr>
        <w:t xml:space="preserve"> is considered clinically relevant and appropriate</w:t>
      </w:r>
      <w:r w:rsidR="00DF1141" w:rsidRPr="00BC739A">
        <w:rPr>
          <w:rFonts w:ascii="Times New Roman" w:hAnsi="Times New Roman" w:cs="Times New Roman"/>
          <w:sz w:val="24"/>
          <w:szCs w:val="24"/>
        </w:rPr>
        <w:t>,</w:t>
      </w:r>
      <w:r w:rsidRPr="00BC739A">
        <w:rPr>
          <w:rFonts w:ascii="Times New Roman" w:hAnsi="Times New Roman" w:cs="Times New Roman"/>
          <w:sz w:val="24"/>
          <w:szCs w:val="24"/>
        </w:rPr>
        <w:t xml:space="preserve"> </w:t>
      </w:r>
      <w:r w:rsidR="00DF1141" w:rsidRPr="00BC739A">
        <w:rPr>
          <w:rFonts w:ascii="Times New Roman" w:hAnsi="Times New Roman" w:cs="Times New Roman"/>
          <w:sz w:val="24"/>
          <w:szCs w:val="24"/>
        </w:rPr>
        <w:t xml:space="preserve">so long </w:t>
      </w:r>
      <w:r w:rsidRPr="00BC739A">
        <w:rPr>
          <w:rFonts w:ascii="Times New Roman" w:hAnsi="Times New Roman" w:cs="Times New Roman"/>
          <w:sz w:val="24"/>
          <w:szCs w:val="24"/>
        </w:rPr>
        <w:t xml:space="preserve">as these </w:t>
      </w:r>
      <w:r w:rsidR="00557A9A" w:rsidRPr="00BC739A">
        <w:rPr>
          <w:rFonts w:ascii="Times New Roman" w:hAnsi="Times New Roman" w:cs="Times New Roman"/>
          <w:sz w:val="24"/>
          <w:szCs w:val="24"/>
        </w:rPr>
        <w:t>services</w:t>
      </w:r>
      <w:r w:rsidRPr="00BC739A">
        <w:rPr>
          <w:rFonts w:ascii="Times New Roman" w:hAnsi="Times New Roman" w:cs="Times New Roman"/>
          <w:sz w:val="24"/>
          <w:szCs w:val="24"/>
        </w:rPr>
        <w:t xml:space="preserve"> are not associated with</w:t>
      </w:r>
      <w:r w:rsidR="00522301" w:rsidRPr="00BC739A">
        <w:rPr>
          <w:rFonts w:ascii="Times New Roman" w:hAnsi="Times New Roman" w:cs="Times New Roman"/>
          <w:sz w:val="24"/>
          <w:szCs w:val="24"/>
        </w:rPr>
        <w:t xml:space="preserve"> an attendance for</w:t>
      </w:r>
      <w:r w:rsidRPr="00BC739A">
        <w:rPr>
          <w:rFonts w:ascii="Times New Roman" w:hAnsi="Times New Roman" w:cs="Times New Roman"/>
          <w:sz w:val="24"/>
          <w:szCs w:val="24"/>
        </w:rPr>
        <w:t xml:space="preserve"> the administration</w:t>
      </w:r>
      <w:r w:rsidR="00557A9A" w:rsidRPr="00BC739A">
        <w:rPr>
          <w:rFonts w:ascii="Times New Roman" w:hAnsi="Times New Roman" w:cs="Times New Roman"/>
          <w:sz w:val="24"/>
          <w:szCs w:val="24"/>
        </w:rPr>
        <w:t xml:space="preserve"> of antineoplastic therapy</w:t>
      </w:r>
      <w:r w:rsidRPr="00BC739A">
        <w:rPr>
          <w:rFonts w:ascii="Times New Roman" w:hAnsi="Times New Roman" w:cs="Times New Roman"/>
          <w:sz w:val="24"/>
          <w:szCs w:val="24"/>
        </w:rPr>
        <w:t xml:space="preserve"> under item 13950.</w:t>
      </w:r>
    </w:p>
    <w:p w:rsidR="00C74C1D" w:rsidRPr="00BC739A" w:rsidRDefault="00C74C1D" w:rsidP="0089175A">
      <w:pPr>
        <w:tabs>
          <w:tab w:val="left" w:pos="1170"/>
        </w:tabs>
        <w:spacing w:line="360" w:lineRule="auto"/>
        <w:jc w:val="both"/>
        <w:rPr>
          <w:sz w:val="24"/>
          <w:szCs w:val="24"/>
        </w:rPr>
      </w:pPr>
      <w:r>
        <w:rPr>
          <w:rFonts w:ascii="Times New Roman" w:hAnsi="Times New Roman" w:cs="Times New Roman"/>
          <w:sz w:val="24"/>
          <w:szCs w:val="24"/>
        </w:rPr>
        <w:t>Where item 14221 is claimed</w:t>
      </w:r>
      <w:r w:rsidR="00673A15">
        <w:rPr>
          <w:rFonts w:ascii="Times New Roman" w:hAnsi="Times New Roman" w:cs="Times New Roman"/>
          <w:sz w:val="24"/>
          <w:szCs w:val="24"/>
        </w:rPr>
        <w:t xml:space="preserve"> on the same day as item 13950</w:t>
      </w:r>
      <w:r>
        <w:rPr>
          <w:rFonts w:ascii="Times New Roman" w:hAnsi="Times New Roman" w:cs="Times New Roman"/>
          <w:sz w:val="24"/>
          <w:szCs w:val="24"/>
        </w:rPr>
        <w:t xml:space="preserve"> for a separate and distinct clinically relevant service, the account for item 14221 must be annotated with ‘separate attendance’ or ‘separate service’ to enable </w:t>
      </w:r>
      <w:r w:rsidR="00673A15">
        <w:rPr>
          <w:rFonts w:ascii="Times New Roman" w:hAnsi="Times New Roman" w:cs="Times New Roman"/>
          <w:sz w:val="24"/>
          <w:szCs w:val="24"/>
        </w:rPr>
        <w:t>the claim to be appropriately assessed. It would be expected that the account would be annotated with time of the attendances to demonstrate that separate services were provided to the patient.</w:t>
      </w:r>
    </w:p>
    <w:p w:rsidR="00C065D8" w:rsidRPr="00BC739A" w:rsidRDefault="00C065D8" w:rsidP="0089175A">
      <w:pPr>
        <w:pStyle w:val="Heading2"/>
        <w:spacing w:before="0" w:after="120" w:line="360" w:lineRule="auto"/>
        <w:jc w:val="both"/>
        <w:rPr>
          <w:sz w:val="24"/>
          <w:szCs w:val="24"/>
        </w:rPr>
      </w:pPr>
      <w:r w:rsidRPr="00BC739A">
        <w:rPr>
          <w:sz w:val="24"/>
          <w:szCs w:val="24"/>
        </w:rPr>
        <w:t>Remote and Off-Site Supervision</w:t>
      </w:r>
    </w:p>
    <w:p w:rsidR="00C065D8" w:rsidRPr="00BC739A" w:rsidRDefault="00C065D8" w:rsidP="0089175A">
      <w:pPr>
        <w:spacing w:line="360" w:lineRule="auto"/>
        <w:jc w:val="both"/>
        <w:rPr>
          <w:rFonts w:ascii="Times New Roman" w:hAnsi="Times New Roman" w:cs="Times New Roman"/>
          <w:sz w:val="24"/>
          <w:szCs w:val="24"/>
        </w:rPr>
      </w:pPr>
      <w:r w:rsidRPr="00BC739A">
        <w:rPr>
          <w:rFonts w:ascii="Times New Roman" w:hAnsi="Times New Roman" w:cs="Times New Roman"/>
          <w:sz w:val="24"/>
          <w:szCs w:val="24"/>
        </w:rPr>
        <w:t>The descriptor for item 13950 does not preclude remote or off-site administration</w:t>
      </w:r>
      <w:r w:rsidR="00C66CD2" w:rsidRPr="00BC739A">
        <w:rPr>
          <w:rFonts w:ascii="Times New Roman" w:hAnsi="Times New Roman" w:cs="Times New Roman"/>
          <w:sz w:val="24"/>
          <w:szCs w:val="24"/>
        </w:rPr>
        <w:t xml:space="preserve"> of antineoplastic therapy</w:t>
      </w:r>
      <w:r w:rsidRPr="00BC739A">
        <w:rPr>
          <w:rFonts w:ascii="Times New Roman" w:hAnsi="Times New Roman" w:cs="Times New Roman"/>
          <w:sz w:val="24"/>
          <w:szCs w:val="24"/>
        </w:rPr>
        <w:t>. Billing of item 13950, where the administration of the antineoplastic agent or agents occurs at a location other than where the consultant physician or specialist is attending, is appropriate</w:t>
      </w:r>
      <w:r w:rsidR="00576784" w:rsidRPr="00BC739A">
        <w:rPr>
          <w:rFonts w:ascii="Times New Roman" w:hAnsi="Times New Roman" w:cs="Times New Roman"/>
          <w:sz w:val="24"/>
          <w:szCs w:val="24"/>
        </w:rPr>
        <w:t>,</w:t>
      </w:r>
      <w:r w:rsidRPr="00BC739A">
        <w:rPr>
          <w:rFonts w:ascii="Times New Roman" w:hAnsi="Times New Roman" w:cs="Times New Roman"/>
          <w:sz w:val="24"/>
          <w:szCs w:val="24"/>
        </w:rPr>
        <w:t xml:space="preserve"> so long as the claiming consultant physician or specialist is satisfied that the administration</w:t>
      </w:r>
      <w:r w:rsidR="0089175A" w:rsidRPr="00BC739A">
        <w:rPr>
          <w:rFonts w:ascii="Times New Roman" w:hAnsi="Times New Roman" w:cs="Times New Roman"/>
          <w:sz w:val="24"/>
          <w:szCs w:val="24"/>
        </w:rPr>
        <w:t xml:space="preserve"> of the antineoplastic therapy is</w:t>
      </w:r>
      <w:r w:rsidRPr="00BC739A">
        <w:rPr>
          <w:rFonts w:ascii="Times New Roman" w:hAnsi="Times New Roman" w:cs="Times New Roman"/>
          <w:sz w:val="24"/>
          <w:szCs w:val="24"/>
        </w:rPr>
        <w:t xml:space="preserve"> being performed </w:t>
      </w:r>
      <w:r w:rsidR="0089175A" w:rsidRPr="00BC739A">
        <w:rPr>
          <w:rFonts w:ascii="Times New Roman" w:hAnsi="Times New Roman" w:cs="Times New Roman"/>
          <w:sz w:val="24"/>
          <w:szCs w:val="24"/>
        </w:rPr>
        <w:t xml:space="preserve">with </w:t>
      </w:r>
      <w:r w:rsidR="00C3641D">
        <w:rPr>
          <w:rFonts w:ascii="Times New Roman" w:hAnsi="Times New Roman" w:cs="Times New Roman"/>
          <w:sz w:val="24"/>
          <w:szCs w:val="24"/>
        </w:rPr>
        <w:t xml:space="preserve">the </w:t>
      </w:r>
      <w:r w:rsidRPr="00BC739A">
        <w:rPr>
          <w:rFonts w:ascii="Times New Roman" w:hAnsi="Times New Roman" w:cs="Times New Roman"/>
          <w:sz w:val="24"/>
          <w:szCs w:val="24"/>
        </w:rPr>
        <w:t xml:space="preserve">level of supervision </w:t>
      </w:r>
      <w:r w:rsidR="0089175A" w:rsidRPr="00BC739A">
        <w:rPr>
          <w:rFonts w:ascii="Times New Roman" w:hAnsi="Times New Roman" w:cs="Times New Roman"/>
          <w:sz w:val="24"/>
          <w:szCs w:val="24"/>
        </w:rPr>
        <w:t xml:space="preserve">which </w:t>
      </w:r>
      <w:r w:rsidRPr="00BC739A">
        <w:rPr>
          <w:rFonts w:ascii="Times New Roman" w:hAnsi="Times New Roman" w:cs="Times New Roman"/>
          <w:sz w:val="24"/>
          <w:szCs w:val="24"/>
        </w:rPr>
        <w:t>is generally accepted by the profession as necessary for the appropriate treatment of the patient.</w:t>
      </w:r>
    </w:p>
    <w:p w:rsidR="00507B7B" w:rsidRDefault="00507B7B" w:rsidP="0089175A">
      <w:pPr>
        <w:spacing w:line="360" w:lineRule="auto"/>
        <w:jc w:val="both"/>
        <w:rPr>
          <w:rFonts w:ascii="Times New Roman" w:hAnsi="Times New Roman" w:cs="Times New Roman"/>
          <w:sz w:val="24"/>
          <w:szCs w:val="24"/>
        </w:rPr>
      </w:pPr>
      <w:r w:rsidRPr="00BC739A">
        <w:rPr>
          <w:rFonts w:ascii="Times New Roman" w:hAnsi="Times New Roman" w:cs="Times New Roman"/>
          <w:sz w:val="24"/>
          <w:szCs w:val="24"/>
        </w:rPr>
        <w:t>The specialist or consultant physician</w:t>
      </w:r>
      <w:r w:rsidR="00522301" w:rsidRPr="00BC739A">
        <w:rPr>
          <w:rFonts w:ascii="Times New Roman" w:hAnsi="Times New Roman" w:cs="Times New Roman"/>
          <w:sz w:val="24"/>
          <w:szCs w:val="24"/>
        </w:rPr>
        <w:t>, who is undertaking or supervising the procedure,</w:t>
      </w:r>
      <w:r w:rsidRPr="00BC739A">
        <w:rPr>
          <w:rFonts w:ascii="Times New Roman" w:hAnsi="Times New Roman" w:cs="Times New Roman"/>
          <w:sz w:val="24"/>
          <w:szCs w:val="24"/>
        </w:rPr>
        <w:t xml:space="preserve"> will bill the service using </w:t>
      </w:r>
      <w:r w:rsidR="00B65937">
        <w:rPr>
          <w:rFonts w:ascii="Times New Roman" w:hAnsi="Times New Roman" w:cs="Times New Roman"/>
          <w:sz w:val="24"/>
          <w:szCs w:val="24"/>
        </w:rPr>
        <w:t>the</w:t>
      </w:r>
      <w:r w:rsidRPr="00BC739A">
        <w:rPr>
          <w:rFonts w:ascii="Times New Roman" w:hAnsi="Times New Roman" w:cs="Times New Roman"/>
          <w:sz w:val="24"/>
          <w:szCs w:val="24"/>
        </w:rPr>
        <w:t xml:space="preserve"> provider number</w:t>
      </w:r>
      <w:r w:rsidR="00B65937">
        <w:rPr>
          <w:rFonts w:ascii="Times New Roman" w:hAnsi="Times New Roman" w:cs="Times New Roman"/>
          <w:sz w:val="24"/>
          <w:szCs w:val="24"/>
        </w:rPr>
        <w:t xml:space="preserve"> associated with the service location</w:t>
      </w:r>
    </w:p>
    <w:p w:rsidR="00B65937" w:rsidRPr="00BC739A" w:rsidRDefault="00B65937" w:rsidP="008917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Note that in order for a service to be claimed under item 13950 there must be an attendance on the patient by the specialist or consultant physician or the health professional providing the service on their behalf. Item 13950 cannot be claimed where the patient is receiving the infusion at home via </w:t>
      </w:r>
      <w:r>
        <w:rPr>
          <w:rFonts w:ascii="Times New Roman" w:hAnsi="Times New Roman" w:cs="Times New Roman"/>
          <w:sz w:val="24"/>
          <w:szCs w:val="24"/>
        </w:rPr>
        <w:lastRenderedPageBreak/>
        <w:t>a pre-loaded pump or ambulatory delivery device and there has not been an attendance on the patient.</w:t>
      </w:r>
    </w:p>
    <w:p w:rsidR="00C671DE" w:rsidRPr="00BC739A" w:rsidRDefault="00C671DE" w:rsidP="0089175A">
      <w:pPr>
        <w:pStyle w:val="Heading2"/>
        <w:spacing w:line="360" w:lineRule="auto"/>
        <w:jc w:val="both"/>
        <w:rPr>
          <w:sz w:val="24"/>
          <w:szCs w:val="24"/>
        </w:rPr>
      </w:pPr>
      <w:r w:rsidRPr="00BC739A">
        <w:rPr>
          <w:sz w:val="24"/>
          <w:szCs w:val="24"/>
        </w:rPr>
        <w:t>Pump and other devices</w:t>
      </w:r>
    </w:p>
    <w:p w:rsidR="00C671DE" w:rsidRDefault="00A16BE0" w:rsidP="0089175A">
      <w:pPr>
        <w:spacing w:line="360" w:lineRule="auto"/>
        <w:jc w:val="both"/>
        <w:rPr>
          <w:rFonts w:ascii="Times New Roman" w:hAnsi="Times New Roman" w:cs="Times New Roman"/>
          <w:sz w:val="24"/>
          <w:szCs w:val="24"/>
        </w:rPr>
      </w:pPr>
      <w:r w:rsidRPr="00BC739A">
        <w:rPr>
          <w:rFonts w:ascii="Times New Roman" w:hAnsi="Times New Roman" w:cs="Times New Roman"/>
          <w:sz w:val="24"/>
          <w:szCs w:val="24"/>
        </w:rPr>
        <w:t>From 1 November 2020, the loading of pumps, reservoirs or ambulatory drug delivery devices can be billed under item 13950 (so long as the conditions described in the item descriptor are met). Item 13950</w:t>
      </w:r>
      <w:r w:rsidR="00522301" w:rsidRPr="00BC739A">
        <w:rPr>
          <w:rFonts w:ascii="Times New Roman" w:hAnsi="Times New Roman" w:cs="Times New Roman"/>
          <w:sz w:val="24"/>
          <w:szCs w:val="24"/>
        </w:rPr>
        <w:t>,</w:t>
      </w:r>
      <w:r w:rsidRPr="00BC739A">
        <w:rPr>
          <w:rFonts w:ascii="Times New Roman" w:hAnsi="Times New Roman" w:cs="Times New Roman"/>
          <w:sz w:val="24"/>
          <w:szCs w:val="24"/>
        </w:rPr>
        <w:t xml:space="preserve"> in these circumstances</w:t>
      </w:r>
      <w:r w:rsidR="00522301" w:rsidRPr="00BC739A">
        <w:rPr>
          <w:rFonts w:ascii="Times New Roman" w:hAnsi="Times New Roman" w:cs="Times New Roman"/>
          <w:sz w:val="24"/>
          <w:szCs w:val="24"/>
        </w:rPr>
        <w:t>,</w:t>
      </w:r>
      <w:r w:rsidRPr="00BC739A">
        <w:rPr>
          <w:rFonts w:ascii="Times New Roman" w:hAnsi="Times New Roman" w:cs="Times New Roman"/>
          <w:sz w:val="24"/>
          <w:szCs w:val="24"/>
        </w:rPr>
        <w:t xml:space="preserve"> can be billed once per attendance where the device is loaded with the antineoplastic agent</w:t>
      </w:r>
      <w:r w:rsidR="00522301" w:rsidRPr="00BC739A">
        <w:rPr>
          <w:rFonts w:ascii="Times New Roman" w:hAnsi="Times New Roman" w:cs="Times New Roman"/>
          <w:sz w:val="24"/>
          <w:szCs w:val="24"/>
        </w:rPr>
        <w:t xml:space="preserve"> or agents</w:t>
      </w:r>
      <w:r w:rsidRPr="00BC739A">
        <w:rPr>
          <w:rFonts w:ascii="Times New Roman" w:hAnsi="Times New Roman" w:cs="Times New Roman"/>
          <w:sz w:val="24"/>
          <w:szCs w:val="24"/>
        </w:rPr>
        <w:t>.</w:t>
      </w:r>
      <w:r w:rsidR="00B65937">
        <w:rPr>
          <w:rFonts w:ascii="Times New Roman" w:hAnsi="Times New Roman" w:cs="Times New Roman"/>
          <w:sz w:val="24"/>
          <w:szCs w:val="24"/>
        </w:rPr>
        <w:t xml:space="preserve"> </w:t>
      </w:r>
    </w:p>
    <w:p w:rsidR="00AE5DED" w:rsidRPr="00AE5DED" w:rsidRDefault="00AE5DED" w:rsidP="00AE5DED">
      <w:pPr>
        <w:spacing w:line="360" w:lineRule="auto"/>
        <w:jc w:val="both"/>
        <w:rPr>
          <w:rFonts w:ascii="Times New Roman" w:hAnsi="Times New Roman" w:cs="Times New Roman"/>
          <w:sz w:val="24"/>
          <w:szCs w:val="24"/>
        </w:rPr>
      </w:pPr>
      <w:r w:rsidRPr="00AE5DED">
        <w:rPr>
          <w:rFonts w:ascii="Times New Roman" w:hAnsi="Times New Roman" w:cs="Times New Roman"/>
          <w:sz w:val="24"/>
          <w:szCs w:val="24"/>
        </w:rPr>
        <w:t xml:space="preserve">Under the MBS, there is no item that specifically covers the disconnection of a pump or device as part of or following the administration of antineoplastic agents. </w:t>
      </w:r>
    </w:p>
    <w:p w:rsidR="00AE5DED" w:rsidRPr="00AE5DED" w:rsidRDefault="00AE5DED" w:rsidP="00AE5DED">
      <w:pPr>
        <w:spacing w:line="360" w:lineRule="auto"/>
        <w:jc w:val="both"/>
        <w:rPr>
          <w:rFonts w:ascii="Times New Roman" w:hAnsi="Times New Roman" w:cs="Times New Roman"/>
          <w:sz w:val="24"/>
          <w:szCs w:val="24"/>
        </w:rPr>
      </w:pPr>
      <w:r w:rsidRPr="00AE5DED">
        <w:rPr>
          <w:rFonts w:ascii="Times New Roman" w:hAnsi="Times New Roman" w:cs="Times New Roman"/>
          <w:sz w:val="24"/>
          <w:szCs w:val="24"/>
        </w:rPr>
        <w:t>From 1 November 2020, item 14221 is being amended to clarify that it cannot be claimed in association with the administration of antineoplastic agents for which item 13950 is being claimed, as the MBS fee for item 13950 contains a component to cover accessing of a long-term implanted device for delivery of therapeutic agents.</w:t>
      </w:r>
    </w:p>
    <w:p w:rsidR="00AE5DED" w:rsidRPr="00AE5DED" w:rsidRDefault="00AE5DED" w:rsidP="00AE5DED">
      <w:pPr>
        <w:spacing w:line="360" w:lineRule="auto"/>
        <w:jc w:val="both"/>
        <w:rPr>
          <w:rFonts w:ascii="Times New Roman" w:hAnsi="Times New Roman" w:cs="Times New Roman"/>
          <w:sz w:val="24"/>
          <w:szCs w:val="24"/>
        </w:rPr>
      </w:pPr>
      <w:r w:rsidRPr="00AE5DED">
        <w:rPr>
          <w:rFonts w:ascii="Times New Roman" w:hAnsi="Times New Roman" w:cs="Times New Roman"/>
          <w:sz w:val="24"/>
          <w:szCs w:val="24"/>
        </w:rPr>
        <w:t>If, at the attendance to disconnect a pump or device, the practitioner further administers antineoplastic agents under a service described by item 13950, then item 13950 may be claimed for that episode of treatment. The administration of antineoplastic agents during the attendance to disconnect the pump or device is considered a separate attendance from the claim associated with the initial loading of the pump or device. Item 14221 cannot be claimed in these circumstances, as item 14221 cannot be claimed in association with a claim for item 13950.</w:t>
      </w:r>
    </w:p>
    <w:p w:rsidR="00AE5DED" w:rsidRPr="00AE5DED" w:rsidRDefault="00AE5DED" w:rsidP="00AE5DED">
      <w:pPr>
        <w:spacing w:line="360" w:lineRule="auto"/>
        <w:jc w:val="both"/>
        <w:rPr>
          <w:rFonts w:ascii="Times New Roman" w:hAnsi="Times New Roman" w:cs="Times New Roman"/>
          <w:sz w:val="24"/>
          <w:szCs w:val="24"/>
        </w:rPr>
      </w:pPr>
      <w:r w:rsidRPr="00AE5DED">
        <w:rPr>
          <w:rFonts w:ascii="Times New Roman" w:hAnsi="Times New Roman" w:cs="Times New Roman"/>
          <w:sz w:val="24"/>
          <w:szCs w:val="24"/>
        </w:rPr>
        <w:t>Alternatively, if at the attendance to disconnect a pump or device there is no service provided under item 13950, then item 14221 may be claimed for a service associated with the accessing of a long-term implanted device for delivery of therapeutic agents, but only under circumstances where the long-term implanted device is accessed for the purpose of delivery of therapeutic agents (e.g. line maintenance for future access).</w:t>
      </w:r>
    </w:p>
    <w:p w:rsidR="00AE5DED" w:rsidRDefault="00AE5DED">
      <w:pPr>
        <w:rPr>
          <w:rFonts w:ascii="Times New Roman" w:eastAsiaTheme="majorEastAsia" w:hAnsi="Times New Roman" w:cstheme="majorBidi"/>
          <w:b/>
          <w:sz w:val="24"/>
          <w:szCs w:val="24"/>
        </w:rPr>
      </w:pPr>
      <w:r>
        <w:rPr>
          <w:sz w:val="24"/>
          <w:szCs w:val="24"/>
        </w:rPr>
        <w:br w:type="page"/>
      </w:r>
    </w:p>
    <w:p w:rsidR="00522301" w:rsidRPr="00BC739A" w:rsidRDefault="00522301" w:rsidP="0089175A">
      <w:pPr>
        <w:pStyle w:val="Heading2"/>
        <w:spacing w:line="360" w:lineRule="auto"/>
        <w:jc w:val="both"/>
        <w:rPr>
          <w:sz w:val="24"/>
          <w:szCs w:val="24"/>
        </w:rPr>
      </w:pPr>
      <w:r w:rsidRPr="00BC739A">
        <w:rPr>
          <w:sz w:val="24"/>
          <w:szCs w:val="24"/>
        </w:rPr>
        <w:lastRenderedPageBreak/>
        <w:t>Therapies</w:t>
      </w:r>
    </w:p>
    <w:p w:rsidR="00522301" w:rsidRPr="00BC739A" w:rsidRDefault="00522301" w:rsidP="0089175A">
      <w:pPr>
        <w:spacing w:line="360" w:lineRule="auto"/>
        <w:jc w:val="both"/>
        <w:rPr>
          <w:rFonts w:ascii="Times New Roman" w:hAnsi="Times New Roman" w:cs="Times New Roman"/>
          <w:sz w:val="24"/>
          <w:szCs w:val="24"/>
        </w:rPr>
      </w:pPr>
      <w:r w:rsidRPr="00BC739A">
        <w:rPr>
          <w:rFonts w:ascii="Times New Roman" w:hAnsi="Times New Roman" w:cs="Times New Roman"/>
          <w:sz w:val="24"/>
          <w:szCs w:val="24"/>
        </w:rPr>
        <w:t xml:space="preserve">Item 13950 covers </w:t>
      </w:r>
      <w:r w:rsidR="00037BCF">
        <w:rPr>
          <w:rFonts w:ascii="Times New Roman" w:hAnsi="Times New Roman" w:cs="Times New Roman"/>
          <w:sz w:val="24"/>
          <w:szCs w:val="24"/>
        </w:rPr>
        <w:t xml:space="preserve">the </w:t>
      </w:r>
      <w:r w:rsidRPr="00BC739A">
        <w:rPr>
          <w:rFonts w:ascii="Times New Roman" w:hAnsi="Times New Roman" w:cs="Times New Roman"/>
          <w:sz w:val="24"/>
          <w:szCs w:val="24"/>
        </w:rPr>
        <w:t xml:space="preserve">administration of antineoplastic agents for cytotoxic chemotherapy </w:t>
      </w:r>
      <w:r w:rsidR="00037BCF">
        <w:rPr>
          <w:rFonts w:ascii="Times New Roman" w:hAnsi="Times New Roman" w:cs="Times New Roman"/>
          <w:sz w:val="24"/>
          <w:szCs w:val="24"/>
        </w:rPr>
        <w:t xml:space="preserve">or </w:t>
      </w:r>
      <w:r w:rsidRPr="00BC739A">
        <w:rPr>
          <w:rFonts w:ascii="Times New Roman" w:hAnsi="Times New Roman" w:cs="Times New Roman"/>
          <w:sz w:val="24"/>
          <w:szCs w:val="24"/>
        </w:rPr>
        <w:t>monoclonal antibody therapy for the treatment of cancer. Other types of therapies, such a</w:t>
      </w:r>
      <w:r w:rsidR="009D53D1" w:rsidRPr="00BC739A">
        <w:rPr>
          <w:rFonts w:ascii="Times New Roman" w:hAnsi="Times New Roman" w:cs="Times New Roman"/>
          <w:sz w:val="24"/>
          <w:szCs w:val="24"/>
        </w:rPr>
        <w:t>s anti-</w:t>
      </w:r>
      <w:proofErr w:type="spellStart"/>
      <w:r w:rsidR="009D53D1" w:rsidRPr="00BC739A">
        <w:rPr>
          <w:rFonts w:ascii="Times New Roman" w:hAnsi="Times New Roman" w:cs="Times New Roman"/>
          <w:sz w:val="24"/>
          <w:szCs w:val="24"/>
        </w:rPr>
        <w:t>resorptive</w:t>
      </w:r>
      <w:proofErr w:type="spellEnd"/>
      <w:r w:rsidR="009D53D1" w:rsidRPr="00BC739A">
        <w:rPr>
          <w:rFonts w:ascii="Times New Roman" w:hAnsi="Times New Roman" w:cs="Times New Roman"/>
          <w:sz w:val="24"/>
          <w:szCs w:val="24"/>
        </w:rPr>
        <w:t xml:space="preserve"> bone therapy and hormonal therapy</w:t>
      </w:r>
      <w:r w:rsidRPr="00BC739A">
        <w:rPr>
          <w:rFonts w:ascii="Times New Roman" w:hAnsi="Times New Roman" w:cs="Times New Roman"/>
          <w:sz w:val="24"/>
          <w:szCs w:val="24"/>
        </w:rPr>
        <w:t xml:space="preserve"> are not covered under item 13950.</w:t>
      </w:r>
      <w:r w:rsidR="009D53D1" w:rsidRPr="00BC739A">
        <w:rPr>
          <w:rFonts w:ascii="Times New Roman" w:hAnsi="Times New Roman" w:cs="Times New Roman"/>
          <w:sz w:val="24"/>
          <w:szCs w:val="24"/>
        </w:rPr>
        <w:t xml:space="preserve"> </w:t>
      </w:r>
      <w:r w:rsidR="009B2E30" w:rsidRPr="00BC739A">
        <w:rPr>
          <w:rFonts w:ascii="Times New Roman" w:hAnsi="Times New Roman" w:cs="Times New Roman"/>
          <w:sz w:val="24"/>
          <w:szCs w:val="24"/>
        </w:rPr>
        <w:t>The supervision of these therapies is</w:t>
      </w:r>
      <w:r w:rsidR="009D53D1" w:rsidRPr="00BC739A">
        <w:rPr>
          <w:rFonts w:ascii="Times New Roman" w:hAnsi="Times New Roman" w:cs="Times New Roman"/>
          <w:sz w:val="24"/>
          <w:szCs w:val="24"/>
        </w:rPr>
        <w:t xml:space="preserve"> </w:t>
      </w:r>
      <w:r w:rsidR="009B2E30" w:rsidRPr="00BC739A">
        <w:rPr>
          <w:rFonts w:ascii="Times New Roman" w:hAnsi="Times New Roman" w:cs="Times New Roman"/>
          <w:sz w:val="24"/>
          <w:szCs w:val="24"/>
        </w:rPr>
        <w:t>reimbursed</w:t>
      </w:r>
      <w:r w:rsidR="009D53D1" w:rsidRPr="00BC739A">
        <w:rPr>
          <w:rFonts w:ascii="Times New Roman" w:hAnsi="Times New Roman" w:cs="Times New Roman"/>
          <w:sz w:val="24"/>
          <w:szCs w:val="24"/>
        </w:rPr>
        <w:t xml:space="preserve"> on a consultatio</w:t>
      </w:r>
      <w:r w:rsidR="009B2E30" w:rsidRPr="00BC739A">
        <w:rPr>
          <w:rFonts w:ascii="Times New Roman" w:hAnsi="Times New Roman" w:cs="Times New Roman"/>
          <w:sz w:val="24"/>
          <w:szCs w:val="24"/>
        </w:rPr>
        <w:t>n basis. Additionally, monoclonal antibody therapy for inflammatory conditions and multiple sclerosis are not covered by item 13950.</w:t>
      </w:r>
    </w:p>
    <w:p w:rsidR="00624EEA" w:rsidRPr="00BC739A" w:rsidRDefault="00624EEA" w:rsidP="0089175A">
      <w:pPr>
        <w:spacing w:line="360" w:lineRule="auto"/>
        <w:jc w:val="both"/>
        <w:rPr>
          <w:rFonts w:ascii="Times New Roman" w:hAnsi="Times New Roman" w:cs="Times New Roman"/>
          <w:sz w:val="24"/>
          <w:szCs w:val="24"/>
        </w:rPr>
      </w:pPr>
      <w:r w:rsidRPr="00BC739A">
        <w:rPr>
          <w:rFonts w:ascii="Times New Roman" w:hAnsi="Times New Roman" w:cs="Times New Roman"/>
          <w:sz w:val="24"/>
          <w:szCs w:val="24"/>
        </w:rPr>
        <w:t>Administration of oral chemotherapy is not currently funded under the MBS. However, a r</w:t>
      </w:r>
      <w:r w:rsidR="00AC7236">
        <w:rPr>
          <w:rFonts w:ascii="Times New Roman" w:hAnsi="Times New Roman" w:cs="Times New Roman"/>
          <w:sz w:val="24"/>
          <w:szCs w:val="24"/>
        </w:rPr>
        <w:t>ecommendation of the MBS Review</w:t>
      </w:r>
      <w:r w:rsidRPr="00BC739A">
        <w:rPr>
          <w:rFonts w:ascii="Times New Roman" w:hAnsi="Times New Roman" w:cs="Times New Roman"/>
          <w:sz w:val="24"/>
          <w:szCs w:val="24"/>
        </w:rPr>
        <w:t xml:space="preserve"> Taskforce is for the introduction of an MBS item to cover the administration of oral chemotherapy. This recommendation will be the subject of a Medical Services Advisory Committee (MSAC) application. Further information regarding the MSAC process can be found at </w:t>
      </w:r>
      <w:hyperlink r:id="rId7" w:history="1">
        <w:r w:rsidRPr="00BC739A">
          <w:rPr>
            <w:rStyle w:val="Hyperlink"/>
            <w:rFonts w:ascii="Times New Roman" w:hAnsi="Times New Roman" w:cs="Times New Roman"/>
            <w:sz w:val="24"/>
            <w:szCs w:val="24"/>
            <w:u w:val="none"/>
          </w:rPr>
          <w:t>www.msac.gov.au</w:t>
        </w:r>
      </w:hyperlink>
      <w:r w:rsidRPr="00BC739A">
        <w:rPr>
          <w:rFonts w:ascii="Times New Roman" w:hAnsi="Times New Roman" w:cs="Times New Roman"/>
          <w:sz w:val="24"/>
          <w:szCs w:val="24"/>
        </w:rPr>
        <w:t xml:space="preserve">. </w:t>
      </w:r>
    </w:p>
    <w:p w:rsidR="00E806A5" w:rsidRPr="00BC739A" w:rsidRDefault="00E806A5" w:rsidP="0089175A">
      <w:pPr>
        <w:pStyle w:val="Heading2"/>
        <w:spacing w:line="360" w:lineRule="auto"/>
        <w:jc w:val="both"/>
        <w:rPr>
          <w:sz w:val="24"/>
          <w:szCs w:val="24"/>
        </w:rPr>
      </w:pPr>
      <w:r w:rsidRPr="00BC739A">
        <w:rPr>
          <w:sz w:val="24"/>
          <w:szCs w:val="24"/>
        </w:rPr>
        <w:t>Private Health Insurance</w:t>
      </w:r>
    </w:p>
    <w:p w:rsidR="00E806A5" w:rsidRDefault="00E806A5" w:rsidP="0089175A">
      <w:pPr>
        <w:spacing w:after="0" w:line="360" w:lineRule="auto"/>
        <w:jc w:val="both"/>
        <w:rPr>
          <w:rFonts w:ascii="Times New Roman" w:hAnsi="Times New Roman" w:cs="Times New Roman"/>
          <w:sz w:val="24"/>
          <w:szCs w:val="24"/>
        </w:rPr>
      </w:pPr>
      <w:r w:rsidRPr="00BC739A">
        <w:rPr>
          <w:rFonts w:ascii="Times New Roman" w:hAnsi="Times New Roman" w:cs="Times New Roman"/>
          <w:sz w:val="24"/>
          <w:szCs w:val="24"/>
        </w:rPr>
        <w:t xml:space="preserve">From 1 November 2020, the private health insurance categorisation and classification for item 13950 will be: </w:t>
      </w:r>
    </w:p>
    <w:p w:rsidR="00037BCF" w:rsidRPr="00BC739A" w:rsidRDefault="00037BCF" w:rsidP="0089175A">
      <w:pPr>
        <w:spacing w:after="0" w:line="360" w:lineRule="auto"/>
        <w:jc w:val="both"/>
        <w:rPr>
          <w:rFonts w:ascii="Times New Roman" w:hAnsi="Times New Roman" w:cs="Times New Roman"/>
          <w:sz w:val="24"/>
          <w:szCs w:val="24"/>
        </w:rPr>
      </w:pPr>
    </w:p>
    <w:p w:rsidR="00E806A5" w:rsidRPr="00BC739A" w:rsidRDefault="00E806A5" w:rsidP="0089175A">
      <w:pPr>
        <w:pStyle w:val="ListParagraph"/>
        <w:numPr>
          <w:ilvl w:val="0"/>
          <w:numId w:val="5"/>
        </w:numPr>
        <w:spacing w:after="0" w:line="360" w:lineRule="auto"/>
        <w:jc w:val="both"/>
      </w:pPr>
      <w:r w:rsidRPr="00BC739A">
        <w:t xml:space="preserve">Procedure Type B Band 1 (same day accommodation); and </w:t>
      </w:r>
    </w:p>
    <w:p w:rsidR="00E806A5" w:rsidRPr="00BC739A" w:rsidRDefault="00E806A5" w:rsidP="0089175A">
      <w:pPr>
        <w:pStyle w:val="ListParagraph"/>
        <w:numPr>
          <w:ilvl w:val="0"/>
          <w:numId w:val="5"/>
        </w:numPr>
        <w:spacing w:after="0" w:line="360" w:lineRule="auto"/>
        <w:jc w:val="both"/>
      </w:pPr>
      <w:r w:rsidRPr="00BC739A">
        <w:t>Clinical category - Chemotherapy, radiotherapy and immunotherapy for cancer.</w:t>
      </w:r>
    </w:p>
    <w:p w:rsidR="00E806A5" w:rsidRPr="00BC739A" w:rsidRDefault="00E806A5" w:rsidP="0089175A">
      <w:pPr>
        <w:spacing w:after="0" w:line="360" w:lineRule="auto"/>
        <w:jc w:val="both"/>
        <w:rPr>
          <w:rFonts w:ascii="Times New Roman" w:hAnsi="Times New Roman" w:cs="Times New Roman"/>
          <w:sz w:val="24"/>
          <w:szCs w:val="24"/>
        </w:rPr>
      </w:pPr>
    </w:p>
    <w:p w:rsidR="00E806A5" w:rsidRPr="00BC739A" w:rsidRDefault="00E806A5" w:rsidP="0089175A">
      <w:pPr>
        <w:spacing w:after="0" w:line="360" w:lineRule="auto"/>
        <w:jc w:val="both"/>
        <w:rPr>
          <w:rFonts w:ascii="Times New Roman" w:hAnsi="Times New Roman" w:cs="Times New Roman"/>
          <w:sz w:val="24"/>
          <w:szCs w:val="24"/>
        </w:rPr>
      </w:pPr>
      <w:r w:rsidRPr="00BC739A">
        <w:rPr>
          <w:rFonts w:ascii="Times New Roman" w:hAnsi="Times New Roman" w:cs="Times New Roman"/>
          <w:sz w:val="24"/>
          <w:szCs w:val="24"/>
        </w:rPr>
        <w:t xml:space="preserve">Under subsection 72-1(2) of the </w:t>
      </w:r>
      <w:r w:rsidRPr="00BC739A">
        <w:rPr>
          <w:rFonts w:ascii="Times New Roman" w:hAnsi="Times New Roman" w:cs="Times New Roman"/>
          <w:i/>
          <w:sz w:val="24"/>
          <w:szCs w:val="24"/>
        </w:rPr>
        <w:t>Private Health Insurance Act 2007</w:t>
      </w:r>
      <w:r w:rsidRPr="00BC739A">
        <w:rPr>
          <w:rFonts w:ascii="Times New Roman" w:hAnsi="Times New Roman" w:cs="Times New Roman"/>
          <w:sz w:val="24"/>
          <w:szCs w:val="24"/>
        </w:rPr>
        <w:t xml:space="preserve">, the minimum benefits an insurer must pay for covered hospital treatment, includes at least 25% of the MBS item Schedule fee and the accommodation benefit as set out in the </w:t>
      </w:r>
      <w:r w:rsidRPr="00BC739A">
        <w:rPr>
          <w:rFonts w:ascii="Times New Roman" w:hAnsi="Times New Roman" w:cs="Times New Roman"/>
          <w:i/>
          <w:sz w:val="24"/>
          <w:szCs w:val="24"/>
        </w:rPr>
        <w:t>Private Health Insurance (Benefit Requirements) Rules 2018</w:t>
      </w:r>
      <w:r w:rsidRPr="00BC739A">
        <w:rPr>
          <w:rFonts w:ascii="Times New Roman" w:hAnsi="Times New Roman" w:cs="Times New Roman"/>
          <w:sz w:val="24"/>
          <w:szCs w:val="24"/>
        </w:rPr>
        <w:t>.</w:t>
      </w:r>
      <w:r w:rsidR="00DE5BEB" w:rsidRPr="00BC739A">
        <w:rPr>
          <w:rFonts w:ascii="Times New Roman" w:hAnsi="Times New Roman" w:cs="Times New Roman"/>
          <w:sz w:val="24"/>
          <w:szCs w:val="24"/>
        </w:rPr>
        <w:t xml:space="preserve"> </w:t>
      </w:r>
      <w:r w:rsidRPr="00BC739A">
        <w:rPr>
          <w:rFonts w:ascii="Times New Roman" w:hAnsi="Times New Roman" w:cs="Times New Roman"/>
          <w:sz w:val="24"/>
          <w:szCs w:val="24"/>
        </w:rPr>
        <w:t>Minimum benefits for private health insurance payments apply to the entirety of an MBS item</w:t>
      </w:r>
      <w:r w:rsidR="00DE5BEB" w:rsidRPr="00BC739A">
        <w:rPr>
          <w:rFonts w:ascii="Times New Roman" w:hAnsi="Times New Roman" w:cs="Times New Roman"/>
          <w:sz w:val="24"/>
          <w:szCs w:val="24"/>
        </w:rPr>
        <w:t>,</w:t>
      </w:r>
      <w:r w:rsidRPr="00BC739A">
        <w:rPr>
          <w:rFonts w:ascii="Times New Roman" w:hAnsi="Times New Roman" w:cs="Times New Roman"/>
          <w:sz w:val="24"/>
          <w:szCs w:val="24"/>
        </w:rPr>
        <w:t xml:space="preserve"> as written</w:t>
      </w:r>
      <w:r w:rsidR="00DE5BEB" w:rsidRPr="00BC739A">
        <w:rPr>
          <w:rFonts w:ascii="Times New Roman" w:hAnsi="Times New Roman" w:cs="Times New Roman"/>
          <w:sz w:val="24"/>
          <w:szCs w:val="24"/>
        </w:rPr>
        <w:t>,</w:t>
      </w:r>
      <w:r w:rsidRPr="00BC739A">
        <w:rPr>
          <w:rFonts w:ascii="Times New Roman" w:hAnsi="Times New Roman" w:cs="Times New Roman"/>
          <w:sz w:val="24"/>
          <w:szCs w:val="24"/>
        </w:rPr>
        <w:t xml:space="preserve"> including the full descriptor (i.e. there is no provision to pick and choose aspects of an item for </w:t>
      </w:r>
      <w:r w:rsidR="00491E1A">
        <w:rPr>
          <w:rFonts w:ascii="Times New Roman" w:hAnsi="Times New Roman" w:cs="Times New Roman"/>
          <w:sz w:val="24"/>
          <w:szCs w:val="24"/>
        </w:rPr>
        <w:t>any of the minimum benefits</w:t>
      </w:r>
      <w:r w:rsidRPr="00BC739A">
        <w:rPr>
          <w:rFonts w:ascii="Times New Roman" w:hAnsi="Times New Roman" w:cs="Times New Roman"/>
          <w:sz w:val="24"/>
          <w:szCs w:val="24"/>
        </w:rPr>
        <w:t>).</w:t>
      </w:r>
    </w:p>
    <w:p w:rsidR="00AE5DED" w:rsidRDefault="00AE5DED">
      <w:pPr>
        <w:rPr>
          <w:rFonts w:ascii="Times New Roman" w:eastAsiaTheme="majorEastAsia" w:hAnsi="Times New Roman" w:cstheme="majorBidi"/>
          <w:b/>
          <w:sz w:val="24"/>
          <w:szCs w:val="24"/>
        </w:rPr>
      </w:pPr>
      <w:r>
        <w:rPr>
          <w:sz w:val="24"/>
          <w:szCs w:val="24"/>
        </w:rPr>
        <w:br w:type="page"/>
      </w:r>
    </w:p>
    <w:p w:rsidR="008B342E" w:rsidRPr="00BC739A" w:rsidRDefault="00953FE5" w:rsidP="0089175A">
      <w:pPr>
        <w:pStyle w:val="Heading2"/>
        <w:spacing w:line="360" w:lineRule="auto"/>
        <w:jc w:val="both"/>
        <w:rPr>
          <w:sz w:val="24"/>
          <w:szCs w:val="24"/>
        </w:rPr>
      </w:pPr>
      <w:r w:rsidRPr="00BC739A">
        <w:rPr>
          <w:sz w:val="24"/>
          <w:szCs w:val="24"/>
        </w:rPr>
        <w:lastRenderedPageBreak/>
        <w:t xml:space="preserve">Use of </w:t>
      </w:r>
      <w:r w:rsidR="00C671DE" w:rsidRPr="00BC739A">
        <w:rPr>
          <w:sz w:val="24"/>
          <w:szCs w:val="24"/>
        </w:rPr>
        <w:t>Pharmaceuticals</w:t>
      </w:r>
    </w:p>
    <w:p w:rsidR="008B342E" w:rsidRPr="00BC739A" w:rsidRDefault="008B342E" w:rsidP="0089175A">
      <w:pPr>
        <w:spacing w:line="360" w:lineRule="auto"/>
        <w:jc w:val="both"/>
        <w:rPr>
          <w:rFonts w:ascii="Times New Roman" w:hAnsi="Times New Roman" w:cs="Times New Roman"/>
          <w:sz w:val="24"/>
          <w:szCs w:val="24"/>
        </w:rPr>
      </w:pPr>
      <w:r w:rsidRPr="00BC739A">
        <w:rPr>
          <w:rFonts w:ascii="Times New Roman" w:hAnsi="Times New Roman" w:cs="Times New Roman"/>
          <w:sz w:val="24"/>
          <w:szCs w:val="24"/>
        </w:rPr>
        <w:t xml:space="preserve">From </w:t>
      </w:r>
      <w:r w:rsidR="00D94E99" w:rsidRPr="00BC739A">
        <w:rPr>
          <w:rFonts w:ascii="Times New Roman" w:hAnsi="Times New Roman" w:cs="Times New Roman"/>
          <w:sz w:val="24"/>
          <w:szCs w:val="24"/>
        </w:rPr>
        <w:t>1 November</w:t>
      </w:r>
      <w:r w:rsidRPr="00BC739A">
        <w:rPr>
          <w:rFonts w:ascii="Times New Roman" w:hAnsi="Times New Roman" w:cs="Times New Roman"/>
          <w:sz w:val="24"/>
          <w:szCs w:val="24"/>
        </w:rPr>
        <w:t xml:space="preserve"> 2020, the parenteral administration of antineoplastic agents</w:t>
      </w:r>
      <w:r w:rsidR="00217F60">
        <w:rPr>
          <w:rFonts w:ascii="Times New Roman" w:hAnsi="Times New Roman" w:cs="Times New Roman"/>
          <w:sz w:val="24"/>
          <w:szCs w:val="24"/>
        </w:rPr>
        <w:t>,</w:t>
      </w:r>
      <w:r w:rsidRPr="00BC739A">
        <w:rPr>
          <w:rFonts w:ascii="Times New Roman" w:hAnsi="Times New Roman" w:cs="Times New Roman"/>
          <w:sz w:val="24"/>
          <w:szCs w:val="24"/>
        </w:rPr>
        <w:t xml:space="preserve"> </w:t>
      </w:r>
      <w:r w:rsidR="009B2E30" w:rsidRPr="00BC739A">
        <w:rPr>
          <w:rFonts w:ascii="Times New Roman" w:hAnsi="Times New Roman" w:cs="Times New Roman"/>
          <w:sz w:val="24"/>
          <w:szCs w:val="24"/>
        </w:rPr>
        <w:t xml:space="preserve">including </w:t>
      </w:r>
      <w:r w:rsidRPr="00BC739A">
        <w:rPr>
          <w:rFonts w:ascii="Times New Roman" w:hAnsi="Times New Roman" w:cs="Times New Roman"/>
          <w:sz w:val="24"/>
          <w:szCs w:val="24"/>
        </w:rPr>
        <w:t xml:space="preserve">cytotoxic chemotherapy </w:t>
      </w:r>
      <w:r w:rsidR="004C758A" w:rsidRPr="00BC739A">
        <w:rPr>
          <w:rFonts w:ascii="Times New Roman" w:hAnsi="Times New Roman" w:cs="Times New Roman"/>
          <w:sz w:val="24"/>
          <w:szCs w:val="24"/>
        </w:rPr>
        <w:t>and</w:t>
      </w:r>
      <w:r w:rsidRPr="00BC739A">
        <w:rPr>
          <w:rFonts w:ascii="Times New Roman" w:hAnsi="Times New Roman" w:cs="Times New Roman"/>
          <w:sz w:val="24"/>
          <w:szCs w:val="24"/>
        </w:rPr>
        <w:t xml:space="preserve"> monoclonal antibody therapy, can be claimed under item 13950.</w:t>
      </w:r>
      <w:r w:rsidR="00855B5F" w:rsidRPr="00BC739A">
        <w:rPr>
          <w:rFonts w:ascii="Times New Roman" w:hAnsi="Times New Roman" w:cs="Times New Roman"/>
          <w:sz w:val="24"/>
          <w:szCs w:val="24"/>
        </w:rPr>
        <w:t xml:space="preserve"> </w:t>
      </w:r>
    </w:p>
    <w:p w:rsidR="008B342E" w:rsidRPr="00BC739A" w:rsidRDefault="008B342E" w:rsidP="0089175A">
      <w:pPr>
        <w:spacing w:line="360" w:lineRule="auto"/>
        <w:jc w:val="both"/>
        <w:rPr>
          <w:rFonts w:ascii="Times New Roman" w:hAnsi="Times New Roman" w:cs="Times New Roman"/>
          <w:sz w:val="24"/>
          <w:szCs w:val="24"/>
        </w:rPr>
      </w:pPr>
      <w:r w:rsidRPr="00BC739A">
        <w:rPr>
          <w:rFonts w:ascii="Times New Roman" w:hAnsi="Times New Roman" w:cs="Times New Roman"/>
          <w:sz w:val="24"/>
          <w:szCs w:val="24"/>
        </w:rPr>
        <w:t xml:space="preserve">Item 13950 cannot be used for claims related to the administration </w:t>
      </w:r>
      <w:r w:rsidR="00727C1A" w:rsidRPr="00BC739A">
        <w:rPr>
          <w:rFonts w:ascii="Times New Roman" w:hAnsi="Times New Roman" w:cs="Times New Roman"/>
          <w:sz w:val="24"/>
          <w:szCs w:val="24"/>
        </w:rPr>
        <w:t>of pharmaceuticals</w:t>
      </w:r>
      <w:r w:rsidRPr="00BC739A">
        <w:rPr>
          <w:rFonts w:ascii="Times New Roman" w:hAnsi="Times New Roman" w:cs="Times New Roman"/>
          <w:sz w:val="24"/>
          <w:szCs w:val="24"/>
        </w:rPr>
        <w:t xml:space="preserve"> u</w:t>
      </w:r>
      <w:r w:rsidR="00727C1A" w:rsidRPr="00BC739A">
        <w:rPr>
          <w:rFonts w:ascii="Times New Roman" w:hAnsi="Times New Roman" w:cs="Times New Roman"/>
          <w:sz w:val="24"/>
          <w:szCs w:val="24"/>
        </w:rPr>
        <w:t>sed as part of hormonal therapy nor</w:t>
      </w:r>
      <w:r w:rsidRPr="00BC739A">
        <w:rPr>
          <w:rFonts w:ascii="Times New Roman" w:hAnsi="Times New Roman" w:cs="Times New Roman"/>
          <w:sz w:val="24"/>
          <w:szCs w:val="24"/>
        </w:rPr>
        <w:t xml:space="preserve"> for the administration of </w:t>
      </w:r>
      <w:r w:rsidR="004C758A" w:rsidRPr="00BC739A">
        <w:rPr>
          <w:rFonts w:ascii="Times New Roman" w:hAnsi="Times New Roman" w:cs="Times New Roman"/>
          <w:sz w:val="24"/>
          <w:szCs w:val="24"/>
        </w:rPr>
        <w:t>c</w:t>
      </w:r>
      <w:r w:rsidR="00727C1A" w:rsidRPr="00BC739A">
        <w:rPr>
          <w:rFonts w:ascii="Times New Roman" w:hAnsi="Times New Roman" w:cs="Times New Roman"/>
          <w:sz w:val="24"/>
          <w:szCs w:val="24"/>
        </w:rPr>
        <w:t xml:space="preserve">olony-stimulating factors </w:t>
      </w:r>
      <w:r w:rsidRPr="00BC739A">
        <w:rPr>
          <w:rFonts w:ascii="Times New Roman" w:hAnsi="Times New Roman" w:cs="Times New Roman"/>
          <w:sz w:val="24"/>
          <w:szCs w:val="24"/>
        </w:rPr>
        <w:t xml:space="preserve">(such as </w:t>
      </w:r>
      <w:proofErr w:type="spellStart"/>
      <w:r w:rsidRPr="00BC739A">
        <w:rPr>
          <w:rFonts w:ascii="Times New Roman" w:hAnsi="Times New Roman" w:cs="Times New Roman"/>
          <w:sz w:val="24"/>
          <w:szCs w:val="24"/>
        </w:rPr>
        <w:t>filgrastim</w:t>
      </w:r>
      <w:proofErr w:type="spellEnd"/>
      <w:r w:rsidRPr="00BC739A">
        <w:rPr>
          <w:rFonts w:ascii="Times New Roman" w:hAnsi="Times New Roman" w:cs="Times New Roman"/>
          <w:sz w:val="24"/>
          <w:szCs w:val="24"/>
        </w:rPr>
        <w:t xml:space="preserve">, </w:t>
      </w:r>
      <w:proofErr w:type="spellStart"/>
      <w:r w:rsidRPr="00BC739A">
        <w:rPr>
          <w:rFonts w:ascii="Times New Roman" w:hAnsi="Times New Roman" w:cs="Times New Roman"/>
          <w:sz w:val="24"/>
          <w:szCs w:val="24"/>
        </w:rPr>
        <w:t>pegfilgrastim</w:t>
      </w:r>
      <w:proofErr w:type="spellEnd"/>
      <w:r w:rsidRPr="00BC739A">
        <w:rPr>
          <w:rFonts w:ascii="Times New Roman" w:hAnsi="Times New Roman" w:cs="Times New Roman"/>
          <w:sz w:val="24"/>
          <w:szCs w:val="24"/>
        </w:rPr>
        <w:t xml:space="preserve">, and </w:t>
      </w:r>
      <w:proofErr w:type="spellStart"/>
      <w:r w:rsidR="00F32EB8" w:rsidRPr="00BC739A">
        <w:rPr>
          <w:rFonts w:ascii="Times New Roman" w:hAnsi="Times New Roman" w:cs="Times New Roman"/>
          <w:sz w:val="24"/>
          <w:szCs w:val="24"/>
        </w:rPr>
        <w:t>plerixafor</w:t>
      </w:r>
      <w:proofErr w:type="spellEnd"/>
      <w:r w:rsidR="00767885" w:rsidRPr="00BC739A">
        <w:rPr>
          <w:rFonts w:ascii="Times New Roman" w:hAnsi="Times New Roman" w:cs="Times New Roman"/>
          <w:sz w:val="24"/>
          <w:szCs w:val="24"/>
        </w:rPr>
        <w:t>).</w:t>
      </w:r>
      <w:r w:rsidR="00D842C0" w:rsidRPr="00BC739A">
        <w:rPr>
          <w:rFonts w:ascii="Times New Roman" w:hAnsi="Times New Roman" w:cs="Times New Roman"/>
          <w:sz w:val="24"/>
          <w:szCs w:val="24"/>
        </w:rPr>
        <w:t xml:space="preserve"> Also, the administration of anti</w:t>
      </w:r>
      <w:r w:rsidR="00D842C0" w:rsidRPr="00BC739A">
        <w:rPr>
          <w:rFonts w:ascii="Times New Roman" w:hAnsi="Times New Roman" w:cs="Times New Roman"/>
          <w:sz w:val="24"/>
          <w:szCs w:val="24"/>
        </w:rPr>
        <w:noBreakHyphen/>
      </w:r>
      <w:proofErr w:type="spellStart"/>
      <w:r w:rsidR="00D842C0" w:rsidRPr="00BC739A">
        <w:rPr>
          <w:rFonts w:ascii="Times New Roman" w:hAnsi="Times New Roman" w:cs="Times New Roman"/>
          <w:sz w:val="24"/>
          <w:szCs w:val="24"/>
        </w:rPr>
        <w:t>resorptive</w:t>
      </w:r>
      <w:proofErr w:type="spellEnd"/>
      <w:r w:rsidR="00D842C0" w:rsidRPr="00BC739A">
        <w:rPr>
          <w:rFonts w:ascii="Times New Roman" w:hAnsi="Times New Roman" w:cs="Times New Roman"/>
          <w:sz w:val="24"/>
          <w:szCs w:val="24"/>
        </w:rPr>
        <w:t xml:space="preserve"> bone therapy </w:t>
      </w:r>
      <w:r w:rsidR="00A90818" w:rsidRPr="00BC739A">
        <w:rPr>
          <w:rFonts w:ascii="Times New Roman" w:hAnsi="Times New Roman" w:cs="Times New Roman"/>
          <w:sz w:val="24"/>
          <w:szCs w:val="24"/>
        </w:rPr>
        <w:t>is</w:t>
      </w:r>
      <w:r w:rsidR="00D842C0" w:rsidRPr="00BC739A">
        <w:rPr>
          <w:rFonts w:ascii="Times New Roman" w:hAnsi="Times New Roman" w:cs="Times New Roman"/>
          <w:sz w:val="24"/>
          <w:szCs w:val="24"/>
        </w:rPr>
        <w:t xml:space="preserve"> not covered under </w:t>
      </w:r>
      <w:r w:rsidR="004C758A" w:rsidRPr="00BC739A">
        <w:rPr>
          <w:rFonts w:ascii="Times New Roman" w:hAnsi="Times New Roman" w:cs="Times New Roman"/>
          <w:sz w:val="24"/>
          <w:szCs w:val="24"/>
        </w:rPr>
        <w:t xml:space="preserve">item </w:t>
      </w:r>
      <w:r w:rsidR="00D842C0" w:rsidRPr="00BC739A">
        <w:rPr>
          <w:rFonts w:ascii="Times New Roman" w:hAnsi="Times New Roman" w:cs="Times New Roman"/>
          <w:sz w:val="24"/>
          <w:szCs w:val="24"/>
        </w:rPr>
        <w:t>13950.</w:t>
      </w:r>
    </w:p>
    <w:p w:rsidR="00834FEB" w:rsidRPr="00BC739A" w:rsidRDefault="008B342E" w:rsidP="0089175A">
      <w:pPr>
        <w:spacing w:line="360" w:lineRule="auto"/>
        <w:jc w:val="both"/>
        <w:rPr>
          <w:rFonts w:ascii="Times New Roman" w:hAnsi="Times New Roman" w:cs="Times New Roman"/>
          <w:sz w:val="24"/>
          <w:szCs w:val="24"/>
        </w:rPr>
      </w:pPr>
      <w:r w:rsidRPr="00BC739A">
        <w:rPr>
          <w:rFonts w:ascii="Times New Roman" w:hAnsi="Times New Roman" w:cs="Times New Roman"/>
          <w:sz w:val="24"/>
          <w:szCs w:val="24"/>
        </w:rPr>
        <w:t>The a</w:t>
      </w:r>
      <w:r w:rsidR="00727C1A" w:rsidRPr="00BC739A">
        <w:rPr>
          <w:rFonts w:ascii="Times New Roman" w:hAnsi="Times New Roman" w:cs="Times New Roman"/>
          <w:sz w:val="24"/>
          <w:szCs w:val="24"/>
        </w:rPr>
        <w:t>dministration of pharmaceutical</w:t>
      </w:r>
      <w:r w:rsidRPr="00BC739A">
        <w:rPr>
          <w:rFonts w:ascii="Times New Roman" w:hAnsi="Times New Roman" w:cs="Times New Roman"/>
          <w:sz w:val="24"/>
          <w:szCs w:val="24"/>
        </w:rPr>
        <w:t xml:space="preserve">s given as part of a treatment </w:t>
      </w:r>
      <w:r w:rsidR="00727C1A" w:rsidRPr="00BC739A">
        <w:rPr>
          <w:rFonts w:ascii="Times New Roman" w:hAnsi="Times New Roman" w:cs="Times New Roman"/>
          <w:sz w:val="24"/>
          <w:szCs w:val="24"/>
        </w:rPr>
        <w:t xml:space="preserve">regimen for a non-malignant disease </w:t>
      </w:r>
      <w:r w:rsidRPr="00BC739A">
        <w:rPr>
          <w:rFonts w:ascii="Times New Roman" w:hAnsi="Times New Roman" w:cs="Times New Roman"/>
          <w:sz w:val="24"/>
          <w:szCs w:val="24"/>
        </w:rPr>
        <w:t xml:space="preserve">cannot be claimed under item </w:t>
      </w:r>
      <w:r w:rsidR="006A551E" w:rsidRPr="00BC739A">
        <w:rPr>
          <w:rFonts w:ascii="Times New Roman" w:hAnsi="Times New Roman" w:cs="Times New Roman"/>
          <w:sz w:val="24"/>
          <w:szCs w:val="24"/>
        </w:rPr>
        <w:t>139</w:t>
      </w:r>
      <w:r w:rsidR="004C758A" w:rsidRPr="00BC739A">
        <w:rPr>
          <w:rFonts w:ascii="Times New Roman" w:hAnsi="Times New Roman" w:cs="Times New Roman"/>
          <w:sz w:val="24"/>
          <w:szCs w:val="24"/>
        </w:rPr>
        <w:t>50.</w:t>
      </w:r>
      <w:r w:rsidRPr="00BC739A">
        <w:rPr>
          <w:rFonts w:ascii="Times New Roman" w:hAnsi="Times New Roman" w:cs="Times New Roman"/>
          <w:sz w:val="24"/>
          <w:szCs w:val="24"/>
        </w:rPr>
        <w:t xml:space="preserve"> </w:t>
      </w:r>
      <w:r w:rsidR="00727C1A" w:rsidRPr="00BC739A">
        <w:rPr>
          <w:rFonts w:ascii="Times New Roman" w:hAnsi="Times New Roman" w:cs="Times New Roman"/>
          <w:sz w:val="24"/>
          <w:szCs w:val="24"/>
        </w:rPr>
        <w:t>For e</w:t>
      </w:r>
      <w:r w:rsidRPr="00BC739A">
        <w:rPr>
          <w:rFonts w:ascii="Times New Roman" w:hAnsi="Times New Roman" w:cs="Times New Roman"/>
          <w:sz w:val="24"/>
          <w:szCs w:val="24"/>
        </w:rPr>
        <w:t>xample</w:t>
      </w:r>
      <w:r w:rsidR="00C90B8A">
        <w:rPr>
          <w:rFonts w:ascii="Times New Roman" w:hAnsi="Times New Roman" w:cs="Times New Roman"/>
          <w:sz w:val="24"/>
          <w:szCs w:val="24"/>
        </w:rPr>
        <w:t>,</w:t>
      </w:r>
      <w:r w:rsidRPr="00BC739A">
        <w:rPr>
          <w:rFonts w:ascii="Times New Roman" w:hAnsi="Times New Roman" w:cs="Times New Roman"/>
          <w:sz w:val="24"/>
          <w:szCs w:val="24"/>
        </w:rPr>
        <w:t xml:space="preserve"> </w:t>
      </w:r>
      <w:r w:rsidR="001463B1" w:rsidRPr="00BC739A">
        <w:rPr>
          <w:rFonts w:ascii="Times New Roman" w:hAnsi="Times New Roman" w:cs="Times New Roman"/>
          <w:sz w:val="24"/>
          <w:szCs w:val="24"/>
        </w:rPr>
        <w:t>i</w:t>
      </w:r>
      <w:r w:rsidRPr="00BC739A">
        <w:rPr>
          <w:rFonts w:ascii="Times New Roman" w:hAnsi="Times New Roman" w:cs="Times New Roman"/>
          <w:sz w:val="24"/>
          <w:szCs w:val="24"/>
        </w:rPr>
        <w:t xml:space="preserve">tem 13950 cannot be used for claims related to the treatment of multiple </w:t>
      </w:r>
      <w:r w:rsidR="00834FEB" w:rsidRPr="00BC739A">
        <w:rPr>
          <w:rFonts w:ascii="Times New Roman" w:hAnsi="Times New Roman" w:cs="Times New Roman"/>
          <w:sz w:val="24"/>
          <w:szCs w:val="24"/>
        </w:rPr>
        <w:t xml:space="preserve">sclerosis (such as </w:t>
      </w:r>
      <w:proofErr w:type="spellStart"/>
      <w:r w:rsidR="00834FEB" w:rsidRPr="00BC739A">
        <w:rPr>
          <w:rFonts w:ascii="Times New Roman" w:hAnsi="Times New Roman" w:cs="Times New Roman"/>
          <w:sz w:val="24"/>
          <w:szCs w:val="24"/>
        </w:rPr>
        <w:t>Natalizumab</w:t>
      </w:r>
      <w:proofErr w:type="spellEnd"/>
      <w:r w:rsidR="00834FEB" w:rsidRPr="00BC739A">
        <w:rPr>
          <w:rFonts w:ascii="Times New Roman" w:hAnsi="Times New Roman" w:cs="Times New Roman"/>
          <w:sz w:val="24"/>
          <w:szCs w:val="24"/>
        </w:rPr>
        <w:t xml:space="preserve"> and </w:t>
      </w:r>
      <w:proofErr w:type="spellStart"/>
      <w:r w:rsidR="00834FEB" w:rsidRPr="00BC739A">
        <w:rPr>
          <w:rFonts w:ascii="Times New Roman" w:hAnsi="Times New Roman" w:cs="Times New Roman"/>
          <w:sz w:val="24"/>
          <w:szCs w:val="24"/>
        </w:rPr>
        <w:t>Ocrelizumab</w:t>
      </w:r>
      <w:proofErr w:type="spellEnd"/>
      <w:r w:rsidR="00834FEB" w:rsidRPr="00BC739A">
        <w:rPr>
          <w:rFonts w:ascii="Times New Roman" w:hAnsi="Times New Roman" w:cs="Times New Roman"/>
          <w:sz w:val="24"/>
          <w:szCs w:val="24"/>
        </w:rPr>
        <w:t>) or for the treatment of arthritis (such as Ri</w:t>
      </w:r>
      <w:r w:rsidR="003B7F72" w:rsidRPr="00BC739A">
        <w:rPr>
          <w:rFonts w:ascii="Times New Roman" w:hAnsi="Times New Roman" w:cs="Times New Roman"/>
          <w:sz w:val="24"/>
          <w:szCs w:val="24"/>
        </w:rPr>
        <w:t>t</w:t>
      </w:r>
      <w:r w:rsidR="00834FEB" w:rsidRPr="00BC739A">
        <w:rPr>
          <w:rFonts w:ascii="Times New Roman" w:hAnsi="Times New Roman" w:cs="Times New Roman"/>
          <w:sz w:val="24"/>
          <w:szCs w:val="24"/>
        </w:rPr>
        <w:t xml:space="preserve">uximab or </w:t>
      </w:r>
      <w:proofErr w:type="spellStart"/>
      <w:r w:rsidR="00834FEB" w:rsidRPr="00BC739A">
        <w:rPr>
          <w:rFonts w:ascii="Times New Roman" w:hAnsi="Times New Roman" w:cs="Times New Roman"/>
          <w:sz w:val="24"/>
          <w:szCs w:val="24"/>
        </w:rPr>
        <w:t>Tocilizumab</w:t>
      </w:r>
      <w:proofErr w:type="spellEnd"/>
      <w:r w:rsidR="00834FEB" w:rsidRPr="00BC739A">
        <w:rPr>
          <w:rFonts w:ascii="Times New Roman" w:hAnsi="Times New Roman" w:cs="Times New Roman"/>
          <w:sz w:val="24"/>
          <w:szCs w:val="24"/>
        </w:rPr>
        <w:t>).</w:t>
      </w:r>
    </w:p>
    <w:p w:rsidR="009A1D80" w:rsidRPr="00BC739A" w:rsidRDefault="009A1D80" w:rsidP="0089175A">
      <w:pPr>
        <w:spacing w:line="36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Caption w:val="Table: Further Information"/>
        <w:tblDescription w:val="Further information regarding the 1 November 2020 changes to the chemotherapeutic procedures listed on the MBS can be found at: www.mbsonline.gov.au."/>
      </w:tblPr>
      <w:tblGrid>
        <w:gridCol w:w="9016"/>
      </w:tblGrid>
      <w:tr w:rsidR="001A6FF9" w:rsidRPr="00BC739A" w:rsidTr="001A6FF9">
        <w:tc>
          <w:tcPr>
            <w:tcW w:w="9016" w:type="dxa"/>
          </w:tcPr>
          <w:p w:rsidR="001A6FF9" w:rsidRPr="00BC739A" w:rsidRDefault="001A6FF9" w:rsidP="0089175A">
            <w:pPr>
              <w:spacing w:line="360" w:lineRule="auto"/>
              <w:jc w:val="both"/>
              <w:rPr>
                <w:b/>
                <w:sz w:val="24"/>
                <w:szCs w:val="24"/>
              </w:rPr>
            </w:pPr>
          </w:p>
          <w:p w:rsidR="001A6FF9" w:rsidRPr="00BC739A" w:rsidRDefault="001A6FF9" w:rsidP="0089175A">
            <w:pPr>
              <w:spacing w:line="360" w:lineRule="auto"/>
              <w:jc w:val="both"/>
              <w:rPr>
                <w:b/>
                <w:sz w:val="24"/>
                <w:szCs w:val="24"/>
              </w:rPr>
            </w:pPr>
            <w:r w:rsidRPr="00BC739A">
              <w:rPr>
                <w:b/>
                <w:sz w:val="24"/>
                <w:szCs w:val="24"/>
              </w:rPr>
              <w:t xml:space="preserve">Further information regarding the 1 November 2020 changes to the chemotherapeutic procedures listed on the MBS can be found at: </w:t>
            </w:r>
            <w:hyperlink r:id="rId8" w:history="1">
              <w:r w:rsidRPr="00BC739A">
                <w:rPr>
                  <w:rStyle w:val="Hyperlink"/>
                  <w:b/>
                  <w:sz w:val="24"/>
                  <w:szCs w:val="24"/>
                  <w:u w:val="none"/>
                </w:rPr>
                <w:t>www.mbsonline.gov.au</w:t>
              </w:r>
            </w:hyperlink>
            <w:r w:rsidRPr="00BC739A">
              <w:rPr>
                <w:b/>
                <w:sz w:val="24"/>
                <w:szCs w:val="24"/>
              </w:rPr>
              <w:t>.</w:t>
            </w:r>
          </w:p>
          <w:p w:rsidR="001A6FF9" w:rsidRPr="00BC739A" w:rsidRDefault="001A6FF9" w:rsidP="0089175A">
            <w:pPr>
              <w:spacing w:line="360" w:lineRule="auto"/>
              <w:jc w:val="both"/>
              <w:rPr>
                <w:b/>
                <w:sz w:val="24"/>
                <w:szCs w:val="24"/>
              </w:rPr>
            </w:pPr>
          </w:p>
        </w:tc>
      </w:tr>
    </w:tbl>
    <w:p w:rsidR="00C16937" w:rsidRPr="00BC739A" w:rsidRDefault="00C16937" w:rsidP="0089175A">
      <w:pPr>
        <w:spacing w:line="360" w:lineRule="auto"/>
        <w:jc w:val="both"/>
        <w:rPr>
          <w:sz w:val="24"/>
          <w:szCs w:val="24"/>
        </w:rPr>
      </w:pPr>
    </w:p>
    <w:sectPr w:rsidR="00C16937" w:rsidRPr="00BC739A" w:rsidSect="00401BD6">
      <w:headerReference w:type="even" r:id="rId9"/>
      <w:headerReference w:type="default" r:id="rId10"/>
      <w:footerReference w:type="even" r:id="rId11"/>
      <w:footerReference w:type="default" r:id="rId12"/>
      <w:headerReference w:type="first" r:id="rId13"/>
      <w:footerReference w:type="first" r:id="rId14"/>
      <w:pgSz w:w="11906" w:h="16838"/>
      <w:pgMar w:top="1440" w:right="1133"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8F8" w:rsidRDefault="00FB38F8" w:rsidP="001A6FF9">
      <w:pPr>
        <w:spacing w:after="0" w:line="240" w:lineRule="auto"/>
      </w:pPr>
      <w:r>
        <w:separator/>
      </w:r>
    </w:p>
  </w:endnote>
  <w:endnote w:type="continuationSeparator" w:id="0">
    <w:p w:rsidR="00FB38F8" w:rsidRDefault="00FB38F8" w:rsidP="001A6FF9">
      <w:pPr>
        <w:spacing w:after="0" w:line="240" w:lineRule="auto"/>
      </w:pPr>
      <w:r>
        <w:continuationSeparator/>
      </w:r>
    </w:p>
  </w:endnote>
  <w:endnote w:type="continuationNotice" w:id="1">
    <w:p w:rsidR="00FB38F8" w:rsidRDefault="00FB38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5F9" w:rsidRDefault="001F4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544113"/>
      <w:docPartObj>
        <w:docPartGallery w:val="Page Numbers (Bottom of Page)"/>
        <w:docPartUnique/>
      </w:docPartObj>
    </w:sdtPr>
    <w:sdtEndPr>
      <w:rPr>
        <w:noProof/>
      </w:rPr>
    </w:sdtEndPr>
    <w:sdtContent>
      <w:p w:rsidR="00953FE5" w:rsidRDefault="00953FE5">
        <w:pPr>
          <w:pStyle w:val="Footer"/>
          <w:jc w:val="right"/>
        </w:pPr>
        <w:r>
          <w:fldChar w:fldCharType="begin"/>
        </w:r>
        <w:r>
          <w:instrText xml:space="preserve"> PAGE   \* MERGEFORMAT </w:instrText>
        </w:r>
        <w:r>
          <w:fldChar w:fldCharType="separate"/>
        </w:r>
        <w:r w:rsidR="001F45F9">
          <w:rPr>
            <w:noProof/>
          </w:rPr>
          <w:t>2</w:t>
        </w:r>
        <w:r>
          <w:rPr>
            <w:noProof/>
          </w:rPr>
          <w:fldChar w:fldCharType="end"/>
        </w:r>
      </w:p>
    </w:sdtContent>
  </w:sdt>
  <w:p w:rsidR="00953FE5" w:rsidRDefault="00953FE5">
    <w:pPr>
      <w:pStyle w:val="Footer"/>
    </w:pPr>
    <w:r>
      <w:t xml:space="preserve">Last updated: </w:t>
    </w:r>
    <w:r w:rsidR="00AE5DED">
      <w:t>30</w:t>
    </w:r>
    <w:r>
      <w:t xml:space="preserve"> October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5F9" w:rsidRDefault="001F4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8F8" w:rsidRDefault="00FB38F8" w:rsidP="001A6FF9">
      <w:pPr>
        <w:spacing w:after="0" w:line="240" w:lineRule="auto"/>
      </w:pPr>
      <w:r>
        <w:separator/>
      </w:r>
    </w:p>
  </w:footnote>
  <w:footnote w:type="continuationSeparator" w:id="0">
    <w:p w:rsidR="00FB38F8" w:rsidRDefault="00FB38F8" w:rsidP="001A6FF9">
      <w:pPr>
        <w:spacing w:after="0" w:line="240" w:lineRule="auto"/>
      </w:pPr>
      <w:r>
        <w:continuationSeparator/>
      </w:r>
    </w:p>
  </w:footnote>
  <w:footnote w:type="continuationNotice" w:id="1">
    <w:p w:rsidR="00FB38F8" w:rsidRDefault="00FB38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5F9" w:rsidRDefault="001F4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FE5" w:rsidRPr="00776295" w:rsidRDefault="00953FE5" w:rsidP="001A6FF9">
    <w:pPr>
      <w:tabs>
        <w:tab w:val="center" w:pos="5233"/>
      </w:tabs>
      <w:spacing w:after="120"/>
      <w:jc w:val="center"/>
      <w:rPr>
        <w:rFonts w:ascii="Arial" w:hAnsi="Arial" w:cs="Arial"/>
        <w:b/>
        <w:color w:val="FFFFFF" w:themeColor="background1"/>
        <w:sz w:val="30"/>
        <w:szCs w:val="30"/>
      </w:rPr>
    </w:pPr>
    <w:r w:rsidRPr="00776295">
      <w:rPr>
        <w:rFonts w:cs="Arial"/>
        <w:b/>
        <w:noProof/>
        <w:color w:val="FFFFFF" w:themeColor="background1"/>
        <w:sz w:val="24"/>
        <w:szCs w:val="24"/>
        <w:lang w:eastAsia="en-AU"/>
      </w:rPr>
      <w:drawing>
        <wp:anchor distT="0" distB="0" distL="114300" distR="114300" simplePos="0" relativeHeight="251658240" behindDoc="1" locked="0" layoutInCell="1" allowOverlap="1" wp14:anchorId="41A36CCF" wp14:editId="0F2824C8">
          <wp:simplePos x="0" y="0"/>
          <wp:positionH relativeFrom="margin">
            <wp:posOffset>-381000</wp:posOffset>
          </wp:positionH>
          <wp:positionV relativeFrom="paragraph">
            <wp:posOffset>-132080</wp:posOffset>
          </wp:positionV>
          <wp:extent cx="6553200" cy="12065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H Rainbow.png"/>
                  <pic:cNvPicPr/>
                </pic:nvPicPr>
                <pic:blipFill>
                  <a:blip r:embed="rId1">
                    <a:extLst>
                      <a:ext uri="{28A0092B-C50C-407E-A947-70E740481C1C}">
                        <a14:useLocalDpi xmlns:a14="http://schemas.microsoft.com/office/drawing/2010/main" val="0"/>
                      </a:ext>
                    </a:extLst>
                  </a:blip>
                  <a:stretch>
                    <a:fillRect/>
                  </a:stretch>
                </pic:blipFill>
                <pic:spPr>
                  <a:xfrm>
                    <a:off x="0" y="0"/>
                    <a:ext cx="6553200" cy="1206500"/>
                  </a:xfrm>
                  <a:prstGeom prst="rect">
                    <a:avLst/>
                  </a:prstGeom>
                </pic:spPr>
              </pic:pic>
            </a:graphicData>
          </a:graphic>
          <wp14:sizeRelH relativeFrom="margin">
            <wp14:pctWidth>0</wp14:pctWidth>
          </wp14:sizeRelH>
          <wp14:sizeRelV relativeFrom="margin">
            <wp14:pctHeight>0</wp14:pctHeight>
          </wp14:sizeRelV>
        </wp:anchor>
      </w:drawing>
    </w:r>
    <w:r w:rsidRPr="00776295">
      <w:rPr>
        <w:rFonts w:ascii="Arial" w:hAnsi="Arial" w:cs="Arial"/>
        <w:b/>
        <w:color w:val="FFFFFF" w:themeColor="background1"/>
        <w:sz w:val="30"/>
        <w:szCs w:val="30"/>
      </w:rPr>
      <w:t>Department of Health</w:t>
    </w:r>
  </w:p>
  <w:p w:rsidR="00953FE5" w:rsidRDefault="00953FE5" w:rsidP="001A6FF9">
    <w:pPr>
      <w:pStyle w:val="Header"/>
      <w:tabs>
        <w:tab w:val="left" w:pos="2290"/>
        <w:tab w:val="left" w:pos="7260"/>
      </w:tabs>
      <w:jc w:val="center"/>
      <w:rPr>
        <w:b/>
        <w:color w:val="FFFFFF" w:themeColor="background1"/>
        <w:sz w:val="30"/>
        <w:szCs w:val="30"/>
      </w:rPr>
    </w:pPr>
    <w:r>
      <w:rPr>
        <w:b/>
        <w:color w:val="FFFFFF" w:themeColor="background1"/>
        <w:sz w:val="30"/>
        <w:szCs w:val="30"/>
      </w:rPr>
      <w:t>Information Release #4</w:t>
    </w:r>
  </w:p>
  <w:p w:rsidR="00953FE5" w:rsidRDefault="00953FE5" w:rsidP="001A6FF9">
    <w:pPr>
      <w:pStyle w:val="Header"/>
      <w:tabs>
        <w:tab w:val="left" w:pos="2290"/>
        <w:tab w:val="left" w:pos="7260"/>
      </w:tabs>
      <w:rPr>
        <w:b/>
        <w:color w:val="FFFFFF" w:themeColor="background1"/>
        <w:sz w:val="30"/>
        <w:szCs w:val="30"/>
      </w:rPr>
    </w:pPr>
    <w:r>
      <w:rPr>
        <w:b/>
        <w:color w:val="FFFFFF" w:themeColor="background1"/>
        <w:sz w:val="30"/>
        <w:szCs w:val="30"/>
      </w:rPr>
      <w:tab/>
      <w:t>MBS Chemotherapeutic Procedures</w:t>
    </w:r>
    <w:r>
      <w:rPr>
        <w:b/>
        <w:color w:val="FFFFFF" w:themeColor="background1"/>
        <w:sz w:val="30"/>
        <w:szCs w:val="30"/>
      </w:rPr>
      <w:tab/>
    </w:r>
  </w:p>
  <w:p w:rsidR="00953FE5" w:rsidRDefault="00953FE5" w:rsidP="001A6FF9">
    <w:pPr>
      <w:pStyle w:val="Header"/>
      <w:jc w:val="center"/>
      <w:rPr>
        <w:b/>
        <w:color w:val="FFFFFF" w:themeColor="background1"/>
        <w:sz w:val="30"/>
        <w:szCs w:val="30"/>
      </w:rPr>
    </w:pPr>
    <w:r>
      <w:rPr>
        <w:b/>
        <w:color w:val="FFFFFF" w:themeColor="background1"/>
        <w:sz w:val="30"/>
        <w:szCs w:val="30"/>
      </w:rPr>
      <w:t>Frequently Asked Questions</w:t>
    </w:r>
  </w:p>
  <w:p w:rsidR="00953FE5" w:rsidRDefault="00953F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5F9" w:rsidRDefault="001F4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D7B9D"/>
    <w:multiLevelType w:val="hybridMultilevel"/>
    <w:tmpl w:val="44ACC9E6"/>
    <w:lvl w:ilvl="0" w:tplc="2B64FAF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654453C"/>
    <w:multiLevelType w:val="hybridMultilevel"/>
    <w:tmpl w:val="A4C6DA2A"/>
    <w:lvl w:ilvl="0" w:tplc="E90AD40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AB3B63"/>
    <w:multiLevelType w:val="hybridMultilevel"/>
    <w:tmpl w:val="13561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92C71E6"/>
    <w:multiLevelType w:val="hybridMultilevel"/>
    <w:tmpl w:val="84181AA2"/>
    <w:lvl w:ilvl="0" w:tplc="2B64FAF2">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04B796C"/>
    <w:multiLevelType w:val="hybridMultilevel"/>
    <w:tmpl w:val="D2A49B7A"/>
    <w:lvl w:ilvl="0" w:tplc="2B64FAF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7A5A1550"/>
    <w:multiLevelType w:val="hybridMultilevel"/>
    <w:tmpl w:val="4CB081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37"/>
    <w:rsid w:val="00006621"/>
    <w:rsid w:val="00014A57"/>
    <w:rsid w:val="0003088B"/>
    <w:rsid w:val="00037BCF"/>
    <w:rsid w:val="000A79D6"/>
    <w:rsid w:val="000F5CA0"/>
    <w:rsid w:val="00100B9F"/>
    <w:rsid w:val="00100CBF"/>
    <w:rsid w:val="00106865"/>
    <w:rsid w:val="00107B20"/>
    <w:rsid w:val="0011542B"/>
    <w:rsid w:val="00124621"/>
    <w:rsid w:val="001347D5"/>
    <w:rsid w:val="00145D72"/>
    <w:rsid w:val="001463B1"/>
    <w:rsid w:val="001666E4"/>
    <w:rsid w:val="001901FE"/>
    <w:rsid w:val="001A10C6"/>
    <w:rsid w:val="001A55F9"/>
    <w:rsid w:val="001A6FF9"/>
    <w:rsid w:val="001C1180"/>
    <w:rsid w:val="001C7BF6"/>
    <w:rsid w:val="001D4FAF"/>
    <w:rsid w:val="001F45F9"/>
    <w:rsid w:val="002039D0"/>
    <w:rsid w:val="002179EF"/>
    <w:rsid w:val="00217F60"/>
    <w:rsid w:val="00220BD5"/>
    <w:rsid w:val="00223255"/>
    <w:rsid w:val="00223A65"/>
    <w:rsid w:val="00242435"/>
    <w:rsid w:val="002457CB"/>
    <w:rsid w:val="00277214"/>
    <w:rsid w:val="00285C8F"/>
    <w:rsid w:val="002A59F2"/>
    <w:rsid w:val="002A5F2B"/>
    <w:rsid w:val="002B1095"/>
    <w:rsid w:val="002B7819"/>
    <w:rsid w:val="002D32F9"/>
    <w:rsid w:val="00327E13"/>
    <w:rsid w:val="003312DA"/>
    <w:rsid w:val="003A5D65"/>
    <w:rsid w:val="003B7F72"/>
    <w:rsid w:val="003C650E"/>
    <w:rsid w:val="003D4F9E"/>
    <w:rsid w:val="003D5CDA"/>
    <w:rsid w:val="00400760"/>
    <w:rsid w:val="00401BD6"/>
    <w:rsid w:val="00403741"/>
    <w:rsid w:val="00404DEF"/>
    <w:rsid w:val="00483427"/>
    <w:rsid w:val="00491E1A"/>
    <w:rsid w:val="004A19EF"/>
    <w:rsid w:val="004B3244"/>
    <w:rsid w:val="004C31CB"/>
    <w:rsid w:val="004C758A"/>
    <w:rsid w:val="004F2FD7"/>
    <w:rsid w:val="004F662D"/>
    <w:rsid w:val="00507B7B"/>
    <w:rsid w:val="00522301"/>
    <w:rsid w:val="00522992"/>
    <w:rsid w:val="00527A41"/>
    <w:rsid w:val="005379E1"/>
    <w:rsid w:val="00551FBE"/>
    <w:rsid w:val="00557A9A"/>
    <w:rsid w:val="00576784"/>
    <w:rsid w:val="005902D5"/>
    <w:rsid w:val="005932E2"/>
    <w:rsid w:val="005B0E17"/>
    <w:rsid w:val="005B1D9C"/>
    <w:rsid w:val="005C731A"/>
    <w:rsid w:val="005E5CDB"/>
    <w:rsid w:val="00600E02"/>
    <w:rsid w:val="00624EEA"/>
    <w:rsid w:val="00673A15"/>
    <w:rsid w:val="00685FCB"/>
    <w:rsid w:val="00691E42"/>
    <w:rsid w:val="00692E65"/>
    <w:rsid w:val="006A551E"/>
    <w:rsid w:val="006D04A4"/>
    <w:rsid w:val="006D4560"/>
    <w:rsid w:val="006E309A"/>
    <w:rsid w:val="006E6C67"/>
    <w:rsid w:val="006F0B53"/>
    <w:rsid w:val="007173A7"/>
    <w:rsid w:val="00727C1A"/>
    <w:rsid w:val="007503B5"/>
    <w:rsid w:val="007660D9"/>
    <w:rsid w:val="00767885"/>
    <w:rsid w:val="00771013"/>
    <w:rsid w:val="00781CC4"/>
    <w:rsid w:val="007C5E94"/>
    <w:rsid w:val="007D5339"/>
    <w:rsid w:val="007D6981"/>
    <w:rsid w:val="007E1870"/>
    <w:rsid w:val="007F20F4"/>
    <w:rsid w:val="00802E6F"/>
    <w:rsid w:val="0080483D"/>
    <w:rsid w:val="00804D64"/>
    <w:rsid w:val="00812CB7"/>
    <w:rsid w:val="008162AB"/>
    <w:rsid w:val="00834FEB"/>
    <w:rsid w:val="00855B5F"/>
    <w:rsid w:val="00862642"/>
    <w:rsid w:val="008703AB"/>
    <w:rsid w:val="0089175A"/>
    <w:rsid w:val="0089485A"/>
    <w:rsid w:val="00895FF4"/>
    <w:rsid w:val="008A5683"/>
    <w:rsid w:val="008B2A73"/>
    <w:rsid w:val="008B342E"/>
    <w:rsid w:val="008B685A"/>
    <w:rsid w:val="008D3D51"/>
    <w:rsid w:val="008D72C9"/>
    <w:rsid w:val="008E3FED"/>
    <w:rsid w:val="008F3781"/>
    <w:rsid w:val="0090177B"/>
    <w:rsid w:val="00930B24"/>
    <w:rsid w:val="00952190"/>
    <w:rsid w:val="00953FE5"/>
    <w:rsid w:val="00964E52"/>
    <w:rsid w:val="00976CF8"/>
    <w:rsid w:val="00976F5D"/>
    <w:rsid w:val="00984E52"/>
    <w:rsid w:val="009A1D80"/>
    <w:rsid w:val="009B2E30"/>
    <w:rsid w:val="009C1B9B"/>
    <w:rsid w:val="009C2577"/>
    <w:rsid w:val="009D53D1"/>
    <w:rsid w:val="00A16BE0"/>
    <w:rsid w:val="00A40EA8"/>
    <w:rsid w:val="00A47B4B"/>
    <w:rsid w:val="00A62295"/>
    <w:rsid w:val="00A62309"/>
    <w:rsid w:val="00A64853"/>
    <w:rsid w:val="00A66D89"/>
    <w:rsid w:val="00A76E28"/>
    <w:rsid w:val="00A90818"/>
    <w:rsid w:val="00A95F0F"/>
    <w:rsid w:val="00AA089A"/>
    <w:rsid w:val="00AB1978"/>
    <w:rsid w:val="00AB72F5"/>
    <w:rsid w:val="00AC02F4"/>
    <w:rsid w:val="00AC482D"/>
    <w:rsid w:val="00AC7236"/>
    <w:rsid w:val="00AD1574"/>
    <w:rsid w:val="00AE5DED"/>
    <w:rsid w:val="00AF2960"/>
    <w:rsid w:val="00B037A1"/>
    <w:rsid w:val="00B04BB6"/>
    <w:rsid w:val="00B13A98"/>
    <w:rsid w:val="00B44971"/>
    <w:rsid w:val="00B51A8F"/>
    <w:rsid w:val="00B62AA5"/>
    <w:rsid w:val="00B65937"/>
    <w:rsid w:val="00B87F05"/>
    <w:rsid w:val="00B92B78"/>
    <w:rsid w:val="00B946A1"/>
    <w:rsid w:val="00BC20D2"/>
    <w:rsid w:val="00BC739A"/>
    <w:rsid w:val="00BD6F7A"/>
    <w:rsid w:val="00BE2978"/>
    <w:rsid w:val="00BE33DA"/>
    <w:rsid w:val="00BF120F"/>
    <w:rsid w:val="00C065D8"/>
    <w:rsid w:val="00C117A5"/>
    <w:rsid w:val="00C16937"/>
    <w:rsid w:val="00C33431"/>
    <w:rsid w:val="00C3641D"/>
    <w:rsid w:val="00C42FB1"/>
    <w:rsid w:val="00C55C03"/>
    <w:rsid w:val="00C66CD2"/>
    <w:rsid w:val="00C671DE"/>
    <w:rsid w:val="00C74C1D"/>
    <w:rsid w:val="00C90B8A"/>
    <w:rsid w:val="00CC42C1"/>
    <w:rsid w:val="00CC6517"/>
    <w:rsid w:val="00CD7380"/>
    <w:rsid w:val="00CF231C"/>
    <w:rsid w:val="00D17C01"/>
    <w:rsid w:val="00D363BB"/>
    <w:rsid w:val="00D61CC1"/>
    <w:rsid w:val="00D71617"/>
    <w:rsid w:val="00D81B2C"/>
    <w:rsid w:val="00D842C0"/>
    <w:rsid w:val="00D94E99"/>
    <w:rsid w:val="00DB2B21"/>
    <w:rsid w:val="00DC4F55"/>
    <w:rsid w:val="00DE5BEB"/>
    <w:rsid w:val="00DE63BD"/>
    <w:rsid w:val="00DF1141"/>
    <w:rsid w:val="00DF39F5"/>
    <w:rsid w:val="00E168E0"/>
    <w:rsid w:val="00E25E0C"/>
    <w:rsid w:val="00E36F7A"/>
    <w:rsid w:val="00E525BD"/>
    <w:rsid w:val="00E64442"/>
    <w:rsid w:val="00E7123F"/>
    <w:rsid w:val="00E806A5"/>
    <w:rsid w:val="00E87A75"/>
    <w:rsid w:val="00E87AA0"/>
    <w:rsid w:val="00E95C07"/>
    <w:rsid w:val="00EA7E69"/>
    <w:rsid w:val="00EE1372"/>
    <w:rsid w:val="00EF1992"/>
    <w:rsid w:val="00F035BB"/>
    <w:rsid w:val="00F05D75"/>
    <w:rsid w:val="00F13F57"/>
    <w:rsid w:val="00F24FCF"/>
    <w:rsid w:val="00F32EB8"/>
    <w:rsid w:val="00F66D8C"/>
    <w:rsid w:val="00F7539D"/>
    <w:rsid w:val="00F960EC"/>
    <w:rsid w:val="00F97E8F"/>
    <w:rsid w:val="00FA2FFC"/>
    <w:rsid w:val="00FA70DA"/>
    <w:rsid w:val="00FB38F8"/>
    <w:rsid w:val="00FC1120"/>
    <w:rsid w:val="00FD4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C671DE"/>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C671DE"/>
    <w:pPr>
      <w:keepNext/>
      <w:keepLines/>
      <w:spacing w:before="40" w:after="0"/>
      <w:outlineLvl w:val="1"/>
    </w:pPr>
    <w:rPr>
      <w:rFonts w:ascii="Times New Roman" w:eastAsiaTheme="majorEastAsia" w:hAnsi="Times New Roman"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1DE"/>
    <w:rPr>
      <w:rFonts w:ascii="Times New Roman" w:eastAsiaTheme="majorEastAsia" w:hAnsi="Times New Roman" w:cstheme="majorBidi"/>
      <w:b/>
      <w:sz w:val="32"/>
      <w:szCs w:val="32"/>
      <w:lang w:val="en-AU"/>
    </w:rPr>
  </w:style>
  <w:style w:type="character" w:customStyle="1" w:styleId="Heading2Char">
    <w:name w:val="Heading 2 Char"/>
    <w:basedOn w:val="DefaultParagraphFont"/>
    <w:link w:val="Heading2"/>
    <w:uiPriority w:val="9"/>
    <w:rsid w:val="00C671DE"/>
    <w:rPr>
      <w:rFonts w:ascii="Times New Roman" w:eastAsiaTheme="majorEastAsia" w:hAnsi="Times New Roman" w:cstheme="majorBidi"/>
      <w:b/>
      <w:sz w:val="28"/>
      <w:szCs w:val="26"/>
      <w:lang w:val="en-AU"/>
    </w:rPr>
  </w:style>
  <w:style w:type="paragraph" w:styleId="ListParagraph">
    <w:name w:val="List Paragraph"/>
    <w:basedOn w:val="Normal"/>
    <w:uiPriority w:val="34"/>
    <w:qFormat/>
    <w:rsid w:val="00C671DE"/>
    <w:pPr>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81CC4"/>
    <w:rPr>
      <w:sz w:val="16"/>
      <w:szCs w:val="16"/>
    </w:rPr>
  </w:style>
  <w:style w:type="paragraph" w:styleId="CommentText">
    <w:name w:val="annotation text"/>
    <w:basedOn w:val="Normal"/>
    <w:link w:val="CommentTextChar"/>
    <w:uiPriority w:val="99"/>
    <w:semiHidden/>
    <w:unhideWhenUsed/>
    <w:rsid w:val="00781CC4"/>
    <w:pPr>
      <w:spacing w:line="240" w:lineRule="auto"/>
    </w:pPr>
    <w:rPr>
      <w:sz w:val="20"/>
      <w:szCs w:val="20"/>
    </w:rPr>
  </w:style>
  <w:style w:type="character" w:customStyle="1" w:styleId="CommentTextChar">
    <w:name w:val="Comment Text Char"/>
    <w:basedOn w:val="DefaultParagraphFont"/>
    <w:link w:val="CommentText"/>
    <w:uiPriority w:val="99"/>
    <w:semiHidden/>
    <w:rsid w:val="00781CC4"/>
    <w:rPr>
      <w:sz w:val="20"/>
      <w:szCs w:val="20"/>
    </w:rPr>
  </w:style>
  <w:style w:type="paragraph" w:styleId="CommentSubject">
    <w:name w:val="annotation subject"/>
    <w:basedOn w:val="CommentText"/>
    <w:next w:val="CommentText"/>
    <w:link w:val="CommentSubjectChar"/>
    <w:uiPriority w:val="99"/>
    <w:semiHidden/>
    <w:unhideWhenUsed/>
    <w:rsid w:val="00781CC4"/>
    <w:rPr>
      <w:b/>
      <w:bCs/>
    </w:rPr>
  </w:style>
  <w:style w:type="character" w:customStyle="1" w:styleId="CommentSubjectChar">
    <w:name w:val="Comment Subject Char"/>
    <w:basedOn w:val="CommentTextChar"/>
    <w:link w:val="CommentSubject"/>
    <w:uiPriority w:val="99"/>
    <w:semiHidden/>
    <w:rsid w:val="00781CC4"/>
    <w:rPr>
      <w:b/>
      <w:bCs/>
      <w:sz w:val="20"/>
      <w:szCs w:val="20"/>
    </w:rPr>
  </w:style>
  <w:style w:type="paragraph" w:styleId="BalloonText">
    <w:name w:val="Balloon Text"/>
    <w:basedOn w:val="Normal"/>
    <w:link w:val="BalloonTextChar"/>
    <w:uiPriority w:val="99"/>
    <w:semiHidden/>
    <w:unhideWhenUsed/>
    <w:rsid w:val="00781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CC4"/>
    <w:rPr>
      <w:rFonts w:ascii="Segoe UI" w:hAnsi="Segoe UI" w:cs="Segoe UI"/>
      <w:sz w:val="18"/>
      <w:szCs w:val="18"/>
    </w:rPr>
  </w:style>
  <w:style w:type="character" w:styleId="Hyperlink">
    <w:name w:val="Hyperlink"/>
    <w:basedOn w:val="DefaultParagraphFont"/>
    <w:uiPriority w:val="99"/>
    <w:unhideWhenUsed/>
    <w:rsid w:val="00624EEA"/>
    <w:rPr>
      <w:color w:val="0563C1" w:themeColor="hyperlink"/>
      <w:u w:val="single"/>
    </w:rPr>
  </w:style>
  <w:style w:type="table" w:styleId="TableGrid">
    <w:name w:val="Table Grid"/>
    <w:basedOn w:val="TableNormal"/>
    <w:uiPriority w:val="39"/>
    <w:rsid w:val="001A6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6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FF9"/>
  </w:style>
  <w:style w:type="paragraph" w:styleId="Footer">
    <w:name w:val="footer"/>
    <w:basedOn w:val="Normal"/>
    <w:link w:val="FooterChar"/>
    <w:uiPriority w:val="99"/>
    <w:unhideWhenUsed/>
    <w:rsid w:val="001A6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FF9"/>
  </w:style>
  <w:style w:type="paragraph" w:styleId="Revision">
    <w:name w:val="Revision"/>
    <w:hidden/>
    <w:uiPriority w:val="99"/>
    <w:semiHidden/>
    <w:rsid w:val="00D94E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86630">
      <w:bodyDiv w:val="1"/>
      <w:marLeft w:val="0"/>
      <w:marRight w:val="0"/>
      <w:marTop w:val="0"/>
      <w:marBottom w:val="0"/>
      <w:divBdr>
        <w:top w:val="none" w:sz="0" w:space="0" w:color="auto"/>
        <w:left w:val="none" w:sz="0" w:space="0" w:color="auto"/>
        <w:bottom w:val="none" w:sz="0" w:space="0" w:color="auto"/>
        <w:right w:val="none" w:sz="0" w:space="0" w:color="auto"/>
      </w:divBdr>
    </w:div>
    <w:div w:id="1088187384">
      <w:bodyDiv w:val="1"/>
      <w:marLeft w:val="0"/>
      <w:marRight w:val="0"/>
      <w:marTop w:val="0"/>
      <w:marBottom w:val="0"/>
      <w:divBdr>
        <w:top w:val="none" w:sz="0" w:space="0" w:color="auto"/>
        <w:left w:val="none" w:sz="0" w:space="0" w:color="auto"/>
        <w:bottom w:val="none" w:sz="0" w:space="0" w:color="auto"/>
        <w:right w:val="none" w:sz="0" w:space="0" w:color="auto"/>
      </w:divBdr>
    </w:div>
    <w:div w:id="1168909892">
      <w:bodyDiv w:val="1"/>
      <w:marLeft w:val="0"/>
      <w:marRight w:val="0"/>
      <w:marTop w:val="0"/>
      <w:marBottom w:val="0"/>
      <w:divBdr>
        <w:top w:val="none" w:sz="0" w:space="0" w:color="auto"/>
        <w:left w:val="none" w:sz="0" w:space="0" w:color="auto"/>
        <w:bottom w:val="none" w:sz="0" w:space="0" w:color="auto"/>
        <w:right w:val="none" w:sz="0" w:space="0" w:color="auto"/>
      </w:divBdr>
    </w:div>
    <w:div w:id="1931769977">
      <w:bodyDiv w:val="1"/>
      <w:marLeft w:val="0"/>
      <w:marRight w:val="0"/>
      <w:marTop w:val="0"/>
      <w:marBottom w:val="0"/>
      <w:divBdr>
        <w:top w:val="none" w:sz="0" w:space="0" w:color="auto"/>
        <w:left w:val="none" w:sz="0" w:space="0" w:color="auto"/>
        <w:bottom w:val="none" w:sz="0" w:space="0" w:color="auto"/>
        <w:right w:val="none" w:sz="0" w:space="0" w:color="auto"/>
      </w:divBdr>
    </w:div>
    <w:div w:id="206760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sac.gov.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2020-10-29T23:49:00Z</dcterms:created>
  <dcterms:modified xsi:type="dcterms:W3CDTF">2020-10-29T23:53:00Z</dcterms:modified>
</cp:coreProperties>
</file>