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42C" w:rsidRDefault="00CD28E1" w:rsidP="00743091">
      <w:pPr>
        <w:pStyle w:val="Heading1"/>
      </w:pPr>
      <w:r>
        <w:t>Blocking C</w:t>
      </w:r>
      <w:r w:rsidR="003324F3">
        <w:t xml:space="preserve">laiming of MBS </w:t>
      </w:r>
      <w:r>
        <w:t>I</w:t>
      </w:r>
      <w:r w:rsidR="003324F3">
        <w:t xml:space="preserve">tems for </w:t>
      </w:r>
      <w:r>
        <w:t>S</w:t>
      </w:r>
      <w:r w:rsidR="003324F3">
        <w:t xml:space="preserve">ubsequent </w:t>
      </w:r>
      <w:r>
        <w:t>A</w:t>
      </w:r>
      <w:r w:rsidR="003324F3">
        <w:t xml:space="preserve">ttendances with </w:t>
      </w:r>
      <w:r>
        <w:t>A</w:t>
      </w:r>
      <w:r w:rsidR="003324F3">
        <w:t xml:space="preserve">ny </w:t>
      </w:r>
      <w:r>
        <w:t>I</w:t>
      </w:r>
      <w:r w:rsidR="003324F3">
        <w:t xml:space="preserve">tem in </w:t>
      </w:r>
      <w:r>
        <w:t>G</w:t>
      </w:r>
      <w:r w:rsidR="003324F3">
        <w:t>roup T8 (</w:t>
      </w:r>
      <w:r>
        <w:t>S</w:t>
      </w:r>
      <w:r w:rsidR="003324F3">
        <w:t xml:space="preserve">urgical </w:t>
      </w:r>
      <w:r>
        <w:t>O</w:t>
      </w:r>
      <w:r w:rsidR="003324F3">
        <w:t xml:space="preserve">perations) </w:t>
      </w:r>
      <w:r>
        <w:t>T</w:t>
      </w:r>
      <w:r w:rsidR="003324F3">
        <w:t xml:space="preserve">hat </w:t>
      </w:r>
      <w:r>
        <w:t>Has an MBS Fe</w:t>
      </w:r>
      <w:r w:rsidR="003324F3">
        <w:t xml:space="preserve">e of $300 or </w:t>
      </w:r>
      <w:r>
        <w:t>M</w:t>
      </w:r>
      <w:r w:rsidR="003324F3">
        <w:t>ore</w:t>
      </w:r>
    </w:p>
    <w:p w:rsidR="006D0E0F" w:rsidRDefault="00B16F94" w:rsidP="00743091">
      <w:pPr>
        <w:pStyle w:val="Footnote"/>
      </w:pPr>
      <w:r w:rsidRPr="00990076">
        <w:t xml:space="preserve">Last updated: </w:t>
      </w:r>
      <w:r w:rsidR="00946450">
        <w:t>23</w:t>
      </w:r>
      <w:r w:rsidR="00D86F2C">
        <w:t>/</w:t>
      </w:r>
      <w:r w:rsidR="00946450">
        <w:t>10</w:t>
      </w:r>
      <w:r w:rsidR="00697964">
        <w:t>/2017</w:t>
      </w:r>
    </w:p>
    <w:p w:rsidR="00F821FD" w:rsidRDefault="00F821FD" w:rsidP="00F821FD">
      <w:pPr>
        <w:rPr>
          <w:rStyle w:val="Emphasis"/>
        </w:rPr>
      </w:pPr>
      <w:r>
        <w:rPr>
          <w:rStyle w:val="Emphasis"/>
        </w:rPr>
        <w:t xml:space="preserve">Effective 1 </w:t>
      </w:r>
      <w:r w:rsidR="003324F3">
        <w:rPr>
          <w:rStyle w:val="Emphasis"/>
        </w:rPr>
        <w:t>November</w:t>
      </w:r>
      <w:r w:rsidR="00946450">
        <w:rPr>
          <w:rStyle w:val="Emphasis"/>
        </w:rPr>
        <w:t xml:space="preserve"> 2017</w:t>
      </w:r>
      <w:bookmarkStart w:id="0" w:name="_GoBack"/>
      <w:bookmarkEnd w:id="0"/>
    </w:p>
    <w:p w:rsidR="00F821FD" w:rsidRPr="00F821FD" w:rsidRDefault="00F821FD" w:rsidP="00F821FD">
      <w:pPr>
        <w:pStyle w:val="Heading3"/>
      </w:pPr>
      <w:r w:rsidRPr="00F821FD">
        <w:t>What do the changes involve?</w:t>
      </w:r>
    </w:p>
    <w:p w:rsidR="003324F3" w:rsidRDefault="003324F3" w:rsidP="003324F3">
      <w:r>
        <w:t xml:space="preserve">The claiming of subsequent attendance items with any item in </w:t>
      </w:r>
      <w:r w:rsidRPr="00F41952">
        <w:t>Group</w:t>
      </w:r>
      <w:r>
        <w:t> </w:t>
      </w:r>
      <w:r w:rsidRPr="00F41952">
        <w:t>T8</w:t>
      </w:r>
      <w:r>
        <w:t xml:space="preserve"> (surgical operations) of the MBS will be restricted, if the Group T8 item has a schedule fee of equal to or greater than $300</w:t>
      </w:r>
      <w:r w:rsidR="00C94056">
        <w:t>,</w:t>
      </w:r>
      <w:r w:rsidR="00DC3962">
        <w:t xml:space="preserve"> and if the items</w:t>
      </w:r>
      <w:r>
        <w:t xml:space="preserve"> are provided by the same practitioner on the same day.  </w:t>
      </w:r>
    </w:p>
    <w:p w:rsidR="00F821FD" w:rsidRPr="00F821FD" w:rsidRDefault="00F821FD" w:rsidP="00F821FD">
      <w:pPr>
        <w:pStyle w:val="Heading3"/>
      </w:pPr>
      <w:r w:rsidRPr="00F821FD">
        <w:t xml:space="preserve">Why is the Government making this change? </w:t>
      </w:r>
    </w:p>
    <w:p w:rsidR="00F821FD" w:rsidRDefault="00F821FD" w:rsidP="00F821FD">
      <w:r>
        <w:t>This change is based on a recommendation of the Medicare Benefits Schedule Review Taskforce.</w:t>
      </w:r>
    </w:p>
    <w:p w:rsidR="00DC3962" w:rsidRDefault="00DC3962" w:rsidP="00F821FD">
      <w:r>
        <w:t>This change will ensure that patients receive the same MBS benefits for the same service and improve consistency of practitioner billing practices.</w:t>
      </w:r>
    </w:p>
    <w:p w:rsidR="00F821FD" w:rsidRPr="000F7598" w:rsidRDefault="00F821FD" w:rsidP="00F821FD">
      <w:pPr>
        <w:pStyle w:val="Heading3"/>
      </w:pPr>
      <w:r w:rsidRPr="00F821FD">
        <w:t>What does this mean for MBS claiming?</w:t>
      </w:r>
    </w:p>
    <w:p w:rsidR="00DC3962" w:rsidRDefault="003324F3" w:rsidP="003324F3">
      <w:r>
        <w:t>Medical practitioners will no longer be able to claim MBS benefits for subsequent attendance items 105, 116, 119</w:t>
      </w:r>
      <w:r w:rsidRPr="003324F3">
        <w:t xml:space="preserve">, </w:t>
      </w:r>
      <w:r>
        <w:t xml:space="preserve">386, 2806, 2814, 3010, 3014, 6019, 6052, and 16404 if they are claiming any Group T8 items </w:t>
      </w:r>
      <w:r w:rsidR="00DC3962">
        <w:t xml:space="preserve">(30001-50952) </w:t>
      </w:r>
      <w:r>
        <w:t xml:space="preserve">with a schedule fee of equal to or greater than $300 on the same day.  </w:t>
      </w:r>
    </w:p>
    <w:p w:rsidR="003324F3" w:rsidRDefault="003324F3" w:rsidP="003324F3">
      <w:r>
        <w:t>Medical practitioners who are not claiming subsequent attendance items with Group T8 items will not be affected.</w:t>
      </w:r>
    </w:p>
    <w:p w:rsidR="004869C2" w:rsidRDefault="009417BA" w:rsidP="003324F3">
      <w:r>
        <w:t xml:space="preserve">Three new subsequent attendance items will be introduced.  These new items can be claimed on the same day as Group T8 items with schedule fees of equal to or greater than $300, if the procedure is </w:t>
      </w:r>
      <w:r w:rsidRPr="00F15AA9">
        <w:rPr>
          <w:u w:val="single"/>
        </w:rPr>
        <w:t>urgent</w:t>
      </w:r>
      <w:r>
        <w:t xml:space="preserve"> and </w:t>
      </w:r>
      <w:r w:rsidRPr="00F15AA9">
        <w:rPr>
          <w:u w:val="single"/>
        </w:rPr>
        <w:t>not able to be predicted</w:t>
      </w:r>
      <w:r>
        <w:t xml:space="preserve"> prior to the commencement of the attendance. </w:t>
      </w:r>
    </w:p>
    <w:p w:rsidR="003324F3" w:rsidRDefault="003324F3" w:rsidP="003324F3">
      <w:r>
        <w:t>It is expected that these items would be rarely required.</w:t>
      </w:r>
    </w:p>
    <w:p w:rsidR="00F821FD" w:rsidRPr="00F821FD" w:rsidRDefault="003324F3" w:rsidP="00F821FD">
      <w:pPr>
        <w:pStyle w:val="Heading3"/>
      </w:pPr>
      <w:r>
        <w:t>New items</w:t>
      </w:r>
      <w:r w:rsidR="00F821FD" w:rsidRPr="00F821FD">
        <w:t xml:space="preserve">: </w:t>
      </w:r>
    </w:p>
    <w:p w:rsidR="00F821FD" w:rsidRDefault="003324F3" w:rsidP="00F821FD">
      <w:r w:rsidRPr="003324F3">
        <w:t>(Draft wording of items subject to finalisation and passage of legislation):</w:t>
      </w:r>
    </w:p>
    <w:tbl>
      <w:tblPr>
        <w:tblStyle w:val="MBSOnlineTable"/>
        <w:tblW w:w="0" w:type="auto"/>
        <w:tblLook w:val="0180" w:firstRow="0" w:lastRow="0" w:firstColumn="1" w:lastColumn="1" w:noHBand="0" w:noVBand="0"/>
      </w:tblPr>
      <w:tblGrid>
        <w:gridCol w:w="1378"/>
        <w:gridCol w:w="7864"/>
      </w:tblGrid>
      <w:tr w:rsidR="00F821FD" w:rsidRPr="00F821FD" w:rsidTr="00687448">
        <w:tc>
          <w:tcPr>
            <w:cnfStyle w:val="001000000000" w:firstRow="0" w:lastRow="0" w:firstColumn="1" w:lastColumn="0" w:oddVBand="0" w:evenVBand="0" w:oddHBand="0" w:evenHBand="0" w:firstRowFirstColumn="0" w:firstRowLastColumn="0" w:lastRowFirstColumn="0" w:lastRowLastColumn="0"/>
            <w:tcW w:w="1378" w:type="dxa"/>
            <w:vAlign w:val="center"/>
          </w:tcPr>
          <w:p w:rsidR="00F821FD" w:rsidRPr="00F821FD" w:rsidRDefault="00D86F2C" w:rsidP="00F821FD">
            <w:pPr>
              <w:pStyle w:val="TblLeft"/>
              <w:rPr>
                <w:lang w:eastAsia="en-AU"/>
              </w:rPr>
            </w:pPr>
            <w:r>
              <w:lastRenderedPageBreak/>
              <w:t>111</w:t>
            </w:r>
          </w:p>
        </w:tc>
        <w:tc>
          <w:tcPr>
            <w:tcW w:w="7864" w:type="dxa"/>
            <w:vAlign w:val="center"/>
          </w:tcPr>
          <w:tbl>
            <w:tblPr>
              <w:tblW w:w="5000" w:type="pct"/>
              <w:tblCellMar>
                <w:left w:w="107" w:type="dxa"/>
                <w:right w:w="107" w:type="dxa"/>
              </w:tblCellMar>
              <w:tblLook w:val="04A0" w:firstRow="1" w:lastRow="0" w:firstColumn="1" w:lastColumn="0" w:noHBand="0" w:noVBand="1"/>
            </w:tblPr>
            <w:tblGrid>
              <w:gridCol w:w="6313"/>
              <w:gridCol w:w="1335"/>
            </w:tblGrid>
            <w:tr w:rsidR="008A2BA5" w:rsidRPr="00A5605F" w:rsidTr="0026136A">
              <w:tc>
                <w:tcPr>
                  <w:tcW w:w="3692" w:type="pct"/>
                </w:tcPr>
                <w:p w:rsidR="008A2BA5" w:rsidRPr="00A5605F" w:rsidRDefault="008A2BA5" w:rsidP="00EE49F9">
                  <w:pPr>
                    <w:spacing w:before="0" w:after="0"/>
                    <w:ind w:left="-67"/>
                  </w:pPr>
                  <w:r w:rsidRPr="00A5605F">
                    <w:t>Professional attendance at consulting rooms or in hospital by a specialist in the practice of his or her specialty following</w:t>
                  </w:r>
                  <w:bookmarkStart w:id="1" w:name="BK_S3P3L1C47"/>
                  <w:bookmarkEnd w:id="1"/>
                  <w:r w:rsidRPr="00A5605F">
                    <w:t xml:space="preserve"> referral of the patient to him or her</w:t>
                  </w:r>
                  <w:r>
                    <w:t xml:space="preserve"> by a referring practitioner</w:t>
                  </w:r>
                  <w:r w:rsidRPr="00A5605F">
                    <w:t>—an attendance after the first attendance in a single course of treatment, if:</w:t>
                  </w:r>
                </w:p>
                <w:p w:rsidR="008A2BA5" w:rsidRPr="00A5605F" w:rsidRDefault="008A2BA5" w:rsidP="00EE49F9">
                  <w:pPr>
                    <w:spacing w:before="0" w:after="0"/>
                    <w:ind w:left="-67"/>
                  </w:pPr>
                  <w:r>
                    <w:t xml:space="preserve">(a) </w:t>
                  </w:r>
                  <w:r w:rsidRPr="00461EBF">
                    <w:t>during the attendance, the specialist determines the need to perform an operation on the patient that had not otherwise been scheduled; and</w:t>
                  </w:r>
                </w:p>
                <w:p w:rsidR="008A2BA5" w:rsidRPr="00A5605F" w:rsidRDefault="008A2BA5" w:rsidP="00EE49F9">
                  <w:pPr>
                    <w:spacing w:before="0" w:after="0"/>
                    <w:ind w:left="-67"/>
                  </w:pPr>
                  <w:r w:rsidRPr="00A5605F">
                    <w:t>(b) the specialist subsequently performs an operation on th</w:t>
                  </w:r>
                  <w:r>
                    <w:t>e patient, on the same day</w:t>
                  </w:r>
                  <w:r w:rsidRPr="00A5605F">
                    <w:t>; and</w:t>
                  </w:r>
                </w:p>
                <w:p w:rsidR="008A2BA5" w:rsidRPr="00A5605F" w:rsidRDefault="008A2BA5" w:rsidP="00EE49F9">
                  <w:pPr>
                    <w:spacing w:before="0" w:after="0"/>
                    <w:ind w:left="-67"/>
                  </w:pPr>
                  <w:r w:rsidRPr="00A5605F">
                    <w:t>(c) the operation is a service to which an item in Group T8 applies; and</w:t>
                  </w:r>
                </w:p>
                <w:p w:rsidR="008A2BA5" w:rsidRPr="00A5605F" w:rsidRDefault="008A2BA5" w:rsidP="00EE49F9">
                  <w:pPr>
                    <w:spacing w:before="0" w:after="0"/>
                    <w:ind w:left="-67"/>
                  </w:pPr>
                  <w:r w:rsidRPr="00A5605F">
                    <w:t>(d) the amount specified in the item in Group T8 as the fee for a service to which that item applies is $300 or more</w:t>
                  </w:r>
                </w:p>
                <w:p w:rsidR="008A2BA5" w:rsidRDefault="008A2BA5" w:rsidP="00EE49F9">
                  <w:pPr>
                    <w:spacing w:before="0" w:after="0"/>
                    <w:ind w:left="-67"/>
                  </w:pPr>
                  <w:r w:rsidRPr="00A5605F">
                    <w:t>For any particular patient, once only on the same day</w:t>
                  </w:r>
                  <w:r>
                    <w:t>.</w:t>
                  </w:r>
                </w:p>
                <w:p w:rsidR="00EE49F9" w:rsidRPr="00A5605F" w:rsidRDefault="00EE49F9" w:rsidP="00EE49F9">
                  <w:pPr>
                    <w:spacing w:before="0" w:after="0"/>
                    <w:ind w:left="-67"/>
                  </w:pPr>
                </w:p>
              </w:tc>
              <w:tc>
                <w:tcPr>
                  <w:tcW w:w="781" w:type="pct"/>
                </w:tcPr>
                <w:p w:rsidR="008A2BA5" w:rsidRPr="00A5605F" w:rsidRDefault="008A2BA5" w:rsidP="0026136A"/>
              </w:tc>
            </w:tr>
          </w:tbl>
          <w:p w:rsidR="003324F3" w:rsidRPr="003324F3" w:rsidRDefault="008A2BA5" w:rsidP="003324F3">
            <w:pPr>
              <w:jc w:val="left"/>
              <w:cnfStyle w:val="000000000000" w:firstRow="0" w:lastRow="0" w:firstColumn="0" w:lastColumn="0" w:oddVBand="0" w:evenVBand="0" w:oddHBand="0" w:evenHBand="0" w:firstRowFirstColumn="0" w:firstRowLastColumn="0" w:lastRowFirstColumn="0" w:lastRowLastColumn="0"/>
              <w:rPr>
                <w:rStyle w:val="Strong"/>
              </w:rPr>
            </w:pPr>
            <w:r>
              <w:rPr>
                <w:rStyle w:val="Strong"/>
              </w:rPr>
              <w:t>Fee: $43.00   Benefit: 75% = $32.25   85% = $36.55</w:t>
            </w:r>
          </w:p>
        </w:tc>
      </w:tr>
      <w:tr w:rsidR="00687448" w:rsidRPr="009C5EC1" w:rsidTr="00F15AA9">
        <w:tblPrEx>
          <w:tblLook w:val="04A0" w:firstRow="1" w:lastRow="0" w:firstColumn="1" w:lastColumn="0" w:noHBand="0" w:noVBand="1"/>
        </w:tblPrEx>
        <w:trPr>
          <w:trHeight w:val="904"/>
        </w:trPr>
        <w:tc>
          <w:tcPr>
            <w:cnfStyle w:val="001000000000" w:firstRow="0" w:lastRow="0" w:firstColumn="1" w:lastColumn="0" w:oddVBand="0" w:evenVBand="0" w:oddHBand="0" w:evenHBand="0" w:firstRowFirstColumn="0" w:firstRowLastColumn="0" w:lastRowFirstColumn="0" w:lastRowLastColumn="0"/>
            <w:tcW w:w="1378" w:type="dxa"/>
            <w:vAlign w:val="center"/>
          </w:tcPr>
          <w:p w:rsidR="00687448" w:rsidRPr="00687448" w:rsidRDefault="00D86F2C" w:rsidP="00F15AA9">
            <w:r>
              <w:t>117</w:t>
            </w:r>
          </w:p>
        </w:tc>
        <w:tc>
          <w:tcPr>
            <w:tcW w:w="7864" w:type="dxa"/>
          </w:tcPr>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Professional attendance at consulting rooms or in hospital, by consultant physician in the practice of his or her specialty (other than psychiatry) following</w:t>
            </w:r>
            <w:bookmarkStart w:id="2" w:name="BK_S3P3L19C10"/>
            <w:bookmarkEnd w:id="2"/>
            <w:r w:rsidRPr="00A5605F">
              <w:t xml:space="preserve"> referral of the patient to him or her by a referring practitioner—an attendance after the first attendance in a single course of treatment, if:</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(a) the attendance is not a minor attendance;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 xml:space="preserve">(b) </w:t>
            </w:r>
            <w:r w:rsidRPr="00461EBF">
              <w:t>during the attendance, the consultant physician determines the need to perform an operation on the patient that had not otherwise been scheduled;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(c) the consultant physician subsequently performs an operation on the patient, on the same</w:t>
            </w:r>
            <w:r>
              <w:t xml:space="preserve"> day</w:t>
            </w:r>
            <w:r w:rsidRPr="00A5605F">
              <w:t>;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(d) the operation is a service to which an item in Group T8 applies;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(e) the amount specified in the item in Group T8 as the fee for a service to which that item applies is $300 or more</w:t>
            </w:r>
          </w:p>
          <w:p w:rsidR="008A2BA5"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For any particular patient, once only on the same day</w:t>
            </w:r>
            <w:r>
              <w:t>.</w:t>
            </w:r>
          </w:p>
          <w:p w:rsidR="00EE49F9" w:rsidRDefault="00EE49F9" w:rsidP="008A2BA5">
            <w:pPr>
              <w:jc w:val="left"/>
              <w:cnfStyle w:val="000000000000" w:firstRow="0" w:lastRow="0" w:firstColumn="0" w:lastColumn="0" w:oddVBand="0" w:evenVBand="0" w:oddHBand="0" w:evenHBand="0" w:firstRowFirstColumn="0" w:firstRowLastColumn="0" w:lastRowFirstColumn="0" w:lastRowLastColumn="0"/>
            </w:pPr>
          </w:p>
          <w:p w:rsidR="00687448" w:rsidRPr="00687448" w:rsidRDefault="008A2BA5" w:rsidP="0097778B">
            <w:pPr>
              <w:jc w:val="left"/>
              <w:cnfStyle w:val="000000000000" w:firstRow="0" w:lastRow="0" w:firstColumn="0" w:lastColumn="0" w:oddVBand="0" w:evenVBand="0" w:oddHBand="0" w:evenHBand="0" w:firstRowFirstColumn="0" w:firstRowLastColumn="0" w:lastRowFirstColumn="0" w:lastRowLastColumn="0"/>
            </w:pPr>
            <w:r>
              <w:rPr>
                <w:rStyle w:val="Strong"/>
              </w:rPr>
              <w:t xml:space="preserve">Fee: </w:t>
            </w:r>
            <w:r w:rsidRPr="00BE2827">
              <w:rPr>
                <w:rStyle w:val="Strong"/>
              </w:rPr>
              <w:t>$</w:t>
            </w:r>
            <w:r>
              <w:rPr>
                <w:rStyle w:val="Strong"/>
              </w:rPr>
              <w:t>75.50   Benefit: 75% = $56.6</w:t>
            </w:r>
            <w:r w:rsidR="0097778B">
              <w:rPr>
                <w:rStyle w:val="Strong"/>
              </w:rPr>
              <w:t>5</w:t>
            </w:r>
            <w:r>
              <w:rPr>
                <w:rStyle w:val="Strong"/>
              </w:rPr>
              <w:t xml:space="preserve">   85% = $</w:t>
            </w:r>
            <w:r w:rsidR="0097778B">
              <w:rPr>
                <w:rStyle w:val="Strong"/>
              </w:rPr>
              <w:t>64.20</w:t>
            </w:r>
          </w:p>
        </w:tc>
      </w:tr>
      <w:tr w:rsidR="00687448" w:rsidRPr="009C5EC1" w:rsidTr="00F15AA9">
        <w:tblPrEx>
          <w:tblLook w:val="04A0" w:firstRow="1" w:lastRow="0" w:firstColumn="1" w:lastColumn="0" w:noHBand="0" w:noVBand="1"/>
        </w:tblPrEx>
        <w:trPr>
          <w:trHeight w:val="904"/>
        </w:trPr>
        <w:tc>
          <w:tcPr>
            <w:cnfStyle w:val="001000000000" w:firstRow="0" w:lastRow="0" w:firstColumn="1" w:lastColumn="0" w:oddVBand="0" w:evenVBand="0" w:oddHBand="0" w:evenHBand="0" w:firstRowFirstColumn="0" w:firstRowLastColumn="0" w:lastRowFirstColumn="0" w:lastRowLastColumn="0"/>
            <w:tcW w:w="1378" w:type="dxa"/>
            <w:vAlign w:val="center"/>
          </w:tcPr>
          <w:p w:rsidR="00687448" w:rsidRPr="00687448" w:rsidRDefault="00D86F2C" w:rsidP="00F15AA9">
            <w:r>
              <w:t>120</w:t>
            </w:r>
          </w:p>
        </w:tc>
        <w:tc>
          <w:tcPr>
            <w:tcW w:w="7864" w:type="dxa"/>
          </w:tcPr>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Professional attendance at consulting rooms or in hospital by a consultant physician in the practice of his or her specialty (other than psychiatry) following</w:t>
            </w:r>
            <w:bookmarkStart w:id="3" w:name="BK_S3P3L36C10"/>
            <w:bookmarkEnd w:id="3"/>
            <w:r w:rsidRPr="00A5605F">
              <w:t xml:space="preserve"> referral of the patient to him or her by a referring practitioner—an attendance after the first attendance in a single course of treatment, if:</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(a) the attendance is a minor attendance;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 xml:space="preserve">(b) </w:t>
            </w:r>
            <w:r w:rsidRPr="00461EBF">
              <w:t>during the attendance, the consultant physician determines the need to perform an operation on the patient that had not otherwise been scheduled;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(c</w:t>
            </w:r>
            <w:r>
              <w:t xml:space="preserve">) the </w:t>
            </w:r>
            <w:r w:rsidRPr="00175FFF">
              <w:t>consultant physician subsequently performs</w:t>
            </w:r>
            <w:r w:rsidRPr="00A5605F">
              <w:t xml:space="preserve"> an operation on the patient, on the same</w:t>
            </w:r>
            <w:r>
              <w:t xml:space="preserve"> day</w:t>
            </w:r>
            <w:r w:rsidRPr="00A5605F">
              <w:t>;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(d) the operation is a service to which an item in Group T8 applies; and</w:t>
            </w:r>
          </w:p>
          <w:p w:rsidR="008A2BA5" w:rsidRPr="00A5605F"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(e) the amount specified in the item in Group T8 as the fee for a service to which that item applies is $300 or more</w:t>
            </w:r>
          </w:p>
          <w:p w:rsidR="008A2BA5" w:rsidRDefault="008A2BA5" w:rsidP="008A2BA5">
            <w:pPr>
              <w:jc w:val="left"/>
              <w:cnfStyle w:val="000000000000" w:firstRow="0" w:lastRow="0" w:firstColumn="0" w:lastColumn="0" w:oddVBand="0" w:evenVBand="0" w:oddHBand="0" w:evenHBand="0" w:firstRowFirstColumn="0" w:firstRowLastColumn="0" w:lastRowFirstColumn="0" w:lastRowLastColumn="0"/>
            </w:pPr>
            <w:r w:rsidRPr="00A5605F">
              <w:t>For any particular patient, once only on the same day</w:t>
            </w:r>
            <w:r>
              <w:t>.</w:t>
            </w:r>
          </w:p>
          <w:p w:rsidR="00EE49F9" w:rsidRDefault="00EE49F9" w:rsidP="008A2BA5">
            <w:pPr>
              <w:jc w:val="left"/>
              <w:cnfStyle w:val="000000000000" w:firstRow="0" w:lastRow="0" w:firstColumn="0" w:lastColumn="0" w:oddVBand="0" w:evenVBand="0" w:oddHBand="0" w:evenHBand="0" w:firstRowFirstColumn="0" w:firstRowLastColumn="0" w:lastRowFirstColumn="0" w:lastRowLastColumn="0"/>
            </w:pPr>
          </w:p>
          <w:p w:rsidR="008A2BA5" w:rsidRPr="00687448" w:rsidRDefault="008A2BA5" w:rsidP="008A2BA5">
            <w:pPr>
              <w:jc w:val="left"/>
              <w:cnfStyle w:val="000000000000" w:firstRow="0" w:lastRow="0" w:firstColumn="0" w:lastColumn="0" w:oddVBand="0" w:evenVBand="0" w:oddHBand="0" w:evenHBand="0" w:firstRowFirstColumn="0" w:firstRowLastColumn="0" w:lastRowFirstColumn="0" w:lastRowLastColumn="0"/>
              <w:rPr>
                <w:rStyle w:val="Strong"/>
              </w:rPr>
            </w:pPr>
            <w:r w:rsidRPr="00687448">
              <w:rPr>
                <w:rStyle w:val="Strong"/>
              </w:rPr>
              <w:t>Fee: $43.00</w:t>
            </w:r>
            <w:r>
              <w:rPr>
                <w:rStyle w:val="Strong"/>
              </w:rPr>
              <w:t xml:space="preserve">   </w:t>
            </w:r>
            <w:r w:rsidRPr="0003765E">
              <w:rPr>
                <w:rStyle w:val="Strong"/>
              </w:rPr>
              <w:t>Benefit: 75% = $32.25   85% = $36.55</w:t>
            </w:r>
          </w:p>
        </w:tc>
      </w:tr>
    </w:tbl>
    <w:p w:rsidR="00F119C5" w:rsidRPr="0064365A" w:rsidRDefault="00F119C5" w:rsidP="00F119C5"/>
    <w:sectPr w:rsidR="00F119C5" w:rsidRPr="0064365A" w:rsidSect="00A563E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71B" w:rsidRDefault="00CE071B" w:rsidP="00743091">
      <w:r>
        <w:separator/>
      </w:r>
    </w:p>
    <w:p w:rsidR="00CE071B" w:rsidRDefault="00CE071B" w:rsidP="00743091"/>
    <w:p w:rsidR="00CE071B" w:rsidRDefault="00CE071B" w:rsidP="00743091"/>
  </w:endnote>
  <w:endnote w:type="continuationSeparator" w:id="0">
    <w:p w:rsidR="00CE071B" w:rsidRDefault="00CE071B" w:rsidP="00743091">
      <w:r>
        <w:continuationSeparator/>
      </w:r>
    </w:p>
    <w:p w:rsidR="00CE071B" w:rsidRDefault="00CE071B" w:rsidP="00743091"/>
    <w:p w:rsidR="00CE071B" w:rsidRDefault="00CE071B"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A563EC"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sidR="00475405">
      <w:rPr>
        <w:rStyle w:val="Strong"/>
      </w:rPr>
      <w:br/>
    </w:r>
    <w:r w:rsidR="00475405" w:rsidRPr="00475405">
      <w:rPr>
        <w:rStyle w:val="Strong"/>
      </w:rPr>
      <w:t>Fact Sheet</w:t>
    </w:r>
    <w:r w:rsidR="003324F3">
      <w:rPr>
        <w:rStyle w:val="Strong"/>
      </w:rPr>
      <w:t>: Blocking claiming of MBS items for subsequent attendances with any item in group T8 (surgical operations) that has an MBS fee of $300 or more</w:t>
    </w:r>
    <w:r w:rsidRPr="00A563EC">
      <w:tab/>
    </w:r>
    <w:r w:rsidR="00690C0B" w:rsidRPr="00A563EC">
      <w:t xml:space="preserve">Page </w:t>
    </w:r>
    <w:r w:rsidR="00690C0B" w:rsidRPr="00A563EC">
      <w:fldChar w:fldCharType="begin"/>
    </w:r>
    <w:r w:rsidR="00690C0B" w:rsidRPr="00A563EC">
      <w:instrText xml:space="preserve"> PAGE  \* Arabic  \* MERGEFORMAT </w:instrText>
    </w:r>
    <w:r w:rsidR="00690C0B" w:rsidRPr="00A563EC">
      <w:fldChar w:fldCharType="separate"/>
    </w:r>
    <w:r w:rsidR="00946450">
      <w:rPr>
        <w:noProof/>
      </w:rPr>
      <w:t>1</w:t>
    </w:r>
    <w:r w:rsidR="00690C0B" w:rsidRPr="00A563EC">
      <w:fldChar w:fldCharType="end"/>
    </w:r>
    <w:r w:rsidR="00690C0B" w:rsidRPr="00A563EC">
      <w:t xml:space="preserve"> of </w:t>
    </w:r>
    <w:fldSimple w:instr=" NUMPAGES  \* Arabic  \* MERGEFORMAT ">
      <w:r w:rsidR="00946450">
        <w:rPr>
          <w:noProof/>
        </w:rPr>
        <w:t>2</w:t>
      </w:r>
    </w:fldSimple>
    <w:r w:rsidR="00475405">
      <w:br/>
    </w:r>
    <w:hyperlink r:id="rId1" w:history="1">
      <w:r w:rsidR="006F4D33"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71B" w:rsidRDefault="00CE071B" w:rsidP="00743091">
      <w:r>
        <w:separator/>
      </w:r>
    </w:p>
    <w:p w:rsidR="00CE071B" w:rsidRDefault="00CE071B" w:rsidP="00743091"/>
    <w:p w:rsidR="00CE071B" w:rsidRDefault="00CE071B" w:rsidP="00743091"/>
  </w:footnote>
  <w:footnote w:type="continuationSeparator" w:id="0">
    <w:p w:rsidR="00CE071B" w:rsidRDefault="00CE071B" w:rsidP="00743091">
      <w:r>
        <w:continuationSeparator/>
      </w:r>
    </w:p>
    <w:p w:rsidR="00CE071B" w:rsidRDefault="00CE071B" w:rsidP="00743091"/>
    <w:p w:rsidR="00CE071B" w:rsidRDefault="00CE071B"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A563EC" w:rsidP="00743091"/>
  <w:p w:rsidR="00A87435" w:rsidRDefault="0097778B" w:rsidP="00743091">
    <w:pPr>
      <w:pBdr>
        <w:bottom w:val="single" w:sz="12" w:space="12" w:color="117254"/>
      </w:pBdr>
    </w:pPr>
    <w:r>
      <w:rPr>
        <w:noProof/>
        <w:lang w:eastAsia="en-AU"/>
      </w:rPr>
      <w:drawing>
        <wp:inline distT="0" distB="0" distL="0" distR="0">
          <wp:extent cx="2499360" cy="601980"/>
          <wp:effectExtent l="0" t="0" r="0" b="0"/>
          <wp:docPr id="2"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6019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defaultTableStyle w:val="MBSOnlineTable"/>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16183"/>
    <w:rsid w:val="0003765E"/>
    <w:rsid w:val="00052C0E"/>
    <w:rsid w:val="00056E36"/>
    <w:rsid w:val="00073FB4"/>
    <w:rsid w:val="000A6119"/>
    <w:rsid w:val="000F7598"/>
    <w:rsid w:val="00123C0D"/>
    <w:rsid w:val="0015664E"/>
    <w:rsid w:val="00175FFF"/>
    <w:rsid w:val="00185CA9"/>
    <w:rsid w:val="00192CF5"/>
    <w:rsid w:val="001A38D2"/>
    <w:rsid w:val="001B6841"/>
    <w:rsid w:val="001C0470"/>
    <w:rsid w:val="001C612D"/>
    <w:rsid w:val="001D71E7"/>
    <w:rsid w:val="001E051E"/>
    <w:rsid w:val="00211983"/>
    <w:rsid w:val="0021311A"/>
    <w:rsid w:val="00223D7B"/>
    <w:rsid w:val="0022486A"/>
    <w:rsid w:val="00227A2F"/>
    <w:rsid w:val="00233471"/>
    <w:rsid w:val="00235B2D"/>
    <w:rsid w:val="0026136A"/>
    <w:rsid w:val="00274A34"/>
    <w:rsid w:val="00280DDE"/>
    <w:rsid w:val="00291CAD"/>
    <w:rsid w:val="00293ABC"/>
    <w:rsid w:val="002A6EE1"/>
    <w:rsid w:val="002C49D7"/>
    <w:rsid w:val="002C63D9"/>
    <w:rsid w:val="0030083D"/>
    <w:rsid w:val="00306BA0"/>
    <w:rsid w:val="0031142C"/>
    <w:rsid w:val="00311639"/>
    <w:rsid w:val="003324F3"/>
    <w:rsid w:val="00376693"/>
    <w:rsid w:val="00376C22"/>
    <w:rsid w:val="0039338D"/>
    <w:rsid w:val="003A56D6"/>
    <w:rsid w:val="003C029B"/>
    <w:rsid w:val="003C56C9"/>
    <w:rsid w:val="003E604B"/>
    <w:rsid w:val="00414654"/>
    <w:rsid w:val="00423096"/>
    <w:rsid w:val="00427F62"/>
    <w:rsid w:val="004333DE"/>
    <w:rsid w:val="00441948"/>
    <w:rsid w:val="00442D6A"/>
    <w:rsid w:val="0044576F"/>
    <w:rsid w:val="00457276"/>
    <w:rsid w:val="00461EBF"/>
    <w:rsid w:val="00475405"/>
    <w:rsid w:val="0047623B"/>
    <w:rsid w:val="004869C2"/>
    <w:rsid w:val="004A71BD"/>
    <w:rsid w:val="004B2C82"/>
    <w:rsid w:val="004E59A6"/>
    <w:rsid w:val="00520CCB"/>
    <w:rsid w:val="00563A66"/>
    <w:rsid w:val="00575480"/>
    <w:rsid w:val="005C6819"/>
    <w:rsid w:val="005D14FE"/>
    <w:rsid w:val="005D21B1"/>
    <w:rsid w:val="005F37D1"/>
    <w:rsid w:val="0060482F"/>
    <w:rsid w:val="0061439C"/>
    <w:rsid w:val="00617870"/>
    <w:rsid w:val="00631E45"/>
    <w:rsid w:val="0064365A"/>
    <w:rsid w:val="0065118A"/>
    <w:rsid w:val="00674C43"/>
    <w:rsid w:val="006753DE"/>
    <w:rsid w:val="00681159"/>
    <w:rsid w:val="00687448"/>
    <w:rsid w:val="0068784B"/>
    <w:rsid w:val="00690C0B"/>
    <w:rsid w:val="00697964"/>
    <w:rsid w:val="006A387F"/>
    <w:rsid w:val="006C6AF3"/>
    <w:rsid w:val="006D0E0F"/>
    <w:rsid w:val="006F4D33"/>
    <w:rsid w:val="00706F8F"/>
    <w:rsid w:val="00722CB4"/>
    <w:rsid w:val="00727D33"/>
    <w:rsid w:val="007313AE"/>
    <w:rsid w:val="00743091"/>
    <w:rsid w:val="00772786"/>
    <w:rsid w:val="007760E1"/>
    <w:rsid w:val="00782C31"/>
    <w:rsid w:val="007D1963"/>
    <w:rsid w:val="007F4E20"/>
    <w:rsid w:val="00844130"/>
    <w:rsid w:val="00845F79"/>
    <w:rsid w:val="008602CE"/>
    <w:rsid w:val="008778DF"/>
    <w:rsid w:val="00897762"/>
    <w:rsid w:val="008A2BA5"/>
    <w:rsid w:val="008F42A2"/>
    <w:rsid w:val="008F76CC"/>
    <w:rsid w:val="0091062C"/>
    <w:rsid w:val="00914E38"/>
    <w:rsid w:val="00937A54"/>
    <w:rsid w:val="009417BA"/>
    <w:rsid w:val="00945371"/>
    <w:rsid w:val="00946450"/>
    <w:rsid w:val="009556B0"/>
    <w:rsid w:val="0097778B"/>
    <w:rsid w:val="00977A67"/>
    <w:rsid w:val="00984C27"/>
    <w:rsid w:val="00990076"/>
    <w:rsid w:val="009C5EC1"/>
    <w:rsid w:val="009F19E6"/>
    <w:rsid w:val="009F2C99"/>
    <w:rsid w:val="00A07C59"/>
    <w:rsid w:val="00A15DD9"/>
    <w:rsid w:val="00A37CC5"/>
    <w:rsid w:val="00A55D34"/>
    <w:rsid w:val="00A5605F"/>
    <w:rsid w:val="00A563EC"/>
    <w:rsid w:val="00A77F50"/>
    <w:rsid w:val="00A87435"/>
    <w:rsid w:val="00A94CC2"/>
    <w:rsid w:val="00AB3BC0"/>
    <w:rsid w:val="00AE05A9"/>
    <w:rsid w:val="00B12EFD"/>
    <w:rsid w:val="00B16F94"/>
    <w:rsid w:val="00B569FB"/>
    <w:rsid w:val="00B80BC0"/>
    <w:rsid w:val="00B90C49"/>
    <w:rsid w:val="00BD2196"/>
    <w:rsid w:val="00BD2F84"/>
    <w:rsid w:val="00BE2827"/>
    <w:rsid w:val="00BF72A1"/>
    <w:rsid w:val="00BF7993"/>
    <w:rsid w:val="00C27BD7"/>
    <w:rsid w:val="00C31C4E"/>
    <w:rsid w:val="00C5040C"/>
    <w:rsid w:val="00C6461E"/>
    <w:rsid w:val="00C90304"/>
    <w:rsid w:val="00C9290F"/>
    <w:rsid w:val="00C94056"/>
    <w:rsid w:val="00C97A78"/>
    <w:rsid w:val="00CB1ACE"/>
    <w:rsid w:val="00CB316D"/>
    <w:rsid w:val="00CC45A3"/>
    <w:rsid w:val="00CD08D1"/>
    <w:rsid w:val="00CD28E1"/>
    <w:rsid w:val="00CD5592"/>
    <w:rsid w:val="00CE0021"/>
    <w:rsid w:val="00CE071B"/>
    <w:rsid w:val="00CE137A"/>
    <w:rsid w:val="00CE1CCC"/>
    <w:rsid w:val="00CE4611"/>
    <w:rsid w:val="00CF28D9"/>
    <w:rsid w:val="00CF7021"/>
    <w:rsid w:val="00D00836"/>
    <w:rsid w:val="00D14460"/>
    <w:rsid w:val="00D53359"/>
    <w:rsid w:val="00D86F2C"/>
    <w:rsid w:val="00DA4463"/>
    <w:rsid w:val="00DA7B04"/>
    <w:rsid w:val="00DB6C17"/>
    <w:rsid w:val="00DC3962"/>
    <w:rsid w:val="00DC6936"/>
    <w:rsid w:val="00DD7657"/>
    <w:rsid w:val="00DD7BF8"/>
    <w:rsid w:val="00DF0E3C"/>
    <w:rsid w:val="00E135E5"/>
    <w:rsid w:val="00E139B7"/>
    <w:rsid w:val="00E152E4"/>
    <w:rsid w:val="00E209C5"/>
    <w:rsid w:val="00E42F6A"/>
    <w:rsid w:val="00E43A41"/>
    <w:rsid w:val="00E54CD1"/>
    <w:rsid w:val="00E85579"/>
    <w:rsid w:val="00EA5DB4"/>
    <w:rsid w:val="00ED524C"/>
    <w:rsid w:val="00EE49F9"/>
    <w:rsid w:val="00F119C5"/>
    <w:rsid w:val="00F15AA9"/>
    <w:rsid w:val="00F3600A"/>
    <w:rsid w:val="00F41952"/>
    <w:rsid w:val="00F4796A"/>
    <w:rsid w:val="00F64317"/>
    <w:rsid w:val="00F706DE"/>
    <w:rsid w:val="00F760F5"/>
    <w:rsid w:val="00F821FD"/>
    <w:rsid w:val="00F971C6"/>
    <w:rsid w:val="00FB1701"/>
    <w:rsid w:val="00FB260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F821FD"/>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F821FD"/>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52116">
      <w:marLeft w:val="0"/>
      <w:marRight w:val="0"/>
      <w:marTop w:val="0"/>
      <w:marBottom w:val="0"/>
      <w:divBdr>
        <w:top w:val="none" w:sz="0" w:space="0" w:color="auto"/>
        <w:left w:val="none" w:sz="0" w:space="0" w:color="auto"/>
        <w:bottom w:val="none" w:sz="0" w:space="0" w:color="auto"/>
        <w:right w:val="none" w:sz="0" w:space="0" w:color="auto"/>
      </w:divBdr>
    </w:div>
    <w:div w:id="2033452118">
      <w:marLeft w:val="0"/>
      <w:marRight w:val="0"/>
      <w:marTop w:val="0"/>
      <w:marBottom w:val="0"/>
      <w:divBdr>
        <w:top w:val="none" w:sz="0" w:space="0" w:color="auto"/>
        <w:left w:val="none" w:sz="0" w:space="0" w:color="auto"/>
        <w:bottom w:val="none" w:sz="0" w:space="0" w:color="auto"/>
        <w:right w:val="none" w:sz="0" w:space="0" w:color="auto"/>
      </w:divBdr>
      <w:divsChild>
        <w:div w:id="2033452111">
          <w:marLeft w:val="0"/>
          <w:marRight w:val="0"/>
          <w:marTop w:val="240"/>
          <w:marBottom w:val="0"/>
          <w:divBdr>
            <w:top w:val="none" w:sz="0" w:space="0" w:color="auto"/>
            <w:left w:val="none" w:sz="0" w:space="0" w:color="auto"/>
            <w:bottom w:val="none" w:sz="0" w:space="0" w:color="auto"/>
            <w:right w:val="none" w:sz="0" w:space="0" w:color="auto"/>
          </w:divBdr>
          <w:divsChild>
            <w:div w:id="2033452114">
              <w:marLeft w:val="0"/>
              <w:marRight w:val="0"/>
              <w:marTop w:val="0"/>
              <w:marBottom w:val="0"/>
              <w:divBdr>
                <w:top w:val="none" w:sz="0" w:space="0" w:color="auto"/>
                <w:left w:val="none" w:sz="0" w:space="0" w:color="auto"/>
                <w:bottom w:val="none" w:sz="0" w:space="0" w:color="auto"/>
                <w:right w:val="none" w:sz="0" w:space="0" w:color="auto"/>
              </w:divBdr>
              <w:divsChild>
                <w:div w:id="2033452117">
                  <w:marLeft w:val="0"/>
                  <w:marRight w:val="0"/>
                  <w:marTop w:val="0"/>
                  <w:marBottom w:val="0"/>
                  <w:divBdr>
                    <w:top w:val="none" w:sz="0" w:space="0" w:color="auto"/>
                    <w:left w:val="none" w:sz="0" w:space="0" w:color="auto"/>
                    <w:bottom w:val="none" w:sz="0" w:space="0" w:color="auto"/>
                    <w:right w:val="none" w:sz="0" w:space="0" w:color="auto"/>
                  </w:divBdr>
                  <w:divsChild>
                    <w:div w:id="2033452113">
                      <w:marLeft w:val="0"/>
                      <w:marRight w:val="0"/>
                      <w:marTop w:val="0"/>
                      <w:marBottom w:val="0"/>
                      <w:divBdr>
                        <w:top w:val="none" w:sz="0" w:space="0" w:color="auto"/>
                        <w:left w:val="none" w:sz="0" w:space="0" w:color="auto"/>
                        <w:bottom w:val="none" w:sz="0" w:space="0" w:color="auto"/>
                        <w:right w:val="none" w:sz="0" w:space="0" w:color="auto"/>
                      </w:divBdr>
                      <w:divsChild>
                        <w:div w:id="2033452115">
                          <w:marLeft w:val="0"/>
                          <w:marRight w:val="0"/>
                          <w:marTop w:val="0"/>
                          <w:marBottom w:val="0"/>
                          <w:divBdr>
                            <w:top w:val="none" w:sz="0" w:space="0" w:color="auto"/>
                            <w:left w:val="none" w:sz="0" w:space="0" w:color="auto"/>
                            <w:bottom w:val="none" w:sz="0" w:space="0" w:color="auto"/>
                            <w:right w:val="none" w:sz="0" w:space="0" w:color="auto"/>
                          </w:divBdr>
                          <w:divsChild>
                            <w:div w:id="2033452110">
                              <w:marLeft w:val="0"/>
                              <w:marRight w:val="0"/>
                              <w:marTop w:val="0"/>
                              <w:marBottom w:val="0"/>
                              <w:divBdr>
                                <w:top w:val="none" w:sz="0" w:space="0" w:color="auto"/>
                                <w:left w:val="none" w:sz="0" w:space="0" w:color="auto"/>
                                <w:bottom w:val="none" w:sz="0" w:space="0" w:color="auto"/>
                                <w:right w:val="none" w:sz="0" w:space="0" w:color="auto"/>
                              </w:divBdr>
                              <w:divsChild>
                                <w:div w:id="20334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86E855-A6BC-4F3E-BEA0-8E61B8BD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2017-06-21T07:11:00Z</cp:lastPrinted>
  <dcterms:created xsi:type="dcterms:W3CDTF">2017-10-23T02:33:00Z</dcterms:created>
  <dcterms:modified xsi:type="dcterms:W3CDTF">2017-10-23T02:33:00Z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