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E689" w14:textId="4F86F3F9" w:rsidR="008A5343" w:rsidRPr="004D57D3" w:rsidRDefault="008A5343" w:rsidP="00144BB2">
      <w:pPr>
        <w:pStyle w:val="Heading1"/>
        <w:rPr>
          <w:sz w:val="48"/>
          <w:szCs w:val="48"/>
        </w:rPr>
      </w:pPr>
      <w:r w:rsidRPr="004D57D3">
        <w:rPr>
          <w:sz w:val="48"/>
          <w:szCs w:val="48"/>
        </w:rPr>
        <w:t xml:space="preserve">Extended </w:t>
      </w:r>
      <w:r w:rsidR="00313C58" w:rsidRPr="004D57D3">
        <w:rPr>
          <w:sz w:val="48"/>
          <w:szCs w:val="48"/>
        </w:rPr>
        <w:t xml:space="preserve">Medicare </w:t>
      </w:r>
      <w:r w:rsidRPr="004D57D3">
        <w:rPr>
          <w:sz w:val="48"/>
          <w:szCs w:val="48"/>
        </w:rPr>
        <w:t xml:space="preserve">Safety Net </w:t>
      </w:r>
      <w:r w:rsidR="007F0F7D" w:rsidRPr="004D57D3">
        <w:rPr>
          <w:sz w:val="48"/>
          <w:szCs w:val="48"/>
        </w:rPr>
        <w:t xml:space="preserve">(EMSN) </w:t>
      </w:r>
      <w:r w:rsidR="00494C18" w:rsidRPr="004D57D3">
        <w:rPr>
          <w:sz w:val="48"/>
          <w:szCs w:val="48"/>
        </w:rPr>
        <w:t>c</w:t>
      </w:r>
      <w:r w:rsidRPr="004D57D3">
        <w:rPr>
          <w:sz w:val="48"/>
          <w:szCs w:val="48"/>
        </w:rPr>
        <w:t xml:space="preserve">aps </w:t>
      </w:r>
      <w:r w:rsidR="007F0F7D" w:rsidRPr="004D57D3">
        <w:rPr>
          <w:sz w:val="48"/>
          <w:szCs w:val="48"/>
        </w:rPr>
        <w:t>on</w:t>
      </w:r>
      <w:r w:rsidRPr="004D57D3">
        <w:rPr>
          <w:sz w:val="48"/>
          <w:szCs w:val="48"/>
        </w:rPr>
        <w:t xml:space="preserve"> new ultrasound items</w:t>
      </w:r>
    </w:p>
    <w:p w14:paraId="601EB5A4" w14:textId="63B4FFA4" w:rsidR="00144BB2" w:rsidRPr="00867595" w:rsidRDefault="00144BB2" w:rsidP="00144BB2">
      <w:pPr>
        <w:rPr>
          <w:szCs w:val="22"/>
        </w:rPr>
      </w:pPr>
      <w:r>
        <w:rPr>
          <w:szCs w:val="22"/>
        </w:rPr>
        <w:t>Last upda</w:t>
      </w:r>
      <w:r w:rsidRPr="006F188F">
        <w:rPr>
          <w:szCs w:val="22"/>
        </w:rPr>
        <w:t xml:space="preserve">ted </w:t>
      </w:r>
      <w:r w:rsidR="008B0A83" w:rsidRPr="006F188F">
        <w:rPr>
          <w:szCs w:val="22"/>
        </w:rPr>
        <w:t>on</w:t>
      </w:r>
      <w:r w:rsidRPr="006F188F">
        <w:rPr>
          <w:szCs w:val="22"/>
        </w:rPr>
        <w:t xml:space="preserve"> </w:t>
      </w:r>
      <w:r w:rsidR="001B376C">
        <w:rPr>
          <w:szCs w:val="22"/>
        </w:rPr>
        <w:t>2</w:t>
      </w:r>
      <w:r w:rsidR="00967FE7">
        <w:rPr>
          <w:szCs w:val="22"/>
        </w:rPr>
        <w:t>5</w:t>
      </w:r>
      <w:r w:rsidR="008A5343">
        <w:rPr>
          <w:szCs w:val="22"/>
        </w:rPr>
        <w:t xml:space="preserve"> November</w:t>
      </w:r>
      <w:r w:rsidRPr="006F188F">
        <w:rPr>
          <w:szCs w:val="22"/>
        </w:rPr>
        <w:t xml:space="preserve"> 2022</w:t>
      </w:r>
    </w:p>
    <w:p w14:paraId="08E440C4" w14:textId="1D4AD2A3" w:rsidR="008A5343" w:rsidRDefault="00144BB2" w:rsidP="00591F36">
      <w:pPr>
        <w:pStyle w:val="ListBullet"/>
      </w:pPr>
      <w:r>
        <w:t xml:space="preserve">From </w:t>
      </w:r>
      <w:r w:rsidR="008A5343" w:rsidRPr="008A5343">
        <w:t>1 January 2023</w:t>
      </w:r>
      <w:r w:rsidR="008A5343">
        <w:t xml:space="preserve">, </w:t>
      </w:r>
      <w:r w:rsidR="00313C58" w:rsidRPr="00313C58">
        <w:rPr>
          <w:bCs/>
          <w:szCs w:val="22"/>
        </w:rPr>
        <w:t xml:space="preserve">Extended Medicare Safety Net (EMSN) </w:t>
      </w:r>
      <w:r w:rsidR="008A5343">
        <w:t>caps will be applied to ultrasound items 55740, 55741, 55742, 55743, 55757 and 55758.</w:t>
      </w:r>
    </w:p>
    <w:p w14:paraId="3C476C69" w14:textId="77777777" w:rsidR="004D57D3" w:rsidRDefault="008A5343" w:rsidP="00591F36">
      <w:pPr>
        <w:pStyle w:val="ListBullet"/>
      </w:pPr>
      <w:r>
        <w:t xml:space="preserve">These items were introduced to the Medicare Benefits Schedule </w:t>
      </w:r>
      <w:r w:rsidR="00481928">
        <w:t xml:space="preserve">(MBS) </w:t>
      </w:r>
      <w:r>
        <w:t xml:space="preserve">on </w:t>
      </w:r>
    </w:p>
    <w:p w14:paraId="33BB1F7D" w14:textId="54A44066" w:rsidR="008A5343" w:rsidRDefault="008A5343" w:rsidP="004D57D3">
      <w:pPr>
        <w:pStyle w:val="ListBullet"/>
        <w:numPr>
          <w:ilvl w:val="0"/>
          <w:numId w:val="0"/>
        </w:numPr>
        <w:ind w:left="360"/>
      </w:pPr>
      <w:r>
        <w:t>1 November 2022.</w:t>
      </w:r>
    </w:p>
    <w:p w14:paraId="08B4A9CE" w14:textId="655AFCD7" w:rsidR="00082806" w:rsidRDefault="00082806" w:rsidP="00591F36">
      <w:pPr>
        <w:pStyle w:val="ListBullet"/>
      </w:pPr>
      <w:r>
        <w:t>EMSN caps on other MBS ultrasound items will be indexed from 1 January 2023.</w:t>
      </w:r>
    </w:p>
    <w:p w14:paraId="72FDFB30" w14:textId="77777777" w:rsidR="007F0F7D" w:rsidRPr="00867595" w:rsidRDefault="007F0F7D" w:rsidP="007F0F7D">
      <w:pPr>
        <w:pStyle w:val="Heading2"/>
      </w:pPr>
      <w:r w:rsidRPr="00867595">
        <w:t>What are the changes?</w:t>
      </w:r>
    </w:p>
    <w:p w14:paraId="2B89A0AD" w14:textId="33A103BF" w:rsidR="007F0F7D" w:rsidRDefault="007F0F7D" w:rsidP="007F0F7D">
      <w:pPr>
        <w:rPr>
          <w:szCs w:val="22"/>
        </w:rPr>
      </w:pPr>
      <w:r>
        <w:rPr>
          <w:szCs w:val="22"/>
        </w:rPr>
        <w:t xml:space="preserve">From 1 January 2023, </w:t>
      </w:r>
      <w:r w:rsidR="00967FE7">
        <w:rPr>
          <w:szCs w:val="22"/>
        </w:rPr>
        <w:t xml:space="preserve">new </w:t>
      </w:r>
      <w:r>
        <w:rPr>
          <w:szCs w:val="22"/>
        </w:rPr>
        <w:t xml:space="preserve">EMSN caps will </w:t>
      </w:r>
      <w:r w:rsidR="00082806">
        <w:rPr>
          <w:szCs w:val="22"/>
        </w:rPr>
        <w:t xml:space="preserve">be </w:t>
      </w:r>
      <w:r w:rsidR="00967FE7">
        <w:rPr>
          <w:szCs w:val="22"/>
        </w:rPr>
        <w:t xml:space="preserve">introduced </w:t>
      </w:r>
      <w:r>
        <w:rPr>
          <w:szCs w:val="22"/>
        </w:rPr>
        <w:t>to the following</w:t>
      </w:r>
      <w:r w:rsidR="00967FE7">
        <w:rPr>
          <w:szCs w:val="22"/>
        </w:rPr>
        <w:t xml:space="preserve"> six</w:t>
      </w:r>
      <w:r>
        <w:rPr>
          <w:szCs w:val="22"/>
        </w:rPr>
        <w:t xml:space="preserve"> </w:t>
      </w:r>
      <w:r w:rsidR="00082806">
        <w:rPr>
          <w:szCs w:val="22"/>
        </w:rPr>
        <w:t xml:space="preserve">MBS </w:t>
      </w:r>
      <w:r>
        <w:rPr>
          <w:szCs w:val="22"/>
        </w:rPr>
        <w:t>ultrasound items:</w:t>
      </w:r>
    </w:p>
    <w:tbl>
      <w:tblPr>
        <w:tblStyle w:val="TableGrid"/>
        <w:tblW w:w="0" w:type="auto"/>
        <w:tblLook w:val="04A0" w:firstRow="1" w:lastRow="0" w:firstColumn="1" w:lastColumn="0" w:noHBand="0" w:noVBand="1"/>
      </w:tblPr>
      <w:tblGrid>
        <w:gridCol w:w="2173"/>
        <w:gridCol w:w="2173"/>
      </w:tblGrid>
      <w:tr w:rsidR="007F0F7D" w:rsidRPr="00CA2E5E" w14:paraId="37E7DEAE" w14:textId="77777777" w:rsidTr="00CA2E5E">
        <w:trPr>
          <w:trHeight w:val="237"/>
        </w:trPr>
        <w:tc>
          <w:tcPr>
            <w:tcW w:w="2173" w:type="dxa"/>
          </w:tcPr>
          <w:p w14:paraId="2D227858" w14:textId="3F3E0410" w:rsidR="007F0F7D" w:rsidRPr="00CA2E5E" w:rsidRDefault="007F0F7D" w:rsidP="0015083E">
            <w:pPr>
              <w:spacing w:before="60" w:after="60" w:line="240" w:lineRule="auto"/>
              <w:jc w:val="center"/>
              <w:rPr>
                <w:b/>
                <w:bCs/>
                <w:sz w:val="18"/>
                <w:szCs w:val="18"/>
              </w:rPr>
            </w:pPr>
            <w:r w:rsidRPr="00CA2E5E">
              <w:rPr>
                <w:b/>
                <w:bCs/>
                <w:sz w:val="18"/>
                <w:szCs w:val="18"/>
              </w:rPr>
              <w:t>Item</w:t>
            </w:r>
          </w:p>
        </w:tc>
        <w:tc>
          <w:tcPr>
            <w:tcW w:w="2173" w:type="dxa"/>
          </w:tcPr>
          <w:p w14:paraId="1E6F8902" w14:textId="42BF53B8" w:rsidR="007F0F7D" w:rsidRPr="00CA2E5E" w:rsidRDefault="00082806" w:rsidP="0015083E">
            <w:pPr>
              <w:spacing w:before="60" w:after="60" w:line="240" w:lineRule="auto"/>
              <w:jc w:val="center"/>
              <w:rPr>
                <w:b/>
                <w:bCs/>
                <w:sz w:val="18"/>
                <w:szCs w:val="18"/>
              </w:rPr>
            </w:pPr>
            <w:r w:rsidRPr="00CA2E5E">
              <w:rPr>
                <w:b/>
                <w:bCs/>
                <w:sz w:val="18"/>
                <w:szCs w:val="18"/>
              </w:rPr>
              <w:t>EMSN cap ($)</w:t>
            </w:r>
          </w:p>
        </w:tc>
      </w:tr>
      <w:tr w:rsidR="007F0F7D" w:rsidRPr="00CA2E5E" w14:paraId="5AFB3A8E" w14:textId="77777777" w:rsidTr="00CA2E5E">
        <w:trPr>
          <w:trHeight w:val="242"/>
        </w:trPr>
        <w:tc>
          <w:tcPr>
            <w:tcW w:w="2173" w:type="dxa"/>
          </w:tcPr>
          <w:p w14:paraId="55568197" w14:textId="212F0C5C" w:rsidR="007F0F7D" w:rsidRPr="00CA2E5E" w:rsidRDefault="00082806" w:rsidP="0015083E">
            <w:pPr>
              <w:spacing w:before="60" w:after="60" w:line="240" w:lineRule="auto"/>
              <w:jc w:val="center"/>
              <w:rPr>
                <w:sz w:val="18"/>
                <w:szCs w:val="18"/>
              </w:rPr>
            </w:pPr>
            <w:r w:rsidRPr="00CA2E5E">
              <w:rPr>
                <w:sz w:val="18"/>
                <w:szCs w:val="18"/>
              </w:rPr>
              <w:t>55740</w:t>
            </w:r>
          </w:p>
        </w:tc>
        <w:tc>
          <w:tcPr>
            <w:tcW w:w="2173" w:type="dxa"/>
          </w:tcPr>
          <w:p w14:paraId="72B66986" w14:textId="5CE02AD0" w:rsidR="007F0F7D" w:rsidRPr="00CA2E5E" w:rsidRDefault="00082806" w:rsidP="0015083E">
            <w:pPr>
              <w:spacing w:before="60" w:after="60" w:line="240" w:lineRule="auto"/>
              <w:jc w:val="center"/>
              <w:rPr>
                <w:sz w:val="18"/>
                <w:szCs w:val="18"/>
              </w:rPr>
            </w:pPr>
            <w:r w:rsidRPr="00CA2E5E">
              <w:rPr>
                <w:sz w:val="18"/>
                <w:szCs w:val="18"/>
              </w:rPr>
              <w:t>63.60</w:t>
            </w:r>
          </w:p>
        </w:tc>
      </w:tr>
      <w:tr w:rsidR="007F0F7D" w:rsidRPr="00CA2E5E" w14:paraId="4D42BEFD" w14:textId="77777777" w:rsidTr="00CA2E5E">
        <w:trPr>
          <w:trHeight w:val="237"/>
        </w:trPr>
        <w:tc>
          <w:tcPr>
            <w:tcW w:w="2173" w:type="dxa"/>
          </w:tcPr>
          <w:p w14:paraId="7302439B" w14:textId="313CDD02" w:rsidR="007F0F7D" w:rsidRPr="00CA2E5E" w:rsidRDefault="00082806" w:rsidP="0015083E">
            <w:pPr>
              <w:spacing w:before="60" w:after="60" w:line="240" w:lineRule="auto"/>
              <w:jc w:val="center"/>
              <w:rPr>
                <w:sz w:val="18"/>
                <w:szCs w:val="18"/>
              </w:rPr>
            </w:pPr>
            <w:r w:rsidRPr="00CA2E5E">
              <w:rPr>
                <w:sz w:val="18"/>
                <w:szCs w:val="18"/>
              </w:rPr>
              <w:t>55741</w:t>
            </w:r>
          </w:p>
        </w:tc>
        <w:tc>
          <w:tcPr>
            <w:tcW w:w="2173" w:type="dxa"/>
          </w:tcPr>
          <w:p w14:paraId="38E89256" w14:textId="254F2377" w:rsidR="007F0F7D" w:rsidRPr="00CA2E5E" w:rsidRDefault="00082806" w:rsidP="0015083E">
            <w:pPr>
              <w:spacing w:before="60" w:after="60" w:line="240" w:lineRule="auto"/>
              <w:jc w:val="center"/>
              <w:rPr>
                <w:sz w:val="18"/>
                <w:szCs w:val="18"/>
              </w:rPr>
            </w:pPr>
            <w:r w:rsidRPr="00CA2E5E">
              <w:rPr>
                <w:sz w:val="18"/>
                <w:szCs w:val="18"/>
              </w:rPr>
              <w:t>27.40</w:t>
            </w:r>
          </w:p>
        </w:tc>
      </w:tr>
      <w:tr w:rsidR="007F0F7D" w:rsidRPr="00CA2E5E" w14:paraId="3220B11D" w14:textId="77777777" w:rsidTr="00CA2E5E">
        <w:trPr>
          <w:trHeight w:val="242"/>
        </w:trPr>
        <w:tc>
          <w:tcPr>
            <w:tcW w:w="2173" w:type="dxa"/>
          </w:tcPr>
          <w:p w14:paraId="14A5D045" w14:textId="14B72517" w:rsidR="007F0F7D" w:rsidRPr="00CA2E5E" w:rsidRDefault="00082806" w:rsidP="0015083E">
            <w:pPr>
              <w:spacing w:before="60" w:after="60" w:line="240" w:lineRule="auto"/>
              <w:jc w:val="center"/>
              <w:rPr>
                <w:sz w:val="18"/>
                <w:szCs w:val="18"/>
              </w:rPr>
            </w:pPr>
            <w:r w:rsidRPr="00CA2E5E">
              <w:rPr>
                <w:sz w:val="18"/>
                <w:szCs w:val="18"/>
              </w:rPr>
              <w:t>55742</w:t>
            </w:r>
          </w:p>
        </w:tc>
        <w:tc>
          <w:tcPr>
            <w:tcW w:w="2173" w:type="dxa"/>
          </w:tcPr>
          <w:p w14:paraId="3833B12C" w14:textId="1EB341A1" w:rsidR="007F0F7D" w:rsidRPr="00CA2E5E" w:rsidRDefault="00082806" w:rsidP="0015083E">
            <w:pPr>
              <w:spacing w:before="60" w:after="60" w:line="240" w:lineRule="auto"/>
              <w:jc w:val="center"/>
              <w:rPr>
                <w:sz w:val="18"/>
                <w:szCs w:val="18"/>
              </w:rPr>
            </w:pPr>
            <w:r w:rsidRPr="00CA2E5E">
              <w:rPr>
                <w:sz w:val="18"/>
                <w:szCs w:val="18"/>
              </w:rPr>
              <w:t>63.60</w:t>
            </w:r>
          </w:p>
        </w:tc>
      </w:tr>
      <w:tr w:rsidR="007F0F7D" w:rsidRPr="00CA2E5E" w14:paraId="3641789E" w14:textId="77777777" w:rsidTr="00CA2E5E">
        <w:trPr>
          <w:trHeight w:val="237"/>
        </w:trPr>
        <w:tc>
          <w:tcPr>
            <w:tcW w:w="2173" w:type="dxa"/>
          </w:tcPr>
          <w:p w14:paraId="2B376DFE" w14:textId="48E02F54" w:rsidR="007F0F7D" w:rsidRPr="00CA2E5E" w:rsidRDefault="00082806" w:rsidP="0015083E">
            <w:pPr>
              <w:spacing w:before="60" w:after="60" w:line="240" w:lineRule="auto"/>
              <w:jc w:val="center"/>
              <w:rPr>
                <w:sz w:val="18"/>
                <w:szCs w:val="18"/>
              </w:rPr>
            </w:pPr>
            <w:r w:rsidRPr="00CA2E5E">
              <w:rPr>
                <w:sz w:val="18"/>
                <w:szCs w:val="18"/>
              </w:rPr>
              <w:t>55743</w:t>
            </w:r>
          </w:p>
        </w:tc>
        <w:tc>
          <w:tcPr>
            <w:tcW w:w="2173" w:type="dxa"/>
          </w:tcPr>
          <w:p w14:paraId="0883758E" w14:textId="69CBFE09" w:rsidR="007F0F7D" w:rsidRPr="00CA2E5E" w:rsidRDefault="00082806" w:rsidP="0015083E">
            <w:pPr>
              <w:spacing w:before="60" w:after="60" w:line="240" w:lineRule="auto"/>
              <w:jc w:val="center"/>
              <w:rPr>
                <w:sz w:val="18"/>
                <w:szCs w:val="18"/>
              </w:rPr>
            </w:pPr>
            <w:r w:rsidRPr="00CA2E5E">
              <w:rPr>
                <w:sz w:val="18"/>
                <w:szCs w:val="18"/>
              </w:rPr>
              <w:t>27.40</w:t>
            </w:r>
          </w:p>
        </w:tc>
      </w:tr>
      <w:tr w:rsidR="007F0F7D" w:rsidRPr="00CA2E5E" w14:paraId="77DABE95" w14:textId="77777777" w:rsidTr="00CA2E5E">
        <w:trPr>
          <w:trHeight w:val="242"/>
        </w:trPr>
        <w:tc>
          <w:tcPr>
            <w:tcW w:w="2173" w:type="dxa"/>
          </w:tcPr>
          <w:p w14:paraId="08BD0970" w14:textId="2E49001D" w:rsidR="007F0F7D" w:rsidRPr="00CA2E5E" w:rsidRDefault="00082806" w:rsidP="0015083E">
            <w:pPr>
              <w:spacing w:before="60" w:after="60" w:line="240" w:lineRule="auto"/>
              <w:jc w:val="center"/>
              <w:rPr>
                <w:sz w:val="18"/>
                <w:szCs w:val="18"/>
              </w:rPr>
            </w:pPr>
            <w:r w:rsidRPr="00CA2E5E">
              <w:rPr>
                <w:sz w:val="18"/>
                <w:szCs w:val="18"/>
              </w:rPr>
              <w:t>55757</w:t>
            </w:r>
          </w:p>
        </w:tc>
        <w:tc>
          <w:tcPr>
            <w:tcW w:w="2173" w:type="dxa"/>
          </w:tcPr>
          <w:p w14:paraId="571FBE77" w14:textId="68601156" w:rsidR="007F0F7D" w:rsidRPr="00CA2E5E" w:rsidRDefault="00082806" w:rsidP="0015083E">
            <w:pPr>
              <w:spacing w:before="60" w:after="60" w:line="240" w:lineRule="auto"/>
              <w:jc w:val="center"/>
              <w:rPr>
                <w:sz w:val="18"/>
                <w:szCs w:val="18"/>
              </w:rPr>
            </w:pPr>
            <w:r w:rsidRPr="00CA2E5E">
              <w:rPr>
                <w:sz w:val="18"/>
                <w:szCs w:val="18"/>
              </w:rPr>
              <w:t>30.30</w:t>
            </w:r>
          </w:p>
        </w:tc>
      </w:tr>
      <w:tr w:rsidR="007F0F7D" w:rsidRPr="00CA2E5E" w14:paraId="02124FFE" w14:textId="77777777" w:rsidTr="00CA2E5E">
        <w:trPr>
          <w:trHeight w:val="237"/>
        </w:trPr>
        <w:tc>
          <w:tcPr>
            <w:tcW w:w="2173" w:type="dxa"/>
          </w:tcPr>
          <w:p w14:paraId="439D7E93" w14:textId="48BDFAA2" w:rsidR="007F0F7D" w:rsidRPr="00CA2E5E" w:rsidRDefault="00082806" w:rsidP="0015083E">
            <w:pPr>
              <w:spacing w:before="60" w:after="60" w:line="240" w:lineRule="auto"/>
              <w:jc w:val="center"/>
              <w:rPr>
                <w:sz w:val="18"/>
                <w:szCs w:val="18"/>
              </w:rPr>
            </w:pPr>
            <w:r w:rsidRPr="00CA2E5E">
              <w:rPr>
                <w:sz w:val="18"/>
                <w:szCs w:val="18"/>
              </w:rPr>
              <w:t>55758</w:t>
            </w:r>
          </w:p>
        </w:tc>
        <w:tc>
          <w:tcPr>
            <w:tcW w:w="2173" w:type="dxa"/>
          </w:tcPr>
          <w:p w14:paraId="0C0DA226" w14:textId="338D9344" w:rsidR="007F0F7D" w:rsidRPr="00CA2E5E" w:rsidRDefault="00082806" w:rsidP="0015083E">
            <w:pPr>
              <w:spacing w:before="60" w:after="60" w:line="240" w:lineRule="auto"/>
              <w:jc w:val="center"/>
              <w:rPr>
                <w:sz w:val="18"/>
                <w:szCs w:val="18"/>
              </w:rPr>
            </w:pPr>
            <w:r w:rsidRPr="00CA2E5E">
              <w:rPr>
                <w:sz w:val="18"/>
                <w:szCs w:val="18"/>
              </w:rPr>
              <w:t>9.90</w:t>
            </w:r>
          </w:p>
        </w:tc>
      </w:tr>
    </w:tbl>
    <w:p w14:paraId="7A994515" w14:textId="45602285" w:rsidR="00082806" w:rsidRDefault="00082806" w:rsidP="00CA2E5E">
      <w:pPr>
        <w:spacing w:before="240"/>
        <w:rPr>
          <w:szCs w:val="22"/>
        </w:rPr>
      </w:pPr>
      <w:r>
        <w:rPr>
          <w:szCs w:val="22"/>
        </w:rPr>
        <w:t xml:space="preserve">Existing EMSN caps on </w:t>
      </w:r>
      <w:r w:rsidR="008B15E5">
        <w:rPr>
          <w:szCs w:val="22"/>
        </w:rPr>
        <w:t xml:space="preserve">22 </w:t>
      </w:r>
      <w:r>
        <w:rPr>
          <w:szCs w:val="22"/>
        </w:rPr>
        <w:t>MBS ultrasound items will be indexed on 1 January 2023. The new cap amounts will be:</w:t>
      </w:r>
    </w:p>
    <w:tbl>
      <w:tblPr>
        <w:tblStyle w:val="TableGrid"/>
        <w:tblW w:w="0" w:type="auto"/>
        <w:tblLook w:val="04A0" w:firstRow="1" w:lastRow="0" w:firstColumn="1" w:lastColumn="0" w:noHBand="0" w:noVBand="1"/>
      </w:tblPr>
      <w:tblGrid>
        <w:gridCol w:w="2164"/>
        <w:gridCol w:w="2164"/>
      </w:tblGrid>
      <w:tr w:rsidR="00082806" w:rsidRPr="00CA2E5E" w14:paraId="6C9F1440" w14:textId="77777777" w:rsidTr="00CA2E5E">
        <w:trPr>
          <w:trHeight w:val="383"/>
        </w:trPr>
        <w:tc>
          <w:tcPr>
            <w:tcW w:w="2164" w:type="dxa"/>
          </w:tcPr>
          <w:p w14:paraId="399A5B9C" w14:textId="77777777" w:rsidR="00082806" w:rsidRPr="00CA2E5E" w:rsidRDefault="00082806" w:rsidP="0015083E">
            <w:pPr>
              <w:spacing w:before="60" w:after="60" w:line="240" w:lineRule="auto"/>
              <w:contextualSpacing/>
              <w:jc w:val="center"/>
              <w:rPr>
                <w:rFonts w:cs="Arial"/>
                <w:b/>
                <w:bCs/>
                <w:sz w:val="18"/>
                <w:szCs w:val="18"/>
              </w:rPr>
            </w:pPr>
            <w:r w:rsidRPr="00CA2E5E">
              <w:rPr>
                <w:rFonts w:cs="Arial"/>
                <w:b/>
                <w:bCs/>
                <w:sz w:val="18"/>
                <w:szCs w:val="18"/>
              </w:rPr>
              <w:t>Item</w:t>
            </w:r>
          </w:p>
        </w:tc>
        <w:tc>
          <w:tcPr>
            <w:tcW w:w="2164" w:type="dxa"/>
          </w:tcPr>
          <w:p w14:paraId="71B94BD5" w14:textId="77777777" w:rsidR="00082806" w:rsidRPr="00CA2E5E" w:rsidRDefault="00082806" w:rsidP="0015083E">
            <w:pPr>
              <w:spacing w:before="60" w:after="60" w:line="240" w:lineRule="auto"/>
              <w:contextualSpacing/>
              <w:jc w:val="center"/>
              <w:rPr>
                <w:rFonts w:cs="Arial"/>
                <w:b/>
                <w:bCs/>
                <w:sz w:val="18"/>
                <w:szCs w:val="18"/>
              </w:rPr>
            </w:pPr>
            <w:r w:rsidRPr="00CA2E5E">
              <w:rPr>
                <w:rFonts w:cs="Arial"/>
                <w:b/>
                <w:bCs/>
                <w:sz w:val="18"/>
                <w:szCs w:val="18"/>
              </w:rPr>
              <w:t>EMSN cap ($)</w:t>
            </w:r>
          </w:p>
        </w:tc>
      </w:tr>
      <w:tr w:rsidR="00082806" w:rsidRPr="00CA2E5E" w14:paraId="7AD065D8" w14:textId="77777777" w:rsidTr="00CA2E5E">
        <w:trPr>
          <w:trHeight w:val="390"/>
        </w:trPr>
        <w:tc>
          <w:tcPr>
            <w:tcW w:w="2164" w:type="dxa"/>
          </w:tcPr>
          <w:p w14:paraId="2DD8CE6B" w14:textId="38F28FE9" w:rsidR="00082806" w:rsidRPr="0015083E" w:rsidRDefault="00CA2E5E" w:rsidP="0015083E">
            <w:pPr>
              <w:spacing w:before="60" w:after="60" w:line="240" w:lineRule="auto"/>
              <w:jc w:val="center"/>
              <w:rPr>
                <w:sz w:val="18"/>
                <w:szCs w:val="18"/>
              </w:rPr>
            </w:pPr>
            <w:r w:rsidRPr="0015083E">
              <w:rPr>
                <w:sz w:val="18"/>
                <w:szCs w:val="18"/>
              </w:rPr>
              <w:t>55700</w:t>
            </w:r>
          </w:p>
        </w:tc>
        <w:tc>
          <w:tcPr>
            <w:tcW w:w="2164" w:type="dxa"/>
          </w:tcPr>
          <w:p w14:paraId="71739963" w14:textId="48FAD9CC" w:rsidR="00082806" w:rsidRPr="0015083E" w:rsidRDefault="00CA2E5E" w:rsidP="0015083E">
            <w:pPr>
              <w:spacing w:before="60" w:after="60" w:line="240" w:lineRule="auto"/>
              <w:jc w:val="center"/>
              <w:rPr>
                <w:sz w:val="18"/>
                <w:szCs w:val="18"/>
              </w:rPr>
            </w:pPr>
            <w:r w:rsidRPr="0015083E">
              <w:rPr>
                <w:sz w:val="18"/>
                <w:szCs w:val="18"/>
              </w:rPr>
              <w:t>36.60</w:t>
            </w:r>
          </w:p>
        </w:tc>
      </w:tr>
      <w:tr w:rsidR="00082806" w:rsidRPr="00CA2E5E" w14:paraId="7E428CE9" w14:textId="77777777" w:rsidTr="00CA2E5E">
        <w:trPr>
          <w:trHeight w:val="383"/>
        </w:trPr>
        <w:tc>
          <w:tcPr>
            <w:tcW w:w="2164" w:type="dxa"/>
          </w:tcPr>
          <w:p w14:paraId="27E00B7A" w14:textId="110587C4" w:rsidR="00082806" w:rsidRPr="0015083E" w:rsidRDefault="00CA2E5E" w:rsidP="0015083E">
            <w:pPr>
              <w:spacing w:before="60" w:after="60" w:line="240" w:lineRule="auto"/>
              <w:jc w:val="center"/>
              <w:rPr>
                <w:sz w:val="18"/>
                <w:szCs w:val="18"/>
              </w:rPr>
            </w:pPr>
            <w:r w:rsidRPr="0015083E">
              <w:rPr>
                <w:sz w:val="18"/>
                <w:szCs w:val="18"/>
              </w:rPr>
              <w:t>55703</w:t>
            </w:r>
          </w:p>
        </w:tc>
        <w:tc>
          <w:tcPr>
            <w:tcW w:w="2164" w:type="dxa"/>
          </w:tcPr>
          <w:p w14:paraId="59251279" w14:textId="0F3F230E" w:rsidR="00082806" w:rsidRPr="0015083E" w:rsidRDefault="00CA2E5E" w:rsidP="0015083E">
            <w:pPr>
              <w:spacing w:before="60" w:after="60" w:line="240" w:lineRule="auto"/>
              <w:jc w:val="center"/>
              <w:rPr>
                <w:sz w:val="18"/>
                <w:szCs w:val="18"/>
              </w:rPr>
            </w:pPr>
            <w:r w:rsidRPr="0015083E">
              <w:rPr>
                <w:sz w:val="18"/>
                <w:szCs w:val="18"/>
              </w:rPr>
              <w:t>18.40</w:t>
            </w:r>
          </w:p>
        </w:tc>
      </w:tr>
      <w:tr w:rsidR="00082806" w:rsidRPr="00CA2E5E" w14:paraId="5679DBB8" w14:textId="77777777" w:rsidTr="00CA2E5E">
        <w:trPr>
          <w:trHeight w:val="383"/>
        </w:trPr>
        <w:tc>
          <w:tcPr>
            <w:tcW w:w="2164" w:type="dxa"/>
          </w:tcPr>
          <w:p w14:paraId="5A24C87E" w14:textId="42EB6DB0" w:rsidR="00082806" w:rsidRPr="0015083E" w:rsidRDefault="00CA2E5E" w:rsidP="0015083E">
            <w:pPr>
              <w:spacing w:before="60" w:after="60" w:line="240" w:lineRule="auto"/>
              <w:jc w:val="center"/>
              <w:rPr>
                <w:sz w:val="18"/>
                <w:szCs w:val="18"/>
              </w:rPr>
            </w:pPr>
            <w:r w:rsidRPr="0015083E">
              <w:rPr>
                <w:sz w:val="18"/>
                <w:szCs w:val="18"/>
              </w:rPr>
              <w:t>55704</w:t>
            </w:r>
          </w:p>
        </w:tc>
        <w:tc>
          <w:tcPr>
            <w:tcW w:w="2164" w:type="dxa"/>
          </w:tcPr>
          <w:p w14:paraId="502C81BC" w14:textId="67DE2AA9" w:rsidR="00082806" w:rsidRPr="0015083E" w:rsidRDefault="00CA2E5E" w:rsidP="0015083E">
            <w:pPr>
              <w:spacing w:before="60" w:after="60" w:line="240" w:lineRule="auto"/>
              <w:jc w:val="center"/>
              <w:rPr>
                <w:sz w:val="18"/>
                <w:szCs w:val="18"/>
              </w:rPr>
            </w:pPr>
            <w:r w:rsidRPr="0015083E">
              <w:rPr>
                <w:sz w:val="18"/>
                <w:szCs w:val="18"/>
              </w:rPr>
              <w:t>42.80</w:t>
            </w:r>
          </w:p>
        </w:tc>
      </w:tr>
      <w:tr w:rsidR="00082806" w:rsidRPr="00CA2E5E" w14:paraId="5357FF36" w14:textId="77777777" w:rsidTr="00CA2E5E">
        <w:trPr>
          <w:trHeight w:val="390"/>
        </w:trPr>
        <w:tc>
          <w:tcPr>
            <w:tcW w:w="2164" w:type="dxa"/>
          </w:tcPr>
          <w:p w14:paraId="1BEEF431" w14:textId="2311FEA0" w:rsidR="00082806" w:rsidRPr="0015083E" w:rsidRDefault="00CA2E5E" w:rsidP="0015083E">
            <w:pPr>
              <w:spacing w:before="60" w:after="60" w:line="240" w:lineRule="auto"/>
              <w:jc w:val="center"/>
              <w:rPr>
                <w:sz w:val="18"/>
                <w:szCs w:val="18"/>
              </w:rPr>
            </w:pPr>
            <w:r w:rsidRPr="0015083E">
              <w:rPr>
                <w:sz w:val="18"/>
                <w:szCs w:val="18"/>
              </w:rPr>
              <w:t>55705</w:t>
            </w:r>
          </w:p>
        </w:tc>
        <w:tc>
          <w:tcPr>
            <w:tcW w:w="2164" w:type="dxa"/>
          </w:tcPr>
          <w:p w14:paraId="391AC72E" w14:textId="2C6AF095" w:rsidR="00082806" w:rsidRPr="0015083E" w:rsidRDefault="00CA2E5E" w:rsidP="0015083E">
            <w:pPr>
              <w:spacing w:before="60" w:after="60" w:line="240" w:lineRule="auto"/>
              <w:jc w:val="center"/>
              <w:rPr>
                <w:sz w:val="18"/>
                <w:szCs w:val="18"/>
              </w:rPr>
            </w:pPr>
            <w:r w:rsidRPr="0015083E">
              <w:rPr>
                <w:sz w:val="18"/>
                <w:szCs w:val="18"/>
              </w:rPr>
              <w:t>18.40</w:t>
            </w:r>
          </w:p>
        </w:tc>
      </w:tr>
      <w:tr w:rsidR="00082806" w:rsidRPr="00CA2E5E" w14:paraId="726F5772" w14:textId="77777777" w:rsidTr="00CA2E5E">
        <w:trPr>
          <w:trHeight w:val="383"/>
        </w:trPr>
        <w:tc>
          <w:tcPr>
            <w:tcW w:w="2164" w:type="dxa"/>
          </w:tcPr>
          <w:p w14:paraId="71E689BD" w14:textId="3C68B8A5" w:rsidR="00082806" w:rsidRPr="0015083E" w:rsidRDefault="00CA2E5E" w:rsidP="0015083E">
            <w:pPr>
              <w:spacing w:before="60" w:after="60" w:line="240" w:lineRule="auto"/>
              <w:jc w:val="center"/>
              <w:rPr>
                <w:sz w:val="18"/>
                <w:szCs w:val="18"/>
              </w:rPr>
            </w:pPr>
            <w:r w:rsidRPr="0015083E">
              <w:rPr>
                <w:sz w:val="18"/>
                <w:szCs w:val="18"/>
              </w:rPr>
              <w:t>55706</w:t>
            </w:r>
          </w:p>
        </w:tc>
        <w:tc>
          <w:tcPr>
            <w:tcW w:w="2164" w:type="dxa"/>
          </w:tcPr>
          <w:p w14:paraId="343F10AC" w14:textId="50A5A017" w:rsidR="00082806" w:rsidRPr="0015083E" w:rsidRDefault="00CA2E5E" w:rsidP="0015083E">
            <w:pPr>
              <w:spacing w:before="60" w:after="60" w:line="240" w:lineRule="auto"/>
              <w:jc w:val="center"/>
              <w:rPr>
                <w:sz w:val="18"/>
                <w:szCs w:val="18"/>
              </w:rPr>
            </w:pPr>
            <w:r w:rsidRPr="0015083E">
              <w:rPr>
                <w:sz w:val="18"/>
                <w:szCs w:val="18"/>
              </w:rPr>
              <w:t>61.10</w:t>
            </w:r>
          </w:p>
        </w:tc>
      </w:tr>
      <w:tr w:rsidR="00082806" w:rsidRPr="00CA2E5E" w14:paraId="539201A5" w14:textId="77777777" w:rsidTr="00CA2E5E">
        <w:trPr>
          <w:trHeight w:val="390"/>
        </w:trPr>
        <w:tc>
          <w:tcPr>
            <w:tcW w:w="2164" w:type="dxa"/>
          </w:tcPr>
          <w:p w14:paraId="347A9CC3" w14:textId="0BDE02D4" w:rsidR="00082806" w:rsidRPr="0015083E" w:rsidRDefault="00CA2E5E" w:rsidP="0015083E">
            <w:pPr>
              <w:spacing w:before="60" w:after="60" w:line="240" w:lineRule="auto"/>
              <w:jc w:val="center"/>
              <w:rPr>
                <w:sz w:val="18"/>
                <w:szCs w:val="18"/>
              </w:rPr>
            </w:pPr>
            <w:r w:rsidRPr="0015083E">
              <w:rPr>
                <w:sz w:val="18"/>
                <w:szCs w:val="18"/>
              </w:rPr>
              <w:t>55707</w:t>
            </w:r>
          </w:p>
        </w:tc>
        <w:tc>
          <w:tcPr>
            <w:tcW w:w="2164" w:type="dxa"/>
          </w:tcPr>
          <w:p w14:paraId="5EDCB17D" w14:textId="484EF458" w:rsidR="00082806" w:rsidRPr="0015083E" w:rsidRDefault="00CA2E5E" w:rsidP="0015083E">
            <w:pPr>
              <w:spacing w:before="60" w:after="60" w:line="240" w:lineRule="auto"/>
              <w:jc w:val="center"/>
              <w:rPr>
                <w:sz w:val="18"/>
                <w:szCs w:val="18"/>
              </w:rPr>
            </w:pPr>
            <w:r w:rsidRPr="0015083E">
              <w:rPr>
                <w:sz w:val="18"/>
                <w:szCs w:val="18"/>
              </w:rPr>
              <w:t>42.80</w:t>
            </w:r>
          </w:p>
        </w:tc>
      </w:tr>
      <w:tr w:rsidR="00CA2E5E" w:rsidRPr="00CA2E5E" w14:paraId="5271E0B3" w14:textId="77777777" w:rsidTr="00CA2E5E">
        <w:trPr>
          <w:trHeight w:val="383"/>
        </w:trPr>
        <w:tc>
          <w:tcPr>
            <w:tcW w:w="2164" w:type="dxa"/>
          </w:tcPr>
          <w:p w14:paraId="18025D2D" w14:textId="58037769" w:rsidR="00CA2E5E" w:rsidRPr="0015083E" w:rsidRDefault="00CA2E5E" w:rsidP="0015083E">
            <w:pPr>
              <w:spacing w:before="60" w:after="60" w:line="240" w:lineRule="auto"/>
              <w:jc w:val="center"/>
              <w:rPr>
                <w:sz w:val="18"/>
                <w:szCs w:val="18"/>
              </w:rPr>
            </w:pPr>
            <w:r w:rsidRPr="0015083E">
              <w:rPr>
                <w:sz w:val="18"/>
                <w:szCs w:val="18"/>
              </w:rPr>
              <w:t>55708</w:t>
            </w:r>
          </w:p>
        </w:tc>
        <w:tc>
          <w:tcPr>
            <w:tcW w:w="2164" w:type="dxa"/>
          </w:tcPr>
          <w:p w14:paraId="2DBD4E4E" w14:textId="08CF7A0E" w:rsidR="00CA2E5E" w:rsidRPr="0015083E" w:rsidRDefault="00CA2E5E" w:rsidP="0015083E">
            <w:pPr>
              <w:spacing w:before="60" w:after="60" w:line="240" w:lineRule="auto"/>
              <w:jc w:val="center"/>
              <w:rPr>
                <w:sz w:val="18"/>
                <w:szCs w:val="18"/>
              </w:rPr>
            </w:pPr>
            <w:r w:rsidRPr="0015083E">
              <w:rPr>
                <w:sz w:val="18"/>
                <w:szCs w:val="18"/>
              </w:rPr>
              <w:t>18.40</w:t>
            </w:r>
          </w:p>
        </w:tc>
      </w:tr>
      <w:tr w:rsidR="00CA2E5E" w:rsidRPr="00CA2E5E" w14:paraId="17CB5F03" w14:textId="77777777" w:rsidTr="00CA2E5E">
        <w:trPr>
          <w:trHeight w:val="383"/>
        </w:trPr>
        <w:tc>
          <w:tcPr>
            <w:tcW w:w="2164" w:type="dxa"/>
          </w:tcPr>
          <w:p w14:paraId="61B6F5E6" w14:textId="301929CA" w:rsidR="00CA2E5E" w:rsidRPr="0015083E" w:rsidRDefault="00CA2E5E" w:rsidP="0015083E">
            <w:pPr>
              <w:spacing w:before="60" w:after="60" w:line="240" w:lineRule="auto"/>
              <w:jc w:val="center"/>
              <w:rPr>
                <w:sz w:val="18"/>
                <w:szCs w:val="18"/>
              </w:rPr>
            </w:pPr>
            <w:r w:rsidRPr="0015083E">
              <w:rPr>
                <w:sz w:val="18"/>
                <w:szCs w:val="18"/>
              </w:rPr>
              <w:t>55709</w:t>
            </w:r>
          </w:p>
        </w:tc>
        <w:tc>
          <w:tcPr>
            <w:tcW w:w="2164" w:type="dxa"/>
          </w:tcPr>
          <w:p w14:paraId="43045205" w14:textId="1E567728" w:rsidR="00CA2E5E" w:rsidRPr="0015083E" w:rsidRDefault="00CA2E5E" w:rsidP="0015083E">
            <w:pPr>
              <w:spacing w:before="60" w:after="60" w:line="240" w:lineRule="auto"/>
              <w:jc w:val="center"/>
              <w:rPr>
                <w:sz w:val="18"/>
                <w:szCs w:val="18"/>
              </w:rPr>
            </w:pPr>
            <w:r w:rsidRPr="0015083E">
              <w:rPr>
                <w:sz w:val="18"/>
                <w:szCs w:val="18"/>
              </w:rPr>
              <w:t>24.40</w:t>
            </w:r>
          </w:p>
        </w:tc>
      </w:tr>
      <w:tr w:rsidR="00CA2E5E" w:rsidRPr="00CA2E5E" w14:paraId="0B88CD3B" w14:textId="77777777" w:rsidTr="00CA2E5E">
        <w:trPr>
          <w:trHeight w:val="390"/>
        </w:trPr>
        <w:tc>
          <w:tcPr>
            <w:tcW w:w="2164" w:type="dxa"/>
          </w:tcPr>
          <w:p w14:paraId="69FE0162" w14:textId="3EE97E2A" w:rsidR="00967FE7" w:rsidRPr="00967FE7" w:rsidRDefault="00CA2E5E">
            <w:pPr>
              <w:spacing w:before="60" w:after="60" w:line="240" w:lineRule="auto"/>
              <w:jc w:val="center"/>
              <w:rPr>
                <w:sz w:val="18"/>
                <w:szCs w:val="18"/>
              </w:rPr>
            </w:pPr>
            <w:r w:rsidRPr="0015083E">
              <w:rPr>
                <w:sz w:val="18"/>
                <w:szCs w:val="18"/>
              </w:rPr>
              <w:t>55712</w:t>
            </w:r>
          </w:p>
        </w:tc>
        <w:tc>
          <w:tcPr>
            <w:tcW w:w="2164" w:type="dxa"/>
          </w:tcPr>
          <w:p w14:paraId="5087F9D9" w14:textId="2508DD29" w:rsidR="00CA2E5E" w:rsidRPr="0015083E" w:rsidRDefault="00CA2E5E" w:rsidP="0015083E">
            <w:pPr>
              <w:spacing w:before="60" w:after="60" w:line="240" w:lineRule="auto"/>
              <w:jc w:val="center"/>
              <w:rPr>
                <w:sz w:val="18"/>
                <w:szCs w:val="18"/>
              </w:rPr>
            </w:pPr>
            <w:r w:rsidRPr="0015083E">
              <w:rPr>
                <w:sz w:val="18"/>
                <w:szCs w:val="18"/>
              </w:rPr>
              <w:t>73.30</w:t>
            </w:r>
          </w:p>
        </w:tc>
      </w:tr>
      <w:tr w:rsidR="00CA2E5E" w:rsidRPr="00CA2E5E" w14:paraId="3F07C149" w14:textId="77777777" w:rsidTr="00CA2E5E">
        <w:trPr>
          <w:trHeight w:val="383"/>
        </w:trPr>
        <w:tc>
          <w:tcPr>
            <w:tcW w:w="2164" w:type="dxa"/>
          </w:tcPr>
          <w:p w14:paraId="6058CC85" w14:textId="69E4E6E8" w:rsidR="00CA2E5E" w:rsidRPr="0015083E" w:rsidRDefault="00CA2E5E" w:rsidP="0015083E">
            <w:pPr>
              <w:spacing w:before="60" w:after="60" w:line="240" w:lineRule="auto"/>
              <w:jc w:val="center"/>
              <w:rPr>
                <w:sz w:val="18"/>
                <w:szCs w:val="18"/>
              </w:rPr>
            </w:pPr>
            <w:r w:rsidRPr="0015083E">
              <w:rPr>
                <w:sz w:val="18"/>
                <w:szCs w:val="18"/>
              </w:rPr>
              <w:lastRenderedPageBreak/>
              <w:t>55715</w:t>
            </w:r>
          </w:p>
        </w:tc>
        <w:tc>
          <w:tcPr>
            <w:tcW w:w="2164" w:type="dxa"/>
          </w:tcPr>
          <w:p w14:paraId="49AAF863" w14:textId="524D95A7" w:rsidR="00CA2E5E" w:rsidRPr="0015083E" w:rsidRDefault="00CA2E5E" w:rsidP="0015083E">
            <w:pPr>
              <w:spacing w:before="60" w:after="60" w:line="240" w:lineRule="auto"/>
              <w:jc w:val="center"/>
              <w:rPr>
                <w:sz w:val="18"/>
                <w:szCs w:val="18"/>
              </w:rPr>
            </w:pPr>
            <w:r w:rsidRPr="0015083E">
              <w:rPr>
                <w:sz w:val="18"/>
                <w:szCs w:val="18"/>
              </w:rPr>
              <w:t>24.40</w:t>
            </w:r>
          </w:p>
        </w:tc>
      </w:tr>
      <w:tr w:rsidR="00CA2E5E" w:rsidRPr="00CA2E5E" w14:paraId="6F8E79DA" w14:textId="77777777" w:rsidTr="00CA2E5E">
        <w:trPr>
          <w:trHeight w:val="383"/>
        </w:trPr>
        <w:tc>
          <w:tcPr>
            <w:tcW w:w="2164" w:type="dxa"/>
          </w:tcPr>
          <w:p w14:paraId="5D47D0FB" w14:textId="319B6240" w:rsidR="00CA2E5E" w:rsidRPr="0015083E" w:rsidRDefault="00CA2E5E" w:rsidP="0015083E">
            <w:pPr>
              <w:spacing w:before="60" w:after="60" w:line="240" w:lineRule="auto"/>
              <w:jc w:val="center"/>
              <w:rPr>
                <w:sz w:val="18"/>
                <w:szCs w:val="18"/>
              </w:rPr>
            </w:pPr>
            <w:r w:rsidRPr="0015083E">
              <w:rPr>
                <w:sz w:val="18"/>
                <w:szCs w:val="18"/>
              </w:rPr>
              <w:t>55718</w:t>
            </w:r>
          </w:p>
        </w:tc>
        <w:tc>
          <w:tcPr>
            <w:tcW w:w="2164" w:type="dxa"/>
          </w:tcPr>
          <w:p w14:paraId="27291EC7" w14:textId="22020E68" w:rsidR="00CA2E5E" w:rsidRPr="0015083E" w:rsidRDefault="00CA2E5E" w:rsidP="0015083E">
            <w:pPr>
              <w:spacing w:before="60" w:after="60" w:line="240" w:lineRule="auto"/>
              <w:jc w:val="center"/>
              <w:rPr>
                <w:sz w:val="18"/>
                <w:szCs w:val="18"/>
              </w:rPr>
            </w:pPr>
            <w:r w:rsidRPr="0015083E">
              <w:rPr>
                <w:sz w:val="18"/>
                <w:szCs w:val="18"/>
              </w:rPr>
              <w:t>61.10</w:t>
            </w:r>
          </w:p>
        </w:tc>
      </w:tr>
      <w:tr w:rsidR="00CA2E5E" w:rsidRPr="00CA2E5E" w14:paraId="31F22933" w14:textId="77777777" w:rsidTr="00CA2E5E">
        <w:trPr>
          <w:trHeight w:val="390"/>
        </w:trPr>
        <w:tc>
          <w:tcPr>
            <w:tcW w:w="2164" w:type="dxa"/>
          </w:tcPr>
          <w:p w14:paraId="4396E44F" w14:textId="28E713E5" w:rsidR="00CA2E5E" w:rsidRPr="0015083E" w:rsidRDefault="00CA2E5E" w:rsidP="0015083E">
            <w:pPr>
              <w:spacing w:before="60" w:after="60" w:line="240" w:lineRule="auto"/>
              <w:jc w:val="center"/>
              <w:rPr>
                <w:sz w:val="18"/>
                <w:szCs w:val="18"/>
              </w:rPr>
            </w:pPr>
            <w:r w:rsidRPr="0015083E">
              <w:rPr>
                <w:sz w:val="18"/>
                <w:szCs w:val="18"/>
              </w:rPr>
              <w:t>55721</w:t>
            </w:r>
          </w:p>
        </w:tc>
        <w:tc>
          <w:tcPr>
            <w:tcW w:w="2164" w:type="dxa"/>
          </w:tcPr>
          <w:p w14:paraId="0EC18AB0" w14:textId="00D5D44F" w:rsidR="00CA2E5E" w:rsidRPr="0015083E" w:rsidRDefault="00CA2E5E" w:rsidP="0015083E">
            <w:pPr>
              <w:spacing w:before="60" w:after="60" w:line="240" w:lineRule="auto"/>
              <w:jc w:val="center"/>
              <w:rPr>
                <w:sz w:val="18"/>
                <w:szCs w:val="18"/>
              </w:rPr>
            </w:pPr>
            <w:r w:rsidRPr="0015083E">
              <w:rPr>
                <w:sz w:val="18"/>
                <w:szCs w:val="18"/>
              </w:rPr>
              <w:t>73.30</w:t>
            </w:r>
          </w:p>
        </w:tc>
      </w:tr>
      <w:tr w:rsidR="00CA2E5E" w:rsidRPr="00CA2E5E" w14:paraId="18C0A664" w14:textId="77777777" w:rsidTr="00CA2E5E">
        <w:trPr>
          <w:trHeight w:val="383"/>
        </w:trPr>
        <w:tc>
          <w:tcPr>
            <w:tcW w:w="2164" w:type="dxa"/>
          </w:tcPr>
          <w:p w14:paraId="6E6A059E" w14:textId="5C0A3A60" w:rsidR="00CA2E5E" w:rsidRPr="0015083E" w:rsidRDefault="00CA2E5E" w:rsidP="0015083E">
            <w:pPr>
              <w:spacing w:before="60" w:after="60" w:line="240" w:lineRule="auto"/>
              <w:jc w:val="center"/>
              <w:rPr>
                <w:sz w:val="18"/>
                <w:szCs w:val="18"/>
              </w:rPr>
            </w:pPr>
            <w:r w:rsidRPr="0015083E">
              <w:rPr>
                <w:sz w:val="18"/>
                <w:szCs w:val="18"/>
              </w:rPr>
              <w:t>55723</w:t>
            </w:r>
          </w:p>
        </w:tc>
        <w:tc>
          <w:tcPr>
            <w:tcW w:w="2164" w:type="dxa"/>
          </w:tcPr>
          <w:p w14:paraId="74666F16" w14:textId="1B9406CE" w:rsidR="00CA2E5E" w:rsidRPr="0015083E" w:rsidRDefault="00CA2E5E" w:rsidP="0015083E">
            <w:pPr>
              <w:spacing w:before="60" w:after="60" w:line="240" w:lineRule="auto"/>
              <w:jc w:val="center"/>
              <w:rPr>
                <w:sz w:val="18"/>
                <w:szCs w:val="18"/>
              </w:rPr>
            </w:pPr>
            <w:r w:rsidRPr="0015083E">
              <w:rPr>
                <w:sz w:val="18"/>
                <w:szCs w:val="18"/>
              </w:rPr>
              <w:t>24.40</w:t>
            </w:r>
          </w:p>
        </w:tc>
      </w:tr>
      <w:tr w:rsidR="00CA2E5E" w:rsidRPr="00CA2E5E" w14:paraId="4F8DFCAE" w14:textId="77777777" w:rsidTr="00CA2E5E">
        <w:trPr>
          <w:trHeight w:val="390"/>
        </w:trPr>
        <w:tc>
          <w:tcPr>
            <w:tcW w:w="2164" w:type="dxa"/>
          </w:tcPr>
          <w:p w14:paraId="0769E4F0" w14:textId="487DFA66" w:rsidR="00CA2E5E" w:rsidRPr="0015083E" w:rsidRDefault="00CA2E5E" w:rsidP="0015083E">
            <w:pPr>
              <w:spacing w:before="60" w:after="60" w:line="240" w:lineRule="auto"/>
              <w:jc w:val="center"/>
              <w:rPr>
                <w:sz w:val="18"/>
                <w:szCs w:val="18"/>
              </w:rPr>
            </w:pPr>
            <w:r w:rsidRPr="0015083E">
              <w:rPr>
                <w:sz w:val="18"/>
                <w:szCs w:val="18"/>
              </w:rPr>
              <w:t>55725</w:t>
            </w:r>
          </w:p>
        </w:tc>
        <w:tc>
          <w:tcPr>
            <w:tcW w:w="2164" w:type="dxa"/>
          </w:tcPr>
          <w:p w14:paraId="04807826" w14:textId="42B7FA37" w:rsidR="00CA2E5E" w:rsidRPr="0015083E" w:rsidRDefault="00CA2E5E" w:rsidP="0015083E">
            <w:pPr>
              <w:spacing w:before="60" w:after="60" w:line="240" w:lineRule="auto"/>
              <w:jc w:val="center"/>
              <w:rPr>
                <w:sz w:val="18"/>
                <w:szCs w:val="18"/>
              </w:rPr>
            </w:pPr>
            <w:r w:rsidRPr="0015083E">
              <w:rPr>
                <w:sz w:val="18"/>
                <w:szCs w:val="18"/>
              </w:rPr>
              <w:t>24.40</w:t>
            </w:r>
          </w:p>
        </w:tc>
      </w:tr>
      <w:tr w:rsidR="00CA2E5E" w:rsidRPr="00CA2E5E" w14:paraId="758E3968" w14:textId="77777777" w:rsidTr="00CA2E5E">
        <w:trPr>
          <w:trHeight w:val="383"/>
        </w:trPr>
        <w:tc>
          <w:tcPr>
            <w:tcW w:w="2164" w:type="dxa"/>
          </w:tcPr>
          <w:p w14:paraId="59C8EC62" w14:textId="7EF7C0D9" w:rsidR="00CA2E5E" w:rsidRPr="0015083E" w:rsidRDefault="00CA2E5E" w:rsidP="0015083E">
            <w:pPr>
              <w:spacing w:before="60" w:after="60" w:line="240" w:lineRule="auto"/>
              <w:jc w:val="center"/>
              <w:rPr>
                <w:sz w:val="18"/>
                <w:szCs w:val="18"/>
              </w:rPr>
            </w:pPr>
            <w:r w:rsidRPr="0015083E">
              <w:rPr>
                <w:sz w:val="18"/>
                <w:szCs w:val="18"/>
              </w:rPr>
              <w:t>55729</w:t>
            </w:r>
          </w:p>
        </w:tc>
        <w:tc>
          <w:tcPr>
            <w:tcW w:w="2164" w:type="dxa"/>
          </w:tcPr>
          <w:p w14:paraId="0C215388" w14:textId="113FF2A3" w:rsidR="00CA2E5E" w:rsidRPr="0015083E" w:rsidRDefault="00CA2E5E" w:rsidP="0015083E">
            <w:pPr>
              <w:spacing w:before="60" w:after="60" w:line="240" w:lineRule="auto"/>
              <w:jc w:val="center"/>
              <w:rPr>
                <w:sz w:val="18"/>
                <w:szCs w:val="18"/>
              </w:rPr>
            </w:pPr>
            <w:r w:rsidRPr="0015083E">
              <w:rPr>
                <w:sz w:val="18"/>
                <w:szCs w:val="18"/>
              </w:rPr>
              <w:t>18.40</w:t>
            </w:r>
          </w:p>
        </w:tc>
      </w:tr>
      <w:tr w:rsidR="00CA2E5E" w:rsidRPr="00CA2E5E" w14:paraId="35171F8D" w14:textId="77777777" w:rsidTr="00CA2E5E">
        <w:trPr>
          <w:trHeight w:val="383"/>
        </w:trPr>
        <w:tc>
          <w:tcPr>
            <w:tcW w:w="2164" w:type="dxa"/>
          </w:tcPr>
          <w:p w14:paraId="394F50E5" w14:textId="4844D3BA" w:rsidR="00CA2E5E" w:rsidRPr="0015083E" w:rsidRDefault="00CA2E5E" w:rsidP="0015083E">
            <w:pPr>
              <w:spacing w:before="60" w:after="60" w:line="240" w:lineRule="auto"/>
              <w:jc w:val="center"/>
              <w:rPr>
                <w:sz w:val="18"/>
                <w:szCs w:val="18"/>
              </w:rPr>
            </w:pPr>
            <w:r w:rsidRPr="0015083E">
              <w:rPr>
                <w:sz w:val="18"/>
                <w:szCs w:val="18"/>
              </w:rPr>
              <w:t>55762</w:t>
            </w:r>
          </w:p>
        </w:tc>
        <w:tc>
          <w:tcPr>
            <w:tcW w:w="2164" w:type="dxa"/>
          </w:tcPr>
          <w:p w14:paraId="32DF218E" w14:textId="5C9EFA71" w:rsidR="00CA2E5E" w:rsidRPr="0015083E" w:rsidRDefault="00CA2E5E" w:rsidP="0015083E">
            <w:pPr>
              <w:spacing w:before="60" w:after="60" w:line="240" w:lineRule="auto"/>
              <w:jc w:val="center"/>
              <w:rPr>
                <w:sz w:val="18"/>
                <w:szCs w:val="18"/>
              </w:rPr>
            </w:pPr>
            <w:r w:rsidRPr="0015083E">
              <w:rPr>
                <w:sz w:val="18"/>
                <w:szCs w:val="18"/>
              </w:rPr>
              <w:t>36.60</w:t>
            </w:r>
          </w:p>
        </w:tc>
      </w:tr>
      <w:tr w:rsidR="00CA2E5E" w:rsidRPr="00CA2E5E" w14:paraId="172F1784" w14:textId="77777777" w:rsidTr="00CA2E5E">
        <w:trPr>
          <w:trHeight w:val="390"/>
        </w:trPr>
        <w:tc>
          <w:tcPr>
            <w:tcW w:w="2164" w:type="dxa"/>
          </w:tcPr>
          <w:p w14:paraId="50B5AEC5" w14:textId="1661AFEF" w:rsidR="00CA2E5E" w:rsidRPr="0015083E" w:rsidRDefault="00CA2E5E" w:rsidP="0015083E">
            <w:pPr>
              <w:spacing w:before="60" w:after="60" w:line="240" w:lineRule="auto"/>
              <w:jc w:val="center"/>
              <w:rPr>
                <w:sz w:val="18"/>
                <w:szCs w:val="18"/>
              </w:rPr>
            </w:pPr>
            <w:r w:rsidRPr="0015083E">
              <w:rPr>
                <w:sz w:val="18"/>
                <w:szCs w:val="18"/>
              </w:rPr>
              <w:t>55764</w:t>
            </w:r>
          </w:p>
        </w:tc>
        <w:tc>
          <w:tcPr>
            <w:tcW w:w="2164" w:type="dxa"/>
          </w:tcPr>
          <w:p w14:paraId="64FE9F38" w14:textId="1731DAEC" w:rsidR="00CA2E5E" w:rsidRPr="0015083E" w:rsidRDefault="00CA2E5E" w:rsidP="0015083E">
            <w:pPr>
              <w:spacing w:before="60" w:after="60" w:line="240" w:lineRule="auto"/>
              <w:jc w:val="center"/>
              <w:rPr>
                <w:sz w:val="18"/>
                <w:szCs w:val="18"/>
              </w:rPr>
            </w:pPr>
            <w:r w:rsidRPr="0015083E">
              <w:rPr>
                <w:sz w:val="18"/>
                <w:szCs w:val="18"/>
              </w:rPr>
              <w:t>97.70</w:t>
            </w:r>
          </w:p>
        </w:tc>
      </w:tr>
      <w:tr w:rsidR="00CA2E5E" w:rsidRPr="00CA2E5E" w14:paraId="5CBA73A2" w14:textId="77777777" w:rsidTr="00CA2E5E">
        <w:trPr>
          <w:trHeight w:val="383"/>
        </w:trPr>
        <w:tc>
          <w:tcPr>
            <w:tcW w:w="2164" w:type="dxa"/>
          </w:tcPr>
          <w:p w14:paraId="079755F2" w14:textId="05FBE96B" w:rsidR="00CA2E5E" w:rsidRPr="0015083E" w:rsidRDefault="00CA2E5E" w:rsidP="0015083E">
            <w:pPr>
              <w:spacing w:before="60" w:after="60" w:line="240" w:lineRule="auto"/>
              <w:jc w:val="center"/>
              <w:rPr>
                <w:sz w:val="18"/>
                <w:szCs w:val="18"/>
              </w:rPr>
            </w:pPr>
            <w:r w:rsidRPr="0015083E">
              <w:rPr>
                <w:sz w:val="18"/>
                <w:szCs w:val="18"/>
              </w:rPr>
              <w:t>55766</w:t>
            </w:r>
          </w:p>
        </w:tc>
        <w:tc>
          <w:tcPr>
            <w:tcW w:w="2164" w:type="dxa"/>
          </w:tcPr>
          <w:p w14:paraId="53C8E307" w14:textId="7359A7A2" w:rsidR="00CA2E5E" w:rsidRPr="0015083E" w:rsidRDefault="00CA2E5E" w:rsidP="0015083E">
            <w:pPr>
              <w:spacing w:before="60" w:after="60" w:line="240" w:lineRule="auto"/>
              <w:jc w:val="center"/>
              <w:rPr>
                <w:sz w:val="18"/>
                <w:szCs w:val="18"/>
              </w:rPr>
            </w:pPr>
            <w:r w:rsidRPr="0015083E">
              <w:rPr>
                <w:sz w:val="18"/>
                <w:szCs w:val="18"/>
              </w:rPr>
              <w:t>36.60</w:t>
            </w:r>
          </w:p>
        </w:tc>
      </w:tr>
      <w:tr w:rsidR="00CA2E5E" w:rsidRPr="00CA2E5E" w14:paraId="1135BD6F" w14:textId="77777777" w:rsidTr="00CA2E5E">
        <w:trPr>
          <w:trHeight w:val="383"/>
        </w:trPr>
        <w:tc>
          <w:tcPr>
            <w:tcW w:w="2164" w:type="dxa"/>
          </w:tcPr>
          <w:p w14:paraId="51BA72AB" w14:textId="4BB8E59A" w:rsidR="00CA2E5E" w:rsidRPr="0015083E" w:rsidRDefault="00CA2E5E" w:rsidP="0015083E">
            <w:pPr>
              <w:spacing w:before="60" w:after="60" w:line="240" w:lineRule="auto"/>
              <w:jc w:val="center"/>
              <w:rPr>
                <w:sz w:val="18"/>
                <w:szCs w:val="18"/>
              </w:rPr>
            </w:pPr>
            <w:r w:rsidRPr="0015083E">
              <w:rPr>
                <w:sz w:val="18"/>
                <w:szCs w:val="18"/>
              </w:rPr>
              <w:t>55768</w:t>
            </w:r>
          </w:p>
        </w:tc>
        <w:tc>
          <w:tcPr>
            <w:tcW w:w="2164" w:type="dxa"/>
          </w:tcPr>
          <w:p w14:paraId="78CDFB7C" w14:textId="1F9B8523" w:rsidR="00CA2E5E" w:rsidRPr="0015083E" w:rsidRDefault="00CA2E5E" w:rsidP="0015083E">
            <w:pPr>
              <w:spacing w:before="60" w:after="60" w:line="240" w:lineRule="auto"/>
              <w:jc w:val="center"/>
              <w:rPr>
                <w:sz w:val="18"/>
                <w:szCs w:val="18"/>
              </w:rPr>
            </w:pPr>
            <w:r w:rsidRPr="0015083E">
              <w:rPr>
                <w:sz w:val="18"/>
                <w:szCs w:val="18"/>
              </w:rPr>
              <w:t>91.70</w:t>
            </w:r>
          </w:p>
        </w:tc>
      </w:tr>
      <w:tr w:rsidR="00CA2E5E" w:rsidRPr="00CA2E5E" w14:paraId="2F67DBC5" w14:textId="77777777" w:rsidTr="00CA2E5E">
        <w:trPr>
          <w:trHeight w:val="390"/>
        </w:trPr>
        <w:tc>
          <w:tcPr>
            <w:tcW w:w="2164" w:type="dxa"/>
          </w:tcPr>
          <w:p w14:paraId="422B8E66" w14:textId="74ED36F8" w:rsidR="00CA2E5E" w:rsidRPr="0015083E" w:rsidRDefault="00CA2E5E" w:rsidP="0015083E">
            <w:pPr>
              <w:spacing w:before="60" w:after="60" w:line="240" w:lineRule="auto"/>
              <w:jc w:val="center"/>
              <w:rPr>
                <w:sz w:val="18"/>
                <w:szCs w:val="18"/>
              </w:rPr>
            </w:pPr>
            <w:r w:rsidRPr="0015083E">
              <w:rPr>
                <w:sz w:val="18"/>
                <w:szCs w:val="18"/>
              </w:rPr>
              <w:t>55770</w:t>
            </w:r>
          </w:p>
        </w:tc>
        <w:tc>
          <w:tcPr>
            <w:tcW w:w="2164" w:type="dxa"/>
          </w:tcPr>
          <w:p w14:paraId="1C02B85F" w14:textId="73DEB777" w:rsidR="00CA2E5E" w:rsidRPr="0015083E" w:rsidRDefault="00CA2E5E" w:rsidP="0015083E">
            <w:pPr>
              <w:spacing w:before="60" w:after="60" w:line="240" w:lineRule="auto"/>
              <w:jc w:val="center"/>
              <w:rPr>
                <w:sz w:val="18"/>
                <w:szCs w:val="18"/>
              </w:rPr>
            </w:pPr>
            <w:r w:rsidRPr="0015083E">
              <w:rPr>
                <w:sz w:val="18"/>
                <w:szCs w:val="18"/>
              </w:rPr>
              <w:t>36.60</w:t>
            </w:r>
          </w:p>
        </w:tc>
      </w:tr>
      <w:tr w:rsidR="00CA2E5E" w:rsidRPr="00CA2E5E" w14:paraId="0DA88C29" w14:textId="77777777" w:rsidTr="00CA2E5E">
        <w:trPr>
          <w:trHeight w:val="383"/>
        </w:trPr>
        <w:tc>
          <w:tcPr>
            <w:tcW w:w="2164" w:type="dxa"/>
          </w:tcPr>
          <w:p w14:paraId="7CCC5ABB" w14:textId="1E908BF1" w:rsidR="00CA2E5E" w:rsidRPr="0015083E" w:rsidRDefault="00CA2E5E" w:rsidP="0015083E">
            <w:pPr>
              <w:spacing w:before="60" w:after="60" w:line="240" w:lineRule="auto"/>
              <w:jc w:val="center"/>
              <w:rPr>
                <w:sz w:val="18"/>
                <w:szCs w:val="18"/>
              </w:rPr>
            </w:pPr>
            <w:r w:rsidRPr="0015083E">
              <w:rPr>
                <w:sz w:val="18"/>
                <w:szCs w:val="18"/>
              </w:rPr>
              <w:t>55772</w:t>
            </w:r>
          </w:p>
        </w:tc>
        <w:tc>
          <w:tcPr>
            <w:tcW w:w="2164" w:type="dxa"/>
          </w:tcPr>
          <w:p w14:paraId="46C1A375" w14:textId="014B8701" w:rsidR="00CA2E5E" w:rsidRPr="0015083E" w:rsidRDefault="00CA2E5E" w:rsidP="0015083E">
            <w:pPr>
              <w:spacing w:before="60" w:after="60" w:line="240" w:lineRule="auto"/>
              <w:jc w:val="center"/>
              <w:rPr>
                <w:sz w:val="18"/>
                <w:szCs w:val="18"/>
              </w:rPr>
            </w:pPr>
            <w:r w:rsidRPr="0015083E">
              <w:rPr>
                <w:sz w:val="18"/>
                <w:szCs w:val="18"/>
              </w:rPr>
              <w:t>97.70</w:t>
            </w:r>
          </w:p>
        </w:tc>
      </w:tr>
      <w:tr w:rsidR="00CA2E5E" w:rsidRPr="00CA2E5E" w14:paraId="52A56E1F" w14:textId="77777777" w:rsidTr="00CA2E5E">
        <w:trPr>
          <w:trHeight w:val="383"/>
        </w:trPr>
        <w:tc>
          <w:tcPr>
            <w:tcW w:w="2164" w:type="dxa"/>
          </w:tcPr>
          <w:p w14:paraId="4A7EFB84" w14:textId="4D6C0173" w:rsidR="00CA2E5E" w:rsidRPr="0015083E" w:rsidRDefault="00CA2E5E" w:rsidP="0015083E">
            <w:pPr>
              <w:spacing w:before="60" w:after="60" w:line="240" w:lineRule="auto"/>
              <w:jc w:val="center"/>
              <w:rPr>
                <w:sz w:val="18"/>
                <w:szCs w:val="18"/>
              </w:rPr>
            </w:pPr>
            <w:r w:rsidRPr="0015083E">
              <w:rPr>
                <w:sz w:val="18"/>
                <w:szCs w:val="18"/>
              </w:rPr>
              <w:t>55774</w:t>
            </w:r>
          </w:p>
        </w:tc>
        <w:tc>
          <w:tcPr>
            <w:tcW w:w="2164" w:type="dxa"/>
          </w:tcPr>
          <w:p w14:paraId="0483E2EE" w14:textId="0A93C079" w:rsidR="00CA2E5E" w:rsidRPr="0015083E" w:rsidRDefault="00CA2E5E" w:rsidP="0015083E">
            <w:pPr>
              <w:spacing w:before="60" w:after="60" w:line="240" w:lineRule="auto"/>
              <w:jc w:val="center"/>
              <w:rPr>
                <w:sz w:val="18"/>
                <w:szCs w:val="18"/>
              </w:rPr>
            </w:pPr>
            <w:r w:rsidRPr="0015083E">
              <w:rPr>
                <w:sz w:val="18"/>
                <w:szCs w:val="18"/>
              </w:rPr>
              <w:t>42.80</w:t>
            </w:r>
          </w:p>
        </w:tc>
      </w:tr>
    </w:tbl>
    <w:p w14:paraId="779DAFC3" w14:textId="0F610551" w:rsidR="00144BB2" w:rsidRDefault="00144BB2" w:rsidP="00144BB2">
      <w:pPr>
        <w:pStyle w:val="Heading2"/>
      </w:pPr>
      <w:r>
        <w:t xml:space="preserve">Why are the </w:t>
      </w:r>
      <w:r w:rsidRPr="003D1E9C">
        <w:t>changes</w:t>
      </w:r>
      <w:r>
        <w:t xml:space="preserve"> being made?</w:t>
      </w:r>
    </w:p>
    <w:p w14:paraId="47C2F28A" w14:textId="4444A607" w:rsidR="0015083E" w:rsidRDefault="0015083E" w:rsidP="00313C58">
      <w:pPr>
        <w:spacing w:after="0" w:line="240" w:lineRule="auto"/>
        <w:rPr>
          <w:bCs/>
          <w:szCs w:val="22"/>
        </w:rPr>
      </w:pPr>
      <w:r>
        <w:rPr>
          <w:bCs/>
          <w:szCs w:val="22"/>
        </w:rPr>
        <w:t xml:space="preserve">The six new ultrasound items were introduced to the MBS on 1 November 2022 and the application of EMSN caps to the items maintains consistency with existing capped ultrasound items. </w:t>
      </w:r>
    </w:p>
    <w:p w14:paraId="5E30DE60" w14:textId="141925C1" w:rsidR="0015083E" w:rsidRDefault="0015083E" w:rsidP="00313C58">
      <w:pPr>
        <w:spacing w:after="0" w:line="240" w:lineRule="auto"/>
        <w:rPr>
          <w:bCs/>
          <w:szCs w:val="22"/>
        </w:rPr>
      </w:pPr>
      <w:r>
        <w:rPr>
          <w:bCs/>
          <w:szCs w:val="22"/>
        </w:rPr>
        <w:t>The EMSN cap amounts are indexed on 1 January each year.</w:t>
      </w:r>
    </w:p>
    <w:p w14:paraId="2E41EF7A" w14:textId="4C029238" w:rsidR="00144BB2" w:rsidRDefault="00144BB2" w:rsidP="00144BB2">
      <w:pPr>
        <w:pStyle w:val="Heading2"/>
      </w:pPr>
      <w:r>
        <w:t>What does this mean for providers of diagnostic imaging services?</w:t>
      </w:r>
    </w:p>
    <w:p w14:paraId="38478B30" w14:textId="70309576" w:rsidR="00837AAD" w:rsidRDefault="00837AAD" w:rsidP="00144BB2">
      <w:r>
        <w:t xml:space="preserve">Providers </w:t>
      </w:r>
      <w:r w:rsidR="000C56E2">
        <w:t xml:space="preserve">should be aware of the EMSN benefit caps applying to these MBS ultrasound items. </w:t>
      </w:r>
    </w:p>
    <w:p w14:paraId="3CBB1047" w14:textId="77777777" w:rsidR="00144BB2" w:rsidRDefault="00144BB2" w:rsidP="00144BB2">
      <w:pPr>
        <w:pStyle w:val="Heading2"/>
      </w:pPr>
      <w:r>
        <w:t>How will these changes affect patients</w:t>
      </w:r>
      <w:r w:rsidRPr="001A7FB7">
        <w:t>?</w:t>
      </w:r>
    </w:p>
    <w:p w14:paraId="5577DE74" w14:textId="508ED9AF" w:rsidR="005E7809" w:rsidRDefault="005E7809" w:rsidP="00481928">
      <w:pPr>
        <w:shd w:val="clear" w:color="auto" w:fill="FFFFFF"/>
        <w:spacing w:before="240" w:after="240" w:line="300" w:lineRule="atLeast"/>
        <w:rPr>
          <w:rFonts w:cs="Arial"/>
          <w:color w:val="222222"/>
          <w:szCs w:val="22"/>
          <w:lang w:eastAsia="en-AU"/>
        </w:rPr>
      </w:pPr>
      <w:r>
        <w:rPr>
          <w:rFonts w:cs="Arial"/>
          <w:color w:val="222222"/>
          <w:szCs w:val="22"/>
          <w:lang w:eastAsia="en-AU"/>
        </w:rPr>
        <w:t xml:space="preserve">The </w:t>
      </w:r>
      <w:r w:rsidR="00481928" w:rsidRPr="00481928">
        <w:rPr>
          <w:rFonts w:cs="Arial"/>
          <w:color w:val="222222"/>
          <w:szCs w:val="22"/>
          <w:lang w:eastAsia="en-AU"/>
        </w:rPr>
        <w:t xml:space="preserve">EMSN </w:t>
      </w:r>
      <w:r>
        <w:rPr>
          <w:rFonts w:cs="Arial"/>
          <w:color w:val="222222"/>
          <w:szCs w:val="22"/>
          <w:lang w:eastAsia="en-AU"/>
        </w:rPr>
        <w:t xml:space="preserve">provides an </w:t>
      </w:r>
      <w:r w:rsidR="00312DCD">
        <w:rPr>
          <w:rFonts w:cs="Arial"/>
          <w:color w:val="222222"/>
          <w:szCs w:val="22"/>
          <w:lang w:eastAsia="en-AU"/>
        </w:rPr>
        <w:t>additional benefit</w:t>
      </w:r>
      <w:r>
        <w:rPr>
          <w:rFonts w:cs="Arial"/>
          <w:color w:val="222222"/>
          <w:szCs w:val="22"/>
          <w:lang w:eastAsia="en-AU"/>
        </w:rPr>
        <w:t xml:space="preserve"> for eligible out-of-hospital services once an annual threshold of out-of-pocket costs is reached. A small number of MBS services have a cap on the amount of benefit payable under the EMSN arrangements.</w:t>
      </w:r>
    </w:p>
    <w:p w14:paraId="309D0728" w14:textId="1E99F870" w:rsidR="0064644F" w:rsidRDefault="00312DCD" w:rsidP="00481928">
      <w:pPr>
        <w:shd w:val="clear" w:color="auto" w:fill="FFFFFF"/>
        <w:spacing w:before="240" w:after="240" w:line="300" w:lineRule="atLeast"/>
        <w:rPr>
          <w:rFonts w:cs="Arial"/>
          <w:color w:val="222222"/>
          <w:szCs w:val="22"/>
          <w:lang w:eastAsia="en-AU"/>
        </w:rPr>
      </w:pPr>
      <w:r>
        <w:rPr>
          <w:rFonts w:cs="Arial"/>
          <w:color w:val="222222"/>
          <w:szCs w:val="22"/>
          <w:lang w:eastAsia="en-AU"/>
        </w:rPr>
        <w:t>If a patient has reached the EMSN threshold and claims one of the listed capped ultrasound items, they will receive the standard Medicare rebate and an EMSN benefit, up to the amount of the EMSN cap, for the item.</w:t>
      </w:r>
    </w:p>
    <w:p w14:paraId="13DC98BD" w14:textId="77777777" w:rsidR="008B0A83" w:rsidRDefault="008B0A83" w:rsidP="00481928">
      <w:pPr>
        <w:shd w:val="clear" w:color="auto" w:fill="FFFFFF"/>
        <w:spacing w:before="240" w:after="240" w:line="300" w:lineRule="atLeast"/>
        <w:rPr>
          <w:rFonts w:cs="Arial"/>
          <w:color w:val="222222"/>
          <w:szCs w:val="22"/>
          <w:lang w:eastAsia="en-AU"/>
        </w:rPr>
      </w:pPr>
    </w:p>
    <w:p w14:paraId="27C8BE96" w14:textId="77777777" w:rsidR="00144BB2" w:rsidRDefault="00144BB2" w:rsidP="00144BB2">
      <w:pPr>
        <w:pStyle w:val="Heading2"/>
      </w:pPr>
      <w:r>
        <w:lastRenderedPageBreak/>
        <w:t>Where can I find more information?</w:t>
      </w:r>
    </w:p>
    <w:p w14:paraId="2B344727" w14:textId="5A7D25B5" w:rsidR="003A6763" w:rsidRPr="004D57D3" w:rsidRDefault="003A6763" w:rsidP="00144BB2">
      <w:pPr>
        <w:rPr>
          <w:color w:val="0000FF"/>
          <w:szCs w:val="22"/>
        </w:rPr>
      </w:pPr>
      <w:r>
        <w:rPr>
          <w:szCs w:val="22"/>
        </w:rPr>
        <w:t xml:space="preserve">Information on the EMSN can be found </w:t>
      </w:r>
      <w:r w:rsidR="0064644F">
        <w:rPr>
          <w:szCs w:val="22"/>
        </w:rPr>
        <w:t>on</w:t>
      </w:r>
      <w:r>
        <w:rPr>
          <w:szCs w:val="22"/>
        </w:rPr>
        <w:t xml:space="preserve"> the Department’s website at </w:t>
      </w:r>
      <w:hyperlink r:id="rId8" w:history="1">
        <w:r w:rsidRPr="004D57D3">
          <w:rPr>
            <w:rStyle w:val="Hyperlink"/>
            <w:color w:val="0000FF"/>
            <w:szCs w:val="22"/>
          </w:rPr>
          <w:t>www.health.gov.au</w:t>
        </w:r>
      </w:hyperlink>
      <w:r w:rsidRPr="004D57D3">
        <w:rPr>
          <w:color w:val="0000FF"/>
          <w:szCs w:val="22"/>
        </w:rPr>
        <w:t>.</w:t>
      </w:r>
    </w:p>
    <w:p w14:paraId="3F131C35" w14:textId="77777777" w:rsidR="004D57D3" w:rsidRPr="00867595" w:rsidRDefault="004D57D3" w:rsidP="004D57D3">
      <w:pPr>
        <w:rPr>
          <w:szCs w:val="22"/>
        </w:rPr>
      </w:pPr>
      <w:r w:rsidRPr="00867595">
        <w:rPr>
          <w:szCs w:val="22"/>
        </w:rPr>
        <w:t xml:space="preserve">The full item descriptor(s)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5B2DEF26" w14:textId="77777777" w:rsidR="004D57D3" w:rsidRDefault="004D57D3" w:rsidP="004D57D3">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0C3C731A" w14:textId="4F7C32F3" w:rsidR="004D57D3" w:rsidRDefault="004D57D3" w:rsidP="004D57D3">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4" w:history="1">
        <w:r w:rsidRPr="005E2D76">
          <w:rPr>
            <w:rStyle w:val="Hyperlink"/>
            <w:iCs/>
          </w:rPr>
          <w:t>Federal Register of Legislation</w:t>
        </w:r>
      </w:hyperlink>
      <w:r>
        <w:t xml:space="preserve">. If you have a query in relation to private health insurance, you should email </w:t>
      </w:r>
      <w:hyperlink r:id="rId15" w:history="1">
        <w:r>
          <w:rPr>
            <w:rStyle w:val="Hyperlink"/>
          </w:rPr>
          <w:t>PHI@health.gov.au</w:t>
        </w:r>
      </w:hyperlink>
      <w:r>
        <w:t>.</w:t>
      </w:r>
    </w:p>
    <w:p w14:paraId="06186E50" w14:textId="77777777" w:rsidR="004D57D3" w:rsidRPr="00867595" w:rsidRDefault="004D57D3" w:rsidP="004D57D3">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724C9993" w14:textId="77777777" w:rsidR="004D57D3" w:rsidRDefault="004D57D3" w:rsidP="004D57D3">
      <w:pPr>
        <w:rPr>
          <w:szCs w:val="22"/>
        </w:rPr>
      </w:pPr>
      <w:r w:rsidRPr="00867595">
        <w:rPr>
          <w:szCs w:val="22"/>
        </w:rPr>
        <w:t xml:space="preserve">If you are seeking advice in relation to Medicare billing, claiming, payments, or obtaining a provider number, please </w:t>
      </w:r>
      <w:bookmarkStart w:id="0" w:name="_Hlk7773414"/>
      <w:r w:rsidRPr="00867595">
        <w:rPr>
          <w:szCs w:val="22"/>
        </w:rPr>
        <w:t xml:space="preserve">go to the Health Professionals page on the Services Australia website or </w:t>
      </w:r>
      <w:bookmarkEnd w:id="0"/>
      <w:r w:rsidRPr="00867595">
        <w:rPr>
          <w:szCs w:val="22"/>
        </w:rPr>
        <w:t xml:space="preserve">contact the Services Australia on the Provider Enquiry Line – 13 21 50. </w:t>
      </w:r>
    </w:p>
    <w:p w14:paraId="7FAC842D" w14:textId="77777777" w:rsidR="004D57D3" w:rsidRPr="00867595" w:rsidRDefault="004D57D3" w:rsidP="004D57D3">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6571A953" w14:textId="77777777" w:rsidR="004D57D3" w:rsidRPr="004D57D3" w:rsidRDefault="004D57D3" w:rsidP="004D57D3">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4D57D3">
        <w:rPr>
          <w:rFonts w:eastAsiaTheme="minorEastAsia" w:cstheme="minorBidi"/>
          <w:b/>
          <w:color w:val="auto"/>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479B4C3" w14:textId="77777777" w:rsidR="004D57D3" w:rsidRPr="004D57D3" w:rsidRDefault="004D57D3" w:rsidP="004D57D3">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4D57D3">
        <w:rPr>
          <w:rFonts w:eastAsiaTheme="minorEastAsia" w:cstheme="minorBidi"/>
          <w:b/>
          <w:color w:val="auto"/>
          <w:sz w:val="16"/>
          <w:szCs w:val="16"/>
        </w:rPr>
        <w:t>This sheet is current as of the Last updated date shown above and does not account for MBS changes since that date.</w:t>
      </w:r>
    </w:p>
    <w:p w14:paraId="5C685DE1" w14:textId="114647A2" w:rsidR="00144BB2" w:rsidRDefault="00144BB2" w:rsidP="00144BB2"/>
    <w:p w14:paraId="5036BFB5" w14:textId="5F6562E3" w:rsidR="000C56E2" w:rsidRDefault="000C56E2" w:rsidP="00144BB2"/>
    <w:p w14:paraId="4F8F7A07" w14:textId="4E493708" w:rsidR="000C56E2" w:rsidRDefault="000C56E2" w:rsidP="00144BB2"/>
    <w:p w14:paraId="69D11B99" w14:textId="161CB9CA" w:rsidR="000C56E2" w:rsidRDefault="000C56E2" w:rsidP="00144BB2"/>
    <w:p w14:paraId="18086174" w14:textId="148F673A" w:rsidR="000C56E2" w:rsidRDefault="000C56E2" w:rsidP="00144BB2"/>
    <w:p w14:paraId="40B97072" w14:textId="77777777" w:rsidR="000C56E2" w:rsidRDefault="000C56E2" w:rsidP="00144BB2"/>
    <w:p w14:paraId="66206932" w14:textId="77777777" w:rsidR="00144BB2" w:rsidRDefault="00144BB2" w:rsidP="00144BB2">
      <w:pPr>
        <w:pStyle w:val="Disclaimer"/>
        <w:ind w:left="0"/>
      </w:pPr>
    </w:p>
    <w:p w14:paraId="2F0FF605" w14:textId="50F7694C" w:rsidR="000F3615" w:rsidRPr="000C56E2" w:rsidRDefault="000F3615" w:rsidP="000C56E2">
      <w:pPr>
        <w:spacing w:before="0" w:after="0" w:line="240" w:lineRule="auto"/>
        <w:rPr>
          <w:rFonts w:eastAsiaTheme="minorEastAsia" w:cstheme="minorBidi"/>
          <w:i/>
          <w:color w:val="auto"/>
          <w:sz w:val="16"/>
          <w:szCs w:val="16"/>
        </w:rPr>
      </w:pPr>
    </w:p>
    <w:sectPr w:rsidR="000F3615" w:rsidRPr="000C56E2" w:rsidSect="00B53987">
      <w:headerReference w:type="default"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4466" w14:textId="77777777" w:rsidR="00FF3195" w:rsidRDefault="00FF3195" w:rsidP="006B56BB">
      <w:r>
        <w:separator/>
      </w:r>
    </w:p>
    <w:p w14:paraId="2E7CC7D6" w14:textId="77777777" w:rsidR="00FF3195" w:rsidRDefault="00FF3195"/>
  </w:endnote>
  <w:endnote w:type="continuationSeparator" w:id="0">
    <w:p w14:paraId="391233A7" w14:textId="77777777" w:rsidR="00FF3195" w:rsidRDefault="00FF3195" w:rsidP="006B56BB">
      <w:r>
        <w:continuationSeparator/>
      </w:r>
    </w:p>
    <w:p w14:paraId="0A545D52" w14:textId="77777777" w:rsidR="00FF3195" w:rsidRDefault="00FF3195"/>
  </w:endnote>
  <w:endnote w:type="continuationNotice" w:id="1">
    <w:p w14:paraId="711A8AD0" w14:textId="77777777" w:rsidR="00FF3195" w:rsidRDefault="00FF3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C4D5" w14:textId="4AAF7C38" w:rsidR="00167DF7" w:rsidRDefault="00AF38FA" w:rsidP="00167DF7">
    <w:pPr>
      <w:pStyle w:val="Footer"/>
      <w:jc w:val="left"/>
    </w:pPr>
    <w:r>
      <w:rPr>
        <w:rStyle w:val="BookTitle"/>
        <w:rFonts w:eastAsiaTheme="minorEastAsia"/>
        <w:noProof/>
      </w:rPr>
      <w:pict w14:anchorId="79578A0C">
        <v:rect id="_x0000_i1025" style="width:523.3pt;height:1.9pt" o:hralign="center" o:hrstd="t" o:hr="t" fillcolor="#a0a0a0" stroked="f"/>
      </w:pict>
    </w:r>
    <w:r w:rsidR="00167DF7">
      <w:t>Medicare Benefits Schedule</w:t>
    </w:r>
  </w:p>
  <w:p w14:paraId="015C7946" w14:textId="1B5FA240" w:rsidR="00A05898" w:rsidRDefault="00A05898" w:rsidP="00A05898">
    <w:pPr>
      <w:pStyle w:val="Footer"/>
      <w:tabs>
        <w:tab w:val="clear" w:pos="9026"/>
        <w:tab w:val="right" w:pos="10466"/>
      </w:tabs>
      <w:jc w:val="left"/>
    </w:pPr>
    <w:r>
      <w:rPr>
        <w:b/>
      </w:rPr>
      <w:t xml:space="preserve">Extended Medicare Safety Net </w:t>
    </w:r>
    <w:r w:rsidR="0064644F">
      <w:rPr>
        <w:b/>
      </w:rPr>
      <w:t xml:space="preserve">(EMSN) </w:t>
    </w:r>
    <w:r>
      <w:rPr>
        <w:b/>
      </w:rPr>
      <w:t xml:space="preserve">caps </w:t>
    </w:r>
    <w:r w:rsidR="0064644F">
      <w:rPr>
        <w:b/>
      </w:rPr>
      <w:t>on</w:t>
    </w:r>
    <w:r>
      <w:rPr>
        <w:b/>
      </w:rPr>
      <w:t xml:space="preserve"> new ultrasound items</w:t>
    </w:r>
  </w:p>
  <w:p w14:paraId="53A52B4D" w14:textId="77777777" w:rsidR="00A05898" w:rsidRDefault="00AF38FA" w:rsidP="00A05898">
    <w:pPr>
      <w:pStyle w:val="Footer"/>
      <w:jc w:val="left"/>
      <w:rPr>
        <w:rStyle w:val="Hyperlink"/>
        <w:szCs w:val="18"/>
      </w:rPr>
    </w:pPr>
    <w:hyperlink r:id="rId1" w:history="1">
      <w:r w:rsidR="00A05898" w:rsidRPr="00E863C4">
        <w:rPr>
          <w:rStyle w:val="Hyperlink"/>
          <w:szCs w:val="18"/>
        </w:rPr>
        <w:t>MBS Online</w:t>
      </w:r>
    </w:hyperlink>
  </w:p>
  <w:p w14:paraId="027AFDA6" w14:textId="60127F8C" w:rsidR="00A05898" w:rsidRPr="009B32BA" w:rsidRDefault="00A05898" w:rsidP="00A05898">
    <w:pPr>
      <w:pStyle w:val="Footer"/>
      <w:jc w:val="left"/>
      <w:rPr>
        <w:szCs w:val="18"/>
      </w:rPr>
    </w:pPr>
    <w:r w:rsidRPr="006F188F">
      <w:t xml:space="preserve">Last updated – </w:t>
    </w:r>
    <w:r w:rsidR="0064644F">
      <w:t>2</w:t>
    </w:r>
    <w:r w:rsidR="00967FE7">
      <w:t>5</w:t>
    </w:r>
    <w:r>
      <w:t xml:space="preserve"> November</w:t>
    </w:r>
    <w:r w:rsidRPr="006F188F">
      <w:t xml:space="preserve"> 2022</w:t>
    </w:r>
  </w:p>
  <w:p w14:paraId="4D2AE33D" w14:textId="77777777" w:rsidR="00A05898" w:rsidRDefault="00A05898" w:rsidP="00167DF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AF38FA"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5DDCA137" w:rsidR="00064168" w:rsidRDefault="00A05898" w:rsidP="00167DF7">
    <w:pPr>
      <w:pStyle w:val="Footer"/>
      <w:tabs>
        <w:tab w:val="clear" w:pos="9026"/>
        <w:tab w:val="right" w:pos="10466"/>
      </w:tabs>
      <w:jc w:val="left"/>
    </w:pPr>
    <w:r>
      <w:rPr>
        <w:b/>
      </w:rPr>
      <w:t>Extended Medicare Safety Net caps for new ultrasound items</w:t>
    </w:r>
  </w:p>
  <w:p w14:paraId="3821CA3D" w14:textId="77777777" w:rsidR="00064168" w:rsidRDefault="00AF38FA" w:rsidP="00064168">
    <w:pPr>
      <w:pStyle w:val="Footer"/>
      <w:jc w:val="left"/>
      <w:rPr>
        <w:rStyle w:val="Hyperlink"/>
        <w:szCs w:val="18"/>
      </w:rPr>
    </w:pPr>
    <w:hyperlink r:id="rId1" w:history="1">
      <w:r w:rsidR="00064168" w:rsidRPr="00E863C4">
        <w:rPr>
          <w:rStyle w:val="Hyperlink"/>
          <w:szCs w:val="18"/>
        </w:rPr>
        <w:t>MBS Online</w:t>
      </w:r>
    </w:hyperlink>
  </w:p>
  <w:p w14:paraId="79DAB68D" w14:textId="40B3FCA5" w:rsidR="000B3E64" w:rsidRPr="009B32BA" w:rsidRDefault="00167DF7" w:rsidP="000B3E64">
    <w:pPr>
      <w:pStyle w:val="Footer"/>
      <w:jc w:val="left"/>
      <w:rPr>
        <w:szCs w:val="18"/>
      </w:rPr>
    </w:pPr>
    <w:r w:rsidRPr="006F188F">
      <w:t>Last updated</w:t>
    </w:r>
    <w:r w:rsidR="000B3E64" w:rsidRPr="006F188F">
      <w:t xml:space="preserve"> – </w:t>
    </w:r>
    <w:r w:rsidR="00967FE7">
      <w:t xml:space="preserve">25 </w:t>
    </w:r>
    <w:r w:rsidR="00A05898">
      <w:t>November</w:t>
    </w:r>
    <w:r w:rsidR="000B3E64" w:rsidRPr="006F188F">
      <w:t xml:space="preserve">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227D" w14:textId="77777777" w:rsidR="00FF3195" w:rsidRDefault="00FF3195" w:rsidP="006B56BB">
      <w:r>
        <w:separator/>
      </w:r>
    </w:p>
    <w:p w14:paraId="37FCF804" w14:textId="77777777" w:rsidR="00FF3195" w:rsidRDefault="00FF3195"/>
  </w:footnote>
  <w:footnote w:type="continuationSeparator" w:id="0">
    <w:p w14:paraId="2EFD0B55" w14:textId="77777777" w:rsidR="00FF3195" w:rsidRDefault="00FF3195" w:rsidP="006B56BB">
      <w:r>
        <w:continuationSeparator/>
      </w:r>
    </w:p>
    <w:p w14:paraId="3CA88FB9" w14:textId="77777777" w:rsidR="00FF3195" w:rsidRDefault="00FF3195"/>
  </w:footnote>
  <w:footnote w:type="continuationNotice" w:id="1">
    <w:p w14:paraId="4301DB17" w14:textId="77777777" w:rsidR="00FF3195" w:rsidRDefault="00FF3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02E79A2"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69BD2B7E"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A7CFE"/>
    <w:multiLevelType w:val="hybridMultilevel"/>
    <w:tmpl w:val="037295A6"/>
    <w:lvl w:ilvl="0" w:tplc="735AB9DC">
      <w:start w:val="1"/>
      <w:numFmt w:val="bullet"/>
      <w:lvlText w:val=""/>
      <w:lvlJc w:val="left"/>
      <w:pPr>
        <w:ind w:left="360" w:hanging="360"/>
      </w:pPr>
      <w:rPr>
        <w:rFonts w:ascii="Symbol" w:hAnsi="Symbol" w:hint="default"/>
        <w:color w:val="3F4A75" w:themeColor="text2"/>
      </w:rPr>
    </w:lvl>
    <w:lvl w:ilvl="1" w:tplc="0C09000B">
      <w:start w:val="1"/>
      <w:numFmt w:val="bullet"/>
      <w:lvlText w:val=""/>
      <w:lvlJc w:val="left"/>
      <w:pPr>
        <w:ind w:left="1440" w:hanging="360"/>
      </w:pPr>
      <w:rPr>
        <w:rFonts w:ascii="Wingdings" w:hAnsi="Wingdings"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E0796"/>
    <w:multiLevelType w:val="hybridMultilevel"/>
    <w:tmpl w:val="657A7A92"/>
    <w:lvl w:ilvl="0" w:tplc="D7CC44FE">
      <w:start w:val="1"/>
      <w:numFmt w:val="bullet"/>
      <w:pStyle w:val="Recommenda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380F49"/>
    <w:multiLevelType w:val="hybridMultilevel"/>
    <w:tmpl w:val="21EEF91E"/>
    <w:lvl w:ilvl="0" w:tplc="D3E200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6A2129"/>
    <w:multiLevelType w:val="hybridMultilevel"/>
    <w:tmpl w:val="95C07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C1D47358"/>
    <w:lvl w:ilvl="0" w:tplc="99502690">
      <w:start w:val="1"/>
      <w:numFmt w:val="bullet"/>
      <w:pStyle w:val="ListBullet"/>
      <w:lvlText w:val=""/>
      <w:lvlJc w:val="left"/>
      <w:pPr>
        <w:ind w:left="36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E678C9"/>
    <w:multiLevelType w:val="hybridMultilevel"/>
    <w:tmpl w:val="F04A0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3C5C71"/>
    <w:multiLevelType w:val="hybridMultilevel"/>
    <w:tmpl w:val="5494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B00DD"/>
    <w:multiLevelType w:val="hybridMultilevel"/>
    <w:tmpl w:val="0310B66C"/>
    <w:lvl w:ilvl="0" w:tplc="47B0B0A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302D3"/>
    <w:multiLevelType w:val="hybridMultilevel"/>
    <w:tmpl w:val="FAA4EF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CF7708"/>
    <w:multiLevelType w:val="hybridMultilevel"/>
    <w:tmpl w:val="7D6ABDB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3879F9"/>
    <w:multiLevelType w:val="hybridMultilevel"/>
    <w:tmpl w:val="1EE6B13A"/>
    <w:lvl w:ilvl="0" w:tplc="99D2AAF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445835A4"/>
    <w:multiLevelType w:val="hybridMultilevel"/>
    <w:tmpl w:val="39FA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3E0504"/>
    <w:multiLevelType w:val="hybridMultilevel"/>
    <w:tmpl w:val="E690BB4A"/>
    <w:lvl w:ilvl="0" w:tplc="4F46C1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DF44FE"/>
    <w:multiLevelType w:val="hybridMultilevel"/>
    <w:tmpl w:val="FD847446"/>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89D5983"/>
    <w:multiLevelType w:val="hybridMultilevel"/>
    <w:tmpl w:val="6368142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FC7DD1"/>
    <w:multiLevelType w:val="multilevel"/>
    <w:tmpl w:val="2FD2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9467AB"/>
    <w:multiLevelType w:val="hybridMultilevel"/>
    <w:tmpl w:val="9D30C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5700A8"/>
    <w:multiLevelType w:val="hybridMultilevel"/>
    <w:tmpl w:val="B90C7524"/>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556591"/>
    <w:multiLevelType w:val="hybridMultilevel"/>
    <w:tmpl w:val="74485580"/>
    <w:lvl w:ilvl="0" w:tplc="D3E200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753AD3"/>
    <w:multiLevelType w:val="hybridMultilevel"/>
    <w:tmpl w:val="4D94C0A6"/>
    <w:lvl w:ilvl="0" w:tplc="0C090019">
      <w:start w:val="1"/>
      <w:numFmt w:val="lowerLetter"/>
      <w:lvlText w:val="%1."/>
      <w:lvlJc w:val="left"/>
      <w:pPr>
        <w:ind w:left="720" w:hanging="360"/>
      </w:pPr>
    </w:lvl>
    <w:lvl w:ilvl="1" w:tplc="0342518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A8047F"/>
    <w:multiLevelType w:val="hybridMultilevel"/>
    <w:tmpl w:val="6E44C4E4"/>
    <w:lvl w:ilvl="0" w:tplc="1C426374">
      <w:start w:val="1"/>
      <w:numFmt w:val="decimal"/>
      <w:pStyle w:val="Tabletextlef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6"/>
  </w:num>
  <w:num w:numId="2">
    <w:abstractNumId w:val="13"/>
  </w:num>
  <w:num w:numId="3">
    <w:abstractNumId w:val="27"/>
  </w:num>
  <w:num w:numId="4">
    <w:abstractNumId w:val="18"/>
  </w:num>
  <w:num w:numId="5">
    <w:abstractNumId w:val="25"/>
  </w:num>
  <w:num w:numId="6">
    <w:abstractNumId w:val="1"/>
  </w:num>
  <w:num w:numId="7">
    <w:abstractNumId w:val="8"/>
  </w:num>
  <w:num w:numId="8">
    <w:abstractNumId w:val="15"/>
  </w:num>
  <w:num w:numId="9">
    <w:abstractNumId w:val="3"/>
  </w:num>
  <w:num w:numId="10">
    <w:abstractNumId w:val="21"/>
  </w:num>
  <w:num w:numId="11">
    <w:abstractNumId w:val="9"/>
  </w:num>
  <w:num w:numId="12">
    <w:abstractNumId w:val="12"/>
  </w:num>
  <w:num w:numId="13">
    <w:abstractNumId w:val="4"/>
  </w:num>
  <w:num w:numId="14">
    <w:abstractNumId w:val="23"/>
  </w:num>
  <w:num w:numId="15">
    <w:abstractNumId w:val="26"/>
  </w:num>
  <w:num w:numId="16">
    <w:abstractNumId w:val="24"/>
  </w:num>
  <w:num w:numId="17">
    <w:abstractNumId w:val="17"/>
  </w:num>
  <w:num w:numId="18">
    <w:abstractNumId w:val="19"/>
  </w:num>
  <w:num w:numId="19">
    <w:abstractNumId w:val="2"/>
  </w:num>
  <w:num w:numId="20">
    <w:abstractNumId w:val="5"/>
  </w:num>
  <w:num w:numId="21">
    <w:abstractNumId w:val="2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7"/>
  </w:num>
  <w:num w:numId="26">
    <w:abstractNumId w:val="10"/>
  </w:num>
  <w:num w:numId="27">
    <w:abstractNumId w:val="20"/>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2C40"/>
    <w:rsid w:val="00026139"/>
    <w:rsid w:val="00027601"/>
    <w:rsid w:val="00033321"/>
    <w:rsid w:val="000338E5"/>
    <w:rsid w:val="00033ECC"/>
    <w:rsid w:val="0003422F"/>
    <w:rsid w:val="00046BCE"/>
    <w:rsid w:val="00046FF0"/>
    <w:rsid w:val="00050176"/>
    <w:rsid w:val="00050342"/>
    <w:rsid w:val="00064168"/>
    <w:rsid w:val="00065998"/>
    <w:rsid w:val="00067456"/>
    <w:rsid w:val="00071506"/>
    <w:rsid w:val="0007154F"/>
    <w:rsid w:val="00081AB1"/>
    <w:rsid w:val="00082806"/>
    <w:rsid w:val="00090316"/>
    <w:rsid w:val="00093981"/>
    <w:rsid w:val="000B067A"/>
    <w:rsid w:val="000B1540"/>
    <w:rsid w:val="000B1E53"/>
    <w:rsid w:val="000B33FD"/>
    <w:rsid w:val="000B3E64"/>
    <w:rsid w:val="000B44F6"/>
    <w:rsid w:val="000B4ABA"/>
    <w:rsid w:val="000B77A8"/>
    <w:rsid w:val="000B7AEB"/>
    <w:rsid w:val="000C1182"/>
    <w:rsid w:val="000C3253"/>
    <w:rsid w:val="000C4B16"/>
    <w:rsid w:val="000C50C3"/>
    <w:rsid w:val="000C56E2"/>
    <w:rsid w:val="000C5E14"/>
    <w:rsid w:val="000D21F6"/>
    <w:rsid w:val="000D4500"/>
    <w:rsid w:val="000D7AEA"/>
    <w:rsid w:val="000E0AF2"/>
    <w:rsid w:val="000E239C"/>
    <w:rsid w:val="000E2C66"/>
    <w:rsid w:val="000E501E"/>
    <w:rsid w:val="000F123C"/>
    <w:rsid w:val="000F2FED"/>
    <w:rsid w:val="000F3615"/>
    <w:rsid w:val="0010616D"/>
    <w:rsid w:val="00110478"/>
    <w:rsid w:val="001117F9"/>
    <w:rsid w:val="0011711B"/>
    <w:rsid w:val="00117B40"/>
    <w:rsid w:val="00117F8A"/>
    <w:rsid w:val="00121B9B"/>
    <w:rsid w:val="00122ADC"/>
    <w:rsid w:val="00125E4C"/>
    <w:rsid w:val="00130F59"/>
    <w:rsid w:val="00133EC0"/>
    <w:rsid w:val="00141CE5"/>
    <w:rsid w:val="00144908"/>
    <w:rsid w:val="00144BB2"/>
    <w:rsid w:val="0015083E"/>
    <w:rsid w:val="0015397F"/>
    <w:rsid w:val="00156D96"/>
    <w:rsid w:val="001571C7"/>
    <w:rsid w:val="00161094"/>
    <w:rsid w:val="00167C38"/>
    <w:rsid w:val="00167DF7"/>
    <w:rsid w:val="0017665C"/>
    <w:rsid w:val="00177AD2"/>
    <w:rsid w:val="001815A8"/>
    <w:rsid w:val="001840FA"/>
    <w:rsid w:val="00184A88"/>
    <w:rsid w:val="00190079"/>
    <w:rsid w:val="001912D9"/>
    <w:rsid w:val="0019622E"/>
    <w:rsid w:val="001966A7"/>
    <w:rsid w:val="001A4627"/>
    <w:rsid w:val="001A4979"/>
    <w:rsid w:val="001B15D3"/>
    <w:rsid w:val="001B3443"/>
    <w:rsid w:val="001B376C"/>
    <w:rsid w:val="001C0326"/>
    <w:rsid w:val="001C192F"/>
    <w:rsid w:val="001C3C42"/>
    <w:rsid w:val="001C7EA8"/>
    <w:rsid w:val="001D18DF"/>
    <w:rsid w:val="001D7869"/>
    <w:rsid w:val="00201B52"/>
    <w:rsid w:val="002026CD"/>
    <w:rsid w:val="002033FC"/>
    <w:rsid w:val="002044BB"/>
    <w:rsid w:val="00210B09"/>
    <w:rsid w:val="00210C9E"/>
    <w:rsid w:val="00211840"/>
    <w:rsid w:val="00220C16"/>
    <w:rsid w:val="00220E5F"/>
    <w:rsid w:val="002212B5"/>
    <w:rsid w:val="00222826"/>
    <w:rsid w:val="00226668"/>
    <w:rsid w:val="00233809"/>
    <w:rsid w:val="00240046"/>
    <w:rsid w:val="0024797F"/>
    <w:rsid w:val="0025119E"/>
    <w:rsid w:val="00251269"/>
    <w:rsid w:val="002535C0"/>
    <w:rsid w:val="00256ACD"/>
    <w:rsid w:val="002579FE"/>
    <w:rsid w:val="00260552"/>
    <w:rsid w:val="002628AB"/>
    <w:rsid w:val="0026311C"/>
    <w:rsid w:val="002635E5"/>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3624"/>
    <w:rsid w:val="00295AF2"/>
    <w:rsid w:val="00295C91"/>
    <w:rsid w:val="00297151"/>
    <w:rsid w:val="002B200F"/>
    <w:rsid w:val="002B20E6"/>
    <w:rsid w:val="002B42A3"/>
    <w:rsid w:val="002C0CDD"/>
    <w:rsid w:val="002C38C4"/>
    <w:rsid w:val="002E1A1D"/>
    <w:rsid w:val="002E4081"/>
    <w:rsid w:val="002E5B78"/>
    <w:rsid w:val="002F3AE3"/>
    <w:rsid w:val="0030464B"/>
    <w:rsid w:val="0030786C"/>
    <w:rsid w:val="0031007D"/>
    <w:rsid w:val="00312DCD"/>
    <w:rsid w:val="00313C58"/>
    <w:rsid w:val="0031546F"/>
    <w:rsid w:val="003233DE"/>
    <w:rsid w:val="0032466B"/>
    <w:rsid w:val="003330EB"/>
    <w:rsid w:val="003415FD"/>
    <w:rsid w:val="003429F0"/>
    <w:rsid w:val="00343CFD"/>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1FDD"/>
    <w:rsid w:val="003A2E4F"/>
    <w:rsid w:val="003A4438"/>
    <w:rsid w:val="003A5013"/>
    <w:rsid w:val="003A5078"/>
    <w:rsid w:val="003A62DD"/>
    <w:rsid w:val="003A6763"/>
    <w:rsid w:val="003A775A"/>
    <w:rsid w:val="003B213A"/>
    <w:rsid w:val="003B43AD"/>
    <w:rsid w:val="003C0FEC"/>
    <w:rsid w:val="003C2AC8"/>
    <w:rsid w:val="003C3C38"/>
    <w:rsid w:val="003D033A"/>
    <w:rsid w:val="003D17F9"/>
    <w:rsid w:val="003D1E9C"/>
    <w:rsid w:val="003D2D88"/>
    <w:rsid w:val="003D41EA"/>
    <w:rsid w:val="003D4850"/>
    <w:rsid w:val="003D535A"/>
    <w:rsid w:val="003E5265"/>
    <w:rsid w:val="003F0955"/>
    <w:rsid w:val="003F5F4D"/>
    <w:rsid w:val="003F646F"/>
    <w:rsid w:val="004007F3"/>
    <w:rsid w:val="00400F00"/>
    <w:rsid w:val="00404F8B"/>
    <w:rsid w:val="00405256"/>
    <w:rsid w:val="0040769B"/>
    <w:rsid w:val="00410031"/>
    <w:rsid w:val="004119D9"/>
    <w:rsid w:val="00415C81"/>
    <w:rsid w:val="00425DF5"/>
    <w:rsid w:val="00432378"/>
    <w:rsid w:val="00433CE3"/>
    <w:rsid w:val="0043626A"/>
    <w:rsid w:val="00440D65"/>
    <w:rsid w:val="00441597"/>
    <w:rsid w:val="0044318C"/>
    <w:rsid w:val="004435E6"/>
    <w:rsid w:val="0044692E"/>
    <w:rsid w:val="00447E31"/>
    <w:rsid w:val="00453923"/>
    <w:rsid w:val="00454B9B"/>
    <w:rsid w:val="00457858"/>
    <w:rsid w:val="00460B0B"/>
    <w:rsid w:val="00461023"/>
    <w:rsid w:val="00462FAC"/>
    <w:rsid w:val="00464631"/>
    <w:rsid w:val="00464B79"/>
    <w:rsid w:val="00467BBF"/>
    <w:rsid w:val="00481928"/>
    <w:rsid w:val="004822FB"/>
    <w:rsid w:val="0048593C"/>
    <w:rsid w:val="004867E2"/>
    <w:rsid w:val="004929A9"/>
    <w:rsid w:val="00494C18"/>
    <w:rsid w:val="00497D2F"/>
    <w:rsid w:val="004A0E0B"/>
    <w:rsid w:val="004A78D9"/>
    <w:rsid w:val="004C1BCD"/>
    <w:rsid w:val="004C6BCF"/>
    <w:rsid w:val="004D57D3"/>
    <w:rsid w:val="004D58BF"/>
    <w:rsid w:val="004E4335"/>
    <w:rsid w:val="004F13EE"/>
    <w:rsid w:val="004F2022"/>
    <w:rsid w:val="004F7C05"/>
    <w:rsid w:val="00501C94"/>
    <w:rsid w:val="00506432"/>
    <w:rsid w:val="00506E82"/>
    <w:rsid w:val="0050789A"/>
    <w:rsid w:val="005100BB"/>
    <w:rsid w:val="0052051D"/>
    <w:rsid w:val="00524794"/>
    <w:rsid w:val="00525AB3"/>
    <w:rsid w:val="00545EE6"/>
    <w:rsid w:val="0055089A"/>
    <w:rsid w:val="005550E7"/>
    <w:rsid w:val="005564FB"/>
    <w:rsid w:val="005572C7"/>
    <w:rsid w:val="005650ED"/>
    <w:rsid w:val="00575754"/>
    <w:rsid w:val="00581FBA"/>
    <w:rsid w:val="00591E20"/>
    <w:rsid w:val="00594EE7"/>
    <w:rsid w:val="00595408"/>
    <w:rsid w:val="00595E84"/>
    <w:rsid w:val="005A0C59"/>
    <w:rsid w:val="005A48EB"/>
    <w:rsid w:val="005A6CFB"/>
    <w:rsid w:val="005B05EA"/>
    <w:rsid w:val="005C5AEB"/>
    <w:rsid w:val="005D510B"/>
    <w:rsid w:val="005E0A3F"/>
    <w:rsid w:val="005E6883"/>
    <w:rsid w:val="005E772F"/>
    <w:rsid w:val="005E7809"/>
    <w:rsid w:val="005F4ECA"/>
    <w:rsid w:val="006041BE"/>
    <w:rsid w:val="006043C7"/>
    <w:rsid w:val="00624B52"/>
    <w:rsid w:val="00630794"/>
    <w:rsid w:val="00631DF4"/>
    <w:rsid w:val="00634175"/>
    <w:rsid w:val="006408AC"/>
    <w:rsid w:val="0064644F"/>
    <w:rsid w:val="006511B6"/>
    <w:rsid w:val="00657E29"/>
    <w:rsid w:val="00657FF8"/>
    <w:rsid w:val="00670D99"/>
    <w:rsid w:val="00670E2B"/>
    <w:rsid w:val="006734BB"/>
    <w:rsid w:val="0067697A"/>
    <w:rsid w:val="006803B1"/>
    <w:rsid w:val="006821EB"/>
    <w:rsid w:val="00692445"/>
    <w:rsid w:val="006A2945"/>
    <w:rsid w:val="006A45C6"/>
    <w:rsid w:val="006A70E0"/>
    <w:rsid w:val="006B15D5"/>
    <w:rsid w:val="006B2286"/>
    <w:rsid w:val="006B2527"/>
    <w:rsid w:val="006B56BB"/>
    <w:rsid w:val="006C77A8"/>
    <w:rsid w:val="006D25C8"/>
    <w:rsid w:val="006D4098"/>
    <w:rsid w:val="006D7681"/>
    <w:rsid w:val="006D7B2E"/>
    <w:rsid w:val="006E02EA"/>
    <w:rsid w:val="006E0968"/>
    <w:rsid w:val="006E2AF6"/>
    <w:rsid w:val="006F0FB8"/>
    <w:rsid w:val="006F188F"/>
    <w:rsid w:val="006F65D4"/>
    <w:rsid w:val="00701275"/>
    <w:rsid w:val="00701CDA"/>
    <w:rsid w:val="00704404"/>
    <w:rsid w:val="00707F56"/>
    <w:rsid w:val="00713558"/>
    <w:rsid w:val="00720D08"/>
    <w:rsid w:val="007263B9"/>
    <w:rsid w:val="007334F8"/>
    <w:rsid w:val="007339CD"/>
    <w:rsid w:val="007359D8"/>
    <w:rsid w:val="007362D4"/>
    <w:rsid w:val="007658E3"/>
    <w:rsid w:val="0076672A"/>
    <w:rsid w:val="00771F09"/>
    <w:rsid w:val="00775E45"/>
    <w:rsid w:val="00776E74"/>
    <w:rsid w:val="00785169"/>
    <w:rsid w:val="00793046"/>
    <w:rsid w:val="007954AB"/>
    <w:rsid w:val="007A14C5"/>
    <w:rsid w:val="007A4A10"/>
    <w:rsid w:val="007B1760"/>
    <w:rsid w:val="007C1EF2"/>
    <w:rsid w:val="007C1FDC"/>
    <w:rsid w:val="007C6D9C"/>
    <w:rsid w:val="007C7DDB"/>
    <w:rsid w:val="007D2CC7"/>
    <w:rsid w:val="007D673D"/>
    <w:rsid w:val="007E0FB8"/>
    <w:rsid w:val="007E4D09"/>
    <w:rsid w:val="007F0F7D"/>
    <w:rsid w:val="007F2220"/>
    <w:rsid w:val="007F4B3E"/>
    <w:rsid w:val="00804FAB"/>
    <w:rsid w:val="008101BB"/>
    <w:rsid w:val="008127AF"/>
    <w:rsid w:val="00812B46"/>
    <w:rsid w:val="00815700"/>
    <w:rsid w:val="0082246B"/>
    <w:rsid w:val="0082351A"/>
    <w:rsid w:val="008264EB"/>
    <w:rsid w:val="00826B8F"/>
    <w:rsid w:val="00831E8A"/>
    <w:rsid w:val="00835C76"/>
    <w:rsid w:val="008376E2"/>
    <w:rsid w:val="00837AAD"/>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5343"/>
    <w:rsid w:val="008A625E"/>
    <w:rsid w:val="008A6C7F"/>
    <w:rsid w:val="008A7438"/>
    <w:rsid w:val="008B0A83"/>
    <w:rsid w:val="008B1334"/>
    <w:rsid w:val="008B15E5"/>
    <w:rsid w:val="008B25C7"/>
    <w:rsid w:val="008C0278"/>
    <w:rsid w:val="008C24E9"/>
    <w:rsid w:val="008D0533"/>
    <w:rsid w:val="008D3A12"/>
    <w:rsid w:val="008D42CB"/>
    <w:rsid w:val="008D48C9"/>
    <w:rsid w:val="008D6381"/>
    <w:rsid w:val="008D7E3D"/>
    <w:rsid w:val="008E0C77"/>
    <w:rsid w:val="008E625F"/>
    <w:rsid w:val="008F264D"/>
    <w:rsid w:val="009040E9"/>
    <w:rsid w:val="009074E1"/>
    <w:rsid w:val="009112F7"/>
    <w:rsid w:val="009122AF"/>
    <w:rsid w:val="009122CE"/>
    <w:rsid w:val="00912D54"/>
    <w:rsid w:val="0091389F"/>
    <w:rsid w:val="009208F7"/>
    <w:rsid w:val="00921649"/>
    <w:rsid w:val="00922517"/>
    <w:rsid w:val="00922722"/>
    <w:rsid w:val="009261E6"/>
    <w:rsid w:val="009268E1"/>
    <w:rsid w:val="009271EE"/>
    <w:rsid w:val="009330A6"/>
    <w:rsid w:val="009344AE"/>
    <w:rsid w:val="009344DE"/>
    <w:rsid w:val="00945E7F"/>
    <w:rsid w:val="009545C7"/>
    <w:rsid w:val="009557C1"/>
    <w:rsid w:val="00960D6E"/>
    <w:rsid w:val="009631A7"/>
    <w:rsid w:val="009655F9"/>
    <w:rsid w:val="00967FE7"/>
    <w:rsid w:val="0097386A"/>
    <w:rsid w:val="00974B59"/>
    <w:rsid w:val="00974E78"/>
    <w:rsid w:val="009771E6"/>
    <w:rsid w:val="009800F7"/>
    <w:rsid w:val="0098340B"/>
    <w:rsid w:val="00986830"/>
    <w:rsid w:val="009924C3"/>
    <w:rsid w:val="00993102"/>
    <w:rsid w:val="00994D8B"/>
    <w:rsid w:val="00995138"/>
    <w:rsid w:val="00997579"/>
    <w:rsid w:val="009B1570"/>
    <w:rsid w:val="009C6F10"/>
    <w:rsid w:val="009C713A"/>
    <w:rsid w:val="009C79DD"/>
    <w:rsid w:val="009D0E50"/>
    <w:rsid w:val="009D148F"/>
    <w:rsid w:val="009D3D70"/>
    <w:rsid w:val="009D6451"/>
    <w:rsid w:val="009E6F7E"/>
    <w:rsid w:val="009E7A57"/>
    <w:rsid w:val="009F4803"/>
    <w:rsid w:val="009F4F6A"/>
    <w:rsid w:val="00A05898"/>
    <w:rsid w:val="00A13EB5"/>
    <w:rsid w:val="00A16E36"/>
    <w:rsid w:val="00A24961"/>
    <w:rsid w:val="00A24B10"/>
    <w:rsid w:val="00A277EF"/>
    <w:rsid w:val="00A30E9B"/>
    <w:rsid w:val="00A4512D"/>
    <w:rsid w:val="00A50244"/>
    <w:rsid w:val="00A623B4"/>
    <w:rsid w:val="00A627D7"/>
    <w:rsid w:val="00A656C7"/>
    <w:rsid w:val="00A705AF"/>
    <w:rsid w:val="00A71212"/>
    <w:rsid w:val="00A71888"/>
    <w:rsid w:val="00A719F6"/>
    <w:rsid w:val="00A72454"/>
    <w:rsid w:val="00A73562"/>
    <w:rsid w:val="00A77696"/>
    <w:rsid w:val="00A80557"/>
    <w:rsid w:val="00A81D33"/>
    <w:rsid w:val="00A8341C"/>
    <w:rsid w:val="00A87091"/>
    <w:rsid w:val="00A930AE"/>
    <w:rsid w:val="00AA01BC"/>
    <w:rsid w:val="00AA1A95"/>
    <w:rsid w:val="00AA260F"/>
    <w:rsid w:val="00AA2E67"/>
    <w:rsid w:val="00AB1EE7"/>
    <w:rsid w:val="00AB4B37"/>
    <w:rsid w:val="00AB5762"/>
    <w:rsid w:val="00AC2679"/>
    <w:rsid w:val="00AC2B99"/>
    <w:rsid w:val="00AC4BE4"/>
    <w:rsid w:val="00AD05E6"/>
    <w:rsid w:val="00AD0D3F"/>
    <w:rsid w:val="00AE0729"/>
    <w:rsid w:val="00AE1D7D"/>
    <w:rsid w:val="00AE2A8B"/>
    <w:rsid w:val="00AE3F64"/>
    <w:rsid w:val="00AE5E95"/>
    <w:rsid w:val="00AF38FA"/>
    <w:rsid w:val="00AF7386"/>
    <w:rsid w:val="00AF7934"/>
    <w:rsid w:val="00B00B81"/>
    <w:rsid w:val="00B04580"/>
    <w:rsid w:val="00B04B09"/>
    <w:rsid w:val="00B12D12"/>
    <w:rsid w:val="00B16A51"/>
    <w:rsid w:val="00B32222"/>
    <w:rsid w:val="00B3618D"/>
    <w:rsid w:val="00B36233"/>
    <w:rsid w:val="00B42851"/>
    <w:rsid w:val="00B45AC7"/>
    <w:rsid w:val="00B5372F"/>
    <w:rsid w:val="00B53987"/>
    <w:rsid w:val="00B61129"/>
    <w:rsid w:val="00B67E7F"/>
    <w:rsid w:val="00B839B2"/>
    <w:rsid w:val="00B91A4A"/>
    <w:rsid w:val="00B93683"/>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250"/>
    <w:rsid w:val="00BD7FB2"/>
    <w:rsid w:val="00C00930"/>
    <w:rsid w:val="00C060AD"/>
    <w:rsid w:val="00C113BF"/>
    <w:rsid w:val="00C2176E"/>
    <w:rsid w:val="00C23430"/>
    <w:rsid w:val="00C2519B"/>
    <w:rsid w:val="00C27D67"/>
    <w:rsid w:val="00C36BEA"/>
    <w:rsid w:val="00C36D67"/>
    <w:rsid w:val="00C4631F"/>
    <w:rsid w:val="00C47CDE"/>
    <w:rsid w:val="00C50E16"/>
    <w:rsid w:val="00C55258"/>
    <w:rsid w:val="00C75438"/>
    <w:rsid w:val="00C80D85"/>
    <w:rsid w:val="00C82EEB"/>
    <w:rsid w:val="00C96FAB"/>
    <w:rsid w:val="00C971DC"/>
    <w:rsid w:val="00CA16B7"/>
    <w:rsid w:val="00CA2E5E"/>
    <w:rsid w:val="00CA62AE"/>
    <w:rsid w:val="00CB03B8"/>
    <w:rsid w:val="00CB5B1A"/>
    <w:rsid w:val="00CC220B"/>
    <w:rsid w:val="00CC3BA5"/>
    <w:rsid w:val="00CC5C43"/>
    <w:rsid w:val="00CD02AE"/>
    <w:rsid w:val="00CD2A4F"/>
    <w:rsid w:val="00CD4BD0"/>
    <w:rsid w:val="00CE03CA"/>
    <w:rsid w:val="00CE22F1"/>
    <w:rsid w:val="00CE50F2"/>
    <w:rsid w:val="00CE6502"/>
    <w:rsid w:val="00CF7D3C"/>
    <w:rsid w:val="00D01F09"/>
    <w:rsid w:val="00D1241D"/>
    <w:rsid w:val="00D147EB"/>
    <w:rsid w:val="00D34667"/>
    <w:rsid w:val="00D401E1"/>
    <w:rsid w:val="00D408B4"/>
    <w:rsid w:val="00D44330"/>
    <w:rsid w:val="00D524C8"/>
    <w:rsid w:val="00D675B6"/>
    <w:rsid w:val="00D70E24"/>
    <w:rsid w:val="00D72B61"/>
    <w:rsid w:val="00DA0EBE"/>
    <w:rsid w:val="00DA3D1D"/>
    <w:rsid w:val="00DB6286"/>
    <w:rsid w:val="00DB645F"/>
    <w:rsid w:val="00DB76E9"/>
    <w:rsid w:val="00DC0A67"/>
    <w:rsid w:val="00DC1D5E"/>
    <w:rsid w:val="00DC5220"/>
    <w:rsid w:val="00DD2061"/>
    <w:rsid w:val="00DD3CF4"/>
    <w:rsid w:val="00DD7DAB"/>
    <w:rsid w:val="00DE3355"/>
    <w:rsid w:val="00DE4026"/>
    <w:rsid w:val="00DF0C60"/>
    <w:rsid w:val="00DF486F"/>
    <w:rsid w:val="00DF504E"/>
    <w:rsid w:val="00DF5B5B"/>
    <w:rsid w:val="00DF7619"/>
    <w:rsid w:val="00E042D8"/>
    <w:rsid w:val="00E07EE7"/>
    <w:rsid w:val="00E1103B"/>
    <w:rsid w:val="00E17B44"/>
    <w:rsid w:val="00E20F27"/>
    <w:rsid w:val="00E22443"/>
    <w:rsid w:val="00E25B1F"/>
    <w:rsid w:val="00E27FEA"/>
    <w:rsid w:val="00E355DD"/>
    <w:rsid w:val="00E4086F"/>
    <w:rsid w:val="00E43B3C"/>
    <w:rsid w:val="00E46474"/>
    <w:rsid w:val="00E50188"/>
    <w:rsid w:val="00E50BB3"/>
    <w:rsid w:val="00E515CB"/>
    <w:rsid w:val="00E52260"/>
    <w:rsid w:val="00E639B6"/>
    <w:rsid w:val="00E6434B"/>
    <w:rsid w:val="00E6463D"/>
    <w:rsid w:val="00E72E9B"/>
    <w:rsid w:val="00E7530D"/>
    <w:rsid w:val="00E850C3"/>
    <w:rsid w:val="00E87DF2"/>
    <w:rsid w:val="00E9462E"/>
    <w:rsid w:val="00EA1AF6"/>
    <w:rsid w:val="00EA470E"/>
    <w:rsid w:val="00EA47A7"/>
    <w:rsid w:val="00EA57EB"/>
    <w:rsid w:val="00EB2117"/>
    <w:rsid w:val="00EB3226"/>
    <w:rsid w:val="00EC213A"/>
    <w:rsid w:val="00EC7744"/>
    <w:rsid w:val="00ED0DAD"/>
    <w:rsid w:val="00ED0F46"/>
    <w:rsid w:val="00ED2373"/>
    <w:rsid w:val="00ED2E38"/>
    <w:rsid w:val="00EE3E8A"/>
    <w:rsid w:val="00EE7D1C"/>
    <w:rsid w:val="00EF58B8"/>
    <w:rsid w:val="00EF6ECA"/>
    <w:rsid w:val="00F024E1"/>
    <w:rsid w:val="00F05842"/>
    <w:rsid w:val="00F06C10"/>
    <w:rsid w:val="00F07F3A"/>
    <w:rsid w:val="00F1096F"/>
    <w:rsid w:val="00F12589"/>
    <w:rsid w:val="00F12595"/>
    <w:rsid w:val="00F134D9"/>
    <w:rsid w:val="00F1403D"/>
    <w:rsid w:val="00F1463F"/>
    <w:rsid w:val="00F163BD"/>
    <w:rsid w:val="00F21302"/>
    <w:rsid w:val="00F2430D"/>
    <w:rsid w:val="00F30F21"/>
    <w:rsid w:val="00F321DE"/>
    <w:rsid w:val="00F33777"/>
    <w:rsid w:val="00F34061"/>
    <w:rsid w:val="00F40648"/>
    <w:rsid w:val="00F47DA2"/>
    <w:rsid w:val="00F509F4"/>
    <w:rsid w:val="00F51321"/>
    <w:rsid w:val="00F519FC"/>
    <w:rsid w:val="00F6239D"/>
    <w:rsid w:val="00F646B2"/>
    <w:rsid w:val="00F715D2"/>
    <w:rsid w:val="00F7274F"/>
    <w:rsid w:val="00F74E84"/>
    <w:rsid w:val="00F76FA8"/>
    <w:rsid w:val="00F820E6"/>
    <w:rsid w:val="00F87E01"/>
    <w:rsid w:val="00F93F08"/>
    <w:rsid w:val="00F94CED"/>
    <w:rsid w:val="00FA02BB"/>
    <w:rsid w:val="00FA2CEE"/>
    <w:rsid w:val="00FA318C"/>
    <w:rsid w:val="00FA4525"/>
    <w:rsid w:val="00FA70E8"/>
    <w:rsid w:val="00FB6F92"/>
    <w:rsid w:val="00FC026E"/>
    <w:rsid w:val="00FC5124"/>
    <w:rsid w:val="00FD4731"/>
    <w:rsid w:val="00FD6768"/>
    <w:rsid w:val="00FE6C56"/>
    <w:rsid w:val="00FF0AB0"/>
    <w:rsid w:val="00FF28AC"/>
    <w:rsid w:val="00FF3195"/>
    <w:rsid w:val="00FF471E"/>
    <w:rsid w:val="00FF718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EA1AF6"/>
    <w:pPr>
      <w:numPr>
        <w:numId w:val="15"/>
      </w:numPr>
      <w:spacing w:before="60" w:after="60"/>
    </w:pPr>
    <w:rPr>
      <w:rFonts w:ascii="Arial" w:hAnsi="Arial"/>
      <w:sz w:val="21"/>
      <w:szCs w:val="2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qFormat/>
    <w:rsid w:val="00B12D12"/>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CommentReference">
    <w:name w:val="annotation reference"/>
    <w:basedOn w:val="DefaultParagraphFont"/>
    <w:semiHidden/>
    <w:unhideWhenUsed/>
    <w:rsid w:val="000E501E"/>
    <w:rPr>
      <w:sz w:val="16"/>
      <w:szCs w:val="16"/>
    </w:rPr>
  </w:style>
  <w:style w:type="paragraph" w:styleId="CommentSubject">
    <w:name w:val="annotation subject"/>
    <w:basedOn w:val="CommentText"/>
    <w:next w:val="CommentText"/>
    <w:link w:val="CommentSubjectChar"/>
    <w:semiHidden/>
    <w:unhideWhenUsed/>
    <w:rsid w:val="000E501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E501E"/>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qFormat/>
    <w:rsid w:val="00117B40"/>
    <w:rPr>
      <w:rFonts w:ascii="Arial" w:hAnsi="Arial"/>
      <w:color w:val="000000" w:themeColor="text1"/>
      <w:sz w:val="22"/>
      <w:szCs w:val="24"/>
      <w:lang w:eastAsia="en-US"/>
    </w:rPr>
  </w:style>
  <w:style w:type="paragraph" w:customStyle="1" w:styleId="RecommendationsBullets">
    <w:name w:val="Recommendations Bullets"/>
    <w:basedOn w:val="Normal"/>
    <w:autoRedefine/>
    <w:uiPriority w:val="3"/>
    <w:qFormat/>
    <w:rsid w:val="00117B40"/>
    <w:pPr>
      <w:numPr>
        <w:numId w:val="9"/>
      </w:numPr>
      <w:spacing w:before="0" w:after="0" w:line="280" w:lineRule="exact"/>
    </w:pPr>
    <w:rPr>
      <w:rFonts w:eastAsiaTheme="minorEastAsia" w:cstheme="minorBidi"/>
      <w:noProof/>
      <w:sz w:val="20"/>
      <w:szCs w:val="21"/>
    </w:rPr>
  </w:style>
  <w:style w:type="character" w:styleId="UnresolvedMention">
    <w:name w:val="Unresolved Mention"/>
    <w:basedOn w:val="DefaultParagraphFont"/>
    <w:uiPriority w:val="99"/>
    <w:semiHidden/>
    <w:unhideWhenUsed/>
    <w:rsid w:val="00DE4026"/>
    <w:rPr>
      <w:color w:val="605E5C"/>
      <w:shd w:val="clear" w:color="auto" w:fill="E1DFDD"/>
    </w:rPr>
  </w:style>
  <w:style w:type="character" w:styleId="FollowedHyperlink">
    <w:name w:val="FollowedHyperlink"/>
    <w:basedOn w:val="DefaultParagraphFont"/>
    <w:semiHidden/>
    <w:unhideWhenUsed/>
    <w:rsid w:val="00FE6C56"/>
    <w:rPr>
      <w:color w:val="800080" w:themeColor="followedHyperlink"/>
      <w:u w:val="single"/>
    </w:rPr>
  </w:style>
  <w:style w:type="paragraph" w:customStyle="1" w:styleId="Item">
    <w:name w:val="Item"/>
    <w:aliases w:val="i"/>
    <w:basedOn w:val="Normal"/>
    <w:next w:val="ItemHead"/>
    <w:rsid w:val="00E7530D"/>
    <w:pPr>
      <w:keepLines/>
      <w:spacing w:before="80" w:after="0" w:line="240" w:lineRule="auto"/>
      <w:ind w:left="709"/>
    </w:pPr>
    <w:rPr>
      <w:rFonts w:ascii="Times New Roman" w:hAnsi="Times New Roman"/>
      <w:color w:val="auto"/>
      <w:szCs w:val="20"/>
      <w:lang w:eastAsia="en-AU"/>
    </w:rPr>
  </w:style>
  <w:style w:type="paragraph" w:customStyle="1" w:styleId="ItemHead">
    <w:name w:val="ItemHead"/>
    <w:aliases w:val="ih"/>
    <w:basedOn w:val="Normal"/>
    <w:next w:val="Item"/>
    <w:rsid w:val="00E7530D"/>
    <w:pPr>
      <w:keepNext/>
      <w:keepLines/>
      <w:spacing w:before="220" w:after="0" w:line="240" w:lineRule="auto"/>
      <w:ind w:left="709" w:hanging="709"/>
    </w:pPr>
    <w:rPr>
      <w:b/>
      <w:color w:val="auto"/>
      <w:kern w:val="28"/>
      <w:sz w:val="24"/>
      <w:szCs w:val="20"/>
      <w:lang w:eastAsia="en-AU"/>
    </w:rPr>
  </w:style>
  <w:style w:type="character" w:customStyle="1" w:styleId="NEWItemNumber">
    <w:name w:val="NEW Item Number"/>
    <w:basedOn w:val="DefaultParagraphFont"/>
    <w:uiPriority w:val="1"/>
    <w:qFormat/>
    <w:rsid w:val="00C36BEA"/>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paragraph" w:customStyle="1" w:styleId="Default">
    <w:name w:val="Default"/>
    <w:rsid w:val="0082351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4986218">
      <w:bodyDiv w:val="1"/>
      <w:marLeft w:val="0"/>
      <w:marRight w:val="0"/>
      <w:marTop w:val="0"/>
      <w:marBottom w:val="0"/>
      <w:divBdr>
        <w:top w:val="none" w:sz="0" w:space="0" w:color="auto"/>
        <w:left w:val="none" w:sz="0" w:space="0" w:color="auto"/>
        <w:bottom w:val="none" w:sz="0" w:space="0" w:color="auto"/>
        <w:right w:val="none" w:sz="0" w:space="0" w:color="auto"/>
      </w:divBdr>
      <w:divsChild>
        <w:div w:id="2120443257">
          <w:marLeft w:val="0"/>
          <w:marRight w:val="0"/>
          <w:marTop w:val="0"/>
          <w:marBottom w:val="0"/>
          <w:divBdr>
            <w:top w:val="none" w:sz="0" w:space="0" w:color="auto"/>
            <w:left w:val="none" w:sz="0" w:space="0" w:color="auto"/>
            <w:bottom w:val="none" w:sz="0" w:space="0" w:color="auto"/>
            <w:right w:val="none" w:sz="0" w:space="0" w:color="auto"/>
          </w:divBdr>
          <w:divsChild>
            <w:div w:id="1113939231">
              <w:marLeft w:val="0"/>
              <w:marRight w:val="0"/>
              <w:marTop w:val="0"/>
              <w:marBottom w:val="0"/>
              <w:divBdr>
                <w:top w:val="none" w:sz="0" w:space="0" w:color="auto"/>
                <w:left w:val="none" w:sz="0" w:space="0" w:color="auto"/>
                <w:bottom w:val="none" w:sz="0" w:space="0" w:color="auto"/>
                <w:right w:val="none" w:sz="0" w:space="0" w:color="auto"/>
              </w:divBdr>
            </w:div>
            <w:div w:id="848712593">
              <w:marLeft w:val="439"/>
              <w:marRight w:val="0"/>
              <w:marTop w:val="0"/>
              <w:marBottom w:val="0"/>
              <w:divBdr>
                <w:top w:val="none" w:sz="0" w:space="0" w:color="auto"/>
                <w:left w:val="none" w:sz="0" w:space="0" w:color="auto"/>
                <w:bottom w:val="none" w:sz="0" w:space="0" w:color="auto"/>
                <w:right w:val="none" w:sz="0" w:space="0" w:color="auto"/>
              </w:divBdr>
              <w:divsChild>
                <w:div w:id="2135637707">
                  <w:marLeft w:val="0"/>
                  <w:marRight w:val="0"/>
                  <w:marTop w:val="0"/>
                  <w:marBottom w:val="0"/>
                  <w:divBdr>
                    <w:top w:val="none" w:sz="0" w:space="0" w:color="auto"/>
                    <w:left w:val="none" w:sz="0" w:space="0" w:color="auto"/>
                    <w:bottom w:val="none" w:sz="0" w:space="0" w:color="auto"/>
                    <w:right w:val="none" w:sz="0" w:space="0" w:color="auto"/>
                  </w:divBdr>
                  <w:divsChild>
                    <w:div w:id="2138251385">
                      <w:marLeft w:val="0"/>
                      <w:marRight w:val="0"/>
                      <w:marTop w:val="0"/>
                      <w:marBottom w:val="0"/>
                      <w:divBdr>
                        <w:top w:val="none" w:sz="0" w:space="0" w:color="auto"/>
                        <w:left w:val="none" w:sz="0" w:space="0" w:color="auto"/>
                        <w:bottom w:val="none" w:sz="0" w:space="0" w:color="auto"/>
                        <w:right w:val="none" w:sz="0" w:space="0" w:color="auto"/>
                      </w:divBdr>
                    </w:div>
                    <w:div w:id="1327048870">
                      <w:marLeft w:val="176"/>
                      <w:marRight w:val="0"/>
                      <w:marTop w:val="0"/>
                      <w:marBottom w:val="0"/>
                      <w:divBdr>
                        <w:top w:val="none" w:sz="0" w:space="0" w:color="auto"/>
                        <w:left w:val="none" w:sz="0" w:space="0" w:color="auto"/>
                        <w:bottom w:val="none" w:sz="0" w:space="0" w:color="auto"/>
                        <w:right w:val="none" w:sz="0" w:space="0" w:color="auto"/>
                      </w:divBdr>
                    </w:div>
                  </w:divsChild>
                </w:div>
                <w:div w:id="312220685">
                  <w:marLeft w:val="0"/>
                  <w:marRight w:val="0"/>
                  <w:marTop w:val="0"/>
                  <w:marBottom w:val="0"/>
                  <w:divBdr>
                    <w:top w:val="none" w:sz="0" w:space="0" w:color="auto"/>
                    <w:left w:val="none" w:sz="0" w:space="0" w:color="auto"/>
                    <w:bottom w:val="none" w:sz="0" w:space="0" w:color="auto"/>
                    <w:right w:val="none" w:sz="0" w:space="0" w:color="auto"/>
                  </w:divBdr>
                  <w:divsChild>
                    <w:div w:id="2111969600">
                      <w:marLeft w:val="0"/>
                      <w:marRight w:val="0"/>
                      <w:marTop w:val="0"/>
                      <w:marBottom w:val="0"/>
                      <w:divBdr>
                        <w:top w:val="none" w:sz="0" w:space="0" w:color="auto"/>
                        <w:left w:val="none" w:sz="0" w:space="0" w:color="auto"/>
                        <w:bottom w:val="none" w:sz="0" w:space="0" w:color="auto"/>
                        <w:right w:val="none" w:sz="0" w:space="0" w:color="auto"/>
                      </w:divBdr>
                    </w:div>
                    <w:div w:id="864245113">
                      <w:marLeft w:val="1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6657">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73245504">
      <w:bodyDiv w:val="1"/>
      <w:marLeft w:val="0"/>
      <w:marRight w:val="0"/>
      <w:marTop w:val="0"/>
      <w:marBottom w:val="0"/>
      <w:divBdr>
        <w:top w:val="none" w:sz="0" w:space="0" w:color="auto"/>
        <w:left w:val="none" w:sz="0" w:space="0" w:color="auto"/>
        <w:bottom w:val="none" w:sz="0" w:space="0" w:color="auto"/>
        <w:right w:val="none" w:sz="0" w:space="0" w:color="auto"/>
      </w:divBdr>
      <w:divsChild>
        <w:div w:id="286595323">
          <w:marLeft w:val="0"/>
          <w:marRight w:val="0"/>
          <w:marTop w:val="0"/>
          <w:marBottom w:val="0"/>
          <w:divBdr>
            <w:top w:val="none" w:sz="0" w:space="0" w:color="auto"/>
            <w:left w:val="none" w:sz="0" w:space="0" w:color="auto"/>
            <w:bottom w:val="none" w:sz="0" w:space="0" w:color="auto"/>
            <w:right w:val="none" w:sz="0" w:space="0" w:color="auto"/>
          </w:divBdr>
          <w:divsChild>
            <w:div w:id="880747983">
              <w:marLeft w:val="0"/>
              <w:marRight w:val="0"/>
              <w:marTop w:val="0"/>
              <w:marBottom w:val="0"/>
              <w:divBdr>
                <w:top w:val="none" w:sz="0" w:space="0" w:color="auto"/>
                <w:left w:val="none" w:sz="0" w:space="0" w:color="auto"/>
                <w:bottom w:val="none" w:sz="0" w:space="0" w:color="auto"/>
                <w:right w:val="none" w:sz="0" w:space="0" w:color="auto"/>
              </w:divBdr>
            </w:div>
            <w:div w:id="1520898083">
              <w:marLeft w:val="439"/>
              <w:marRight w:val="0"/>
              <w:marTop w:val="0"/>
              <w:marBottom w:val="0"/>
              <w:divBdr>
                <w:top w:val="none" w:sz="0" w:space="0" w:color="auto"/>
                <w:left w:val="none" w:sz="0" w:space="0" w:color="auto"/>
                <w:bottom w:val="none" w:sz="0" w:space="0" w:color="auto"/>
                <w:right w:val="none" w:sz="0" w:space="0" w:color="auto"/>
              </w:divBdr>
              <w:divsChild>
                <w:div w:id="1388844578">
                  <w:marLeft w:val="0"/>
                  <w:marRight w:val="0"/>
                  <w:marTop w:val="0"/>
                  <w:marBottom w:val="0"/>
                  <w:divBdr>
                    <w:top w:val="none" w:sz="0" w:space="0" w:color="auto"/>
                    <w:left w:val="none" w:sz="0" w:space="0" w:color="auto"/>
                    <w:bottom w:val="none" w:sz="0" w:space="0" w:color="auto"/>
                    <w:right w:val="none" w:sz="0" w:space="0" w:color="auto"/>
                  </w:divBdr>
                  <w:divsChild>
                    <w:div w:id="160696">
                      <w:marLeft w:val="0"/>
                      <w:marRight w:val="0"/>
                      <w:marTop w:val="0"/>
                      <w:marBottom w:val="0"/>
                      <w:divBdr>
                        <w:top w:val="none" w:sz="0" w:space="0" w:color="auto"/>
                        <w:left w:val="none" w:sz="0" w:space="0" w:color="auto"/>
                        <w:bottom w:val="none" w:sz="0" w:space="0" w:color="auto"/>
                        <w:right w:val="none" w:sz="0" w:space="0" w:color="auto"/>
                      </w:divBdr>
                    </w:div>
                    <w:div w:id="2118061653">
                      <w:marLeft w:val="176"/>
                      <w:marRight w:val="0"/>
                      <w:marTop w:val="0"/>
                      <w:marBottom w:val="0"/>
                      <w:divBdr>
                        <w:top w:val="none" w:sz="0" w:space="0" w:color="auto"/>
                        <w:left w:val="none" w:sz="0" w:space="0" w:color="auto"/>
                        <w:bottom w:val="none" w:sz="0" w:space="0" w:color="auto"/>
                        <w:right w:val="none" w:sz="0" w:space="0" w:color="auto"/>
                      </w:divBdr>
                    </w:div>
                  </w:divsChild>
                </w:div>
                <w:div w:id="648292140">
                  <w:marLeft w:val="0"/>
                  <w:marRight w:val="0"/>
                  <w:marTop w:val="0"/>
                  <w:marBottom w:val="0"/>
                  <w:divBdr>
                    <w:top w:val="none" w:sz="0" w:space="0" w:color="auto"/>
                    <w:left w:val="none" w:sz="0" w:space="0" w:color="auto"/>
                    <w:bottom w:val="none" w:sz="0" w:space="0" w:color="auto"/>
                    <w:right w:val="none" w:sz="0" w:space="0" w:color="auto"/>
                  </w:divBdr>
                  <w:divsChild>
                    <w:div w:id="501703441">
                      <w:marLeft w:val="0"/>
                      <w:marRight w:val="0"/>
                      <w:marTop w:val="0"/>
                      <w:marBottom w:val="0"/>
                      <w:divBdr>
                        <w:top w:val="none" w:sz="0" w:space="0" w:color="auto"/>
                        <w:left w:val="none" w:sz="0" w:space="0" w:color="auto"/>
                        <w:bottom w:val="none" w:sz="0" w:space="0" w:color="auto"/>
                        <w:right w:val="none" w:sz="0" w:space="0" w:color="auto"/>
                      </w:divBdr>
                    </w:div>
                    <w:div w:id="373505970">
                      <w:marLeft w:val="1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5315">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7655834">
      <w:bodyDiv w:val="1"/>
      <w:marLeft w:val="0"/>
      <w:marRight w:val="0"/>
      <w:marTop w:val="0"/>
      <w:marBottom w:val="0"/>
      <w:divBdr>
        <w:top w:val="none" w:sz="0" w:space="0" w:color="auto"/>
        <w:left w:val="none" w:sz="0" w:space="0" w:color="auto"/>
        <w:bottom w:val="none" w:sz="0" w:space="0" w:color="auto"/>
        <w:right w:val="none" w:sz="0" w:space="0" w:color="auto"/>
      </w:divBdr>
      <w:divsChild>
        <w:div w:id="159081746">
          <w:marLeft w:val="0"/>
          <w:marRight w:val="0"/>
          <w:marTop w:val="0"/>
          <w:marBottom w:val="0"/>
          <w:divBdr>
            <w:top w:val="none" w:sz="0" w:space="0" w:color="auto"/>
            <w:left w:val="none" w:sz="0" w:space="0" w:color="auto"/>
            <w:bottom w:val="none" w:sz="0" w:space="0" w:color="auto"/>
            <w:right w:val="none" w:sz="0" w:space="0" w:color="auto"/>
          </w:divBdr>
          <w:divsChild>
            <w:div w:id="641814828">
              <w:marLeft w:val="0"/>
              <w:marRight w:val="0"/>
              <w:marTop w:val="0"/>
              <w:marBottom w:val="0"/>
              <w:divBdr>
                <w:top w:val="none" w:sz="0" w:space="0" w:color="auto"/>
                <w:left w:val="none" w:sz="0" w:space="0" w:color="auto"/>
                <w:bottom w:val="none" w:sz="0" w:space="0" w:color="auto"/>
                <w:right w:val="none" w:sz="0" w:space="0" w:color="auto"/>
              </w:divBdr>
            </w:div>
            <w:div w:id="2049644829">
              <w:marLeft w:val="439"/>
              <w:marRight w:val="0"/>
              <w:marTop w:val="0"/>
              <w:marBottom w:val="0"/>
              <w:divBdr>
                <w:top w:val="none" w:sz="0" w:space="0" w:color="auto"/>
                <w:left w:val="none" w:sz="0" w:space="0" w:color="auto"/>
                <w:bottom w:val="none" w:sz="0" w:space="0" w:color="auto"/>
                <w:right w:val="none" w:sz="0" w:space="0" w:color="auto"/>
              </w:divBdr>
              <w:divsChild>
                <w:div w:id="1350566566">
                  <w:marLeft w:val="0"/>
                  <w:marRight w:val="0"/>
                  <w:marTop w:val="0"/>
                  <w:marBottom w:val="0"/>
                  <w:divBdr>
                    <w:top w:val="none" w:sz="0" w:space="0" w:color="auto"/>
                    <w:left w:val="none" w:sz="0" w:space="0" w:color="auto"/>
                    <w:bottom w:val="none" w:sz="0" w:space="0" w:color="auto"/>
                    <w:right w:val="none" w:sz="0" w:space="0" w:color="auto"/>
                  </w:divBdr>
                  <w:divsChild>
                    <w:div w:id="872882425">
                      <w:marLeft w:val="0"/>
                      <w:marRight w:val="0"/>
                      <w:marTop w:val="0"/>
                      <w:marBottom w:val="0"/>
                      <w:divBdr>
                        <w:top w:val="none" w:sz="0" w:space="0" w:color="auto"/>
                        <w:left w:val="none" w:sz="0" w:space="0" w:color="auto"/>
                        <w:bottom w:val="none" w:sz="0" w:space="0" w:color="auto"/>
                        <w:right w:val="none" w:sz="0" w:space="0" w:color="auto"/>
                      </w:divBdr>
                    </w:div>
                    <w:div w:id="358434206">
                      <w:marLeft w:val="176"/>
                      <w:marRight w:val="0"/>
                      <w:marTop w:val="0"/>
                      <w:marBottom w:val="0"/>
                      <w:divBdr>
                        <w:top w:val="none" w:sz="0" w:space="0" w:color="auto"/>
                        <w:left w:val="none" w:sz="0" w:space="0" w:color="auto"/>
                        <w:bottom w:val="none" w:sz="0" w:space="0" w:color="auto"/>
                        <w:right w:val="none" w:sz="0" w:space="0" w:color="auto"/>
                      </w:divBdr>
                    </w:div>
                  </w:divsChild>
                </w:div>
                <w:div w:id="2074962407">
                  <w:marLeft w:val="0"/>
                  <w:marRight w:val="0"/>
                  <w:marTop w:val="0"/>
                  <w:marBottom w:val="0"/>
                  <w:divBdr>
                    <w:top w:val="none" w:sz="0" w:space="0" w:color="auto"/>
                    <w:left w:val="none" w:sz="0" w:space="0" w:color="auto"/>
                    <w:bottom w:val="none" w:sz="0" w:space="0" w:color="auto"/>
                    <w:right w:val="none" w:sz="0" w:space="0" w:color="auto"/>
                  </w:divBdr>
                  <w:divsChild>
                    <w:div w:id="746540243">
                      <w:marLeft w:val="0"/>
                      <w:marRight w:val="0"/>
                      <w:marTop w:val="0"/>
                      <w:marBottom w:val="0"/>
                      <w:divBdr>
                        <w:top w:val="none" w:sz="0" w:space="0" w:color="auto"/>
                        <w:left w:val="none" w:sz="0" w:space="0" w:color="auto"/>
                        <w:bottom w:val="none" w:sz="0" w:space="0" w:color="auto"/>
                        <w:right w:val="none" w:sz="0" w:space="0" w:color="auto"/>
                      </w:divBdr>
                    </w:div>
                    <w:div w:id="1191408494">
                      <w:marLeft w:val="1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006">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69419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23394007">
      <w:bodyDiv w:val="1"/>
      <w:marLeft w:val="0"/>
      <w:marRight w:val="0"/>
      <w:marTop w:val="0"/>
      <w:marBottom w:val="0"/>
      <w:divBdr>
        <w:top w:val="none" w:sz="0" w:space="0" w:color="auto"/>
        <w:left w:val="none" w:sz="0" w:space="0" w:color="auto"/>
        <w:bottom w:val="none" w:sz="0" w:space="0" w:color="auto"/>
        <w:right w:val="none" w:sz="0" w:space="0" w:color="auto"/>
      </w:divBdr>
    </w:div>
    <w:div w:id="1667201793">
      <w:bodyDiv w:val="1"/>
      <w:marLeft w:val="0"/>
      <w:marRight w:val="0"/>
      <w:marTop w:val="0"/>
      <w:marBottom w:val="0"/>
      <w:divBdr>
        <w:top w:val="none" w:sz="0" w:space="0" w:color="auto"/>
        <w:left w:val="none" w:sz="0" w:space="0" w:color="auto"/>
        <w:bottom w:val="none" w:sz="0" w:space="0" w:color="auto"/>
        <w:right w:val="none" w:sz="0" w:space="0" w:color="auto"/>
      </w:divBdr>
      <w:divsChild>
        <w:div w:id="1723753516">
          <w:marLeft w:val="0"/>
          <w:marRight w:val="0"/>
          <w:marTop w:val="0"/>
          <w:marBottom w:val="0"/>
          <w:divBdr>
            <w:top w:val="none" w:sz="0" w:space="0" w:color="auto"/>
            <w:left w:val="none" w:sz="0" w:space="0" w:color="auto"/>
            <w:bottom w:val="none" w:sz="0" w:space="0" w:color="auto"/>
            <w:right w:val="none" w:sz="0" w:space="0" w:color="auto"/>
          </w:divBdr>
          <w:divsChild>
            <w:div w:id="1227840482">
              <w:marLeft w:val="0"/>
              <w:marRight w:val="0"/>
              <w:marTop w:val="0"/>
              <w:marBottom w:val="0"/>
              <w:divBdr>
                <w:top w:val="none" w:sz="0" w:space="0" w:color="auto"/>
                <w:left w:val="none" w:sz="0" w:space="0" w:color="auto"/>
                <w:bottom w:val="none" w:sz="0" w:space="0" w:color="auto"/>
                <w:right w:val="none" w:sz="0" w:space="0" w:color="auto"/>
              </w:divBdr>
            </w:div>
            <w:div w:id="531654049">
              <w:marLeft w:val="439"/>
              <w:marRight w:val="0"/>
              <w:marTop w:val="0"/>
              <w:marBottom w:val="0"/>
              <w:divBdr>
                <w:top w:val="none" w:sz="0" w:space="0" w:color="auto"/>
                <w:left w:val="none" w:sz="0" w:space="0" w:color="auto"/>
                <w:bottom w:val="none" w:sz="0" w:space="0" w:color="auto"/>
                <w:right w:val="none" w:sz="0" w:space="0" w:color="auto"/>
              </w:divBdr>
              <w:divsChild>
                <w:div w:id="222759330">
                  <w:marLeft w:val="0"/>
                  <w:marRight w:val="0"/>
                  <w:marTop w:val="0"/>
                  <w:marBottom w:val="0"/>
                  <w:divBdr>
                    <w:top w:val="none" w:sz="0" w:space="0" w:color="auto"/>
                    <w:left w:val="none" w:sz="0" w:space="0" w:color="auto"/>
                    <w:bottom w:val="none" w:sz="0" w:space="0" w:color="auto"/>
                    <w:right w:val="none" w:sz="0" w:space="0" w:color="auto"/>
                  </w:divBdr>
                  <w:divsChild>
                    <w:div w:id="142047461">
                      <w:marLeft w:val="0"/>
                      <w:marRight w:val="0"/>
                      <w:marTop w:val="0"/>
                      <w:marBottom w:val="0"/>
                      <w:divBdr>
                        <w:top w:val="none" w:sz="0" w:space="0" w:color="auto"/>
                        <w:left w:val="none" w:sz="0" w:space="0" w:color="auto"/>
                        <w:bottom w:val="none" w:sz="0" w:space="0" w:color="auto"/>
                        <w:right w:val="none" w:sz="0" w:space="0" w:color="auto"/>
                      </w:divBdr>
                    </w:div>
                    <w:div w:id="274484169">
                      <w:marLeft w:val="176"/>
                      <w:marRight w:val="0"/>
                      <w:marTop w:val="0"/>
                      <w:marBottom w:val="0"/>
                      <w:divBdr>
                        <w:top w:val="none" w:sz="0" w:space="0" w:color="auto"/>
                        <w:left w:val="none" w:sz="0" w:space="0" w:color="auto"/>
                        <w:bottom w:val="none" w:sz="0" w:space="0" w:color="auto"/>
                        <w:right w:val="none" w:sz="0" w:space="0" w:color="auto"/>
                      </w:divBdr>
                    </w:div>
                  </w:divsChild>
                </w:div>
                <w:div w:id="656155474">
                  <w:marLeft w:val="0"/>
                  <w:marRight w:val="0"/>
                  <w:marTop w:val="0"/>
                  <w:marBottom w:val="0"/>
                  <w:divBdr>
                    <w:top w:val="none" w:sz="0" w:space="0" w:color="auto"/>
                    <w:left w:val="none" w:sz="0" w:space="0" w:color="auto"/>
                    <w:bottom w:val="none" w:sz="0" w:space="0" w:color="auto"/>
                    <w:right w:val="none" w:sz="0" w:space="0" w:color="auto"/>
                  </w:divBdr>
                  <w:divsChild>
                    <w:div w:id="243226378">
                      <w:marLeft w:val="0"/>
                      <w:marRight w:val="0"/>
                      <w:marTop w:val="0"/>
                      <w:marBottom w:val="0"/>
                      <w:divBdr>
                        <w:top w:val="none" w:sz="0" w:space="0" w:color="auto"/>
                        <w:left w:val="none" w:sz="0" w:space="0" w:color="auto"/>
                        <w:bottom w:val="none" w:sz="0" w:space="0" w:color="auto"/>
                        <w:right w:val="none" w:sz="0" w:space="0" w:color="auto"/>
                      </w:divBdr>
                    </w:div>
                    <w:div w:id="1005865877">
                      <w:marLeft w:val="1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4355">
          <w:marLeft w:val="0"/>
          <w:marRight w:val="0"/>
          <w:marTop w:val="0"/>
          <w:marBottom w:val="0"/>
          <w:divBdr>
            <w:top w:val="none" w:sz="0" w:space="0" w:color="auto"/>
            <w:left w:val="none" w:sz="0" w:space="0" w:color="auto"/>
            <w:bottom w:val="none" w:sz="0" w:space="0" w:color="auto"/>
            <w:right w:val="none" w:sz="0" w:space="0" w:color="auto"/>
          </w:divBdr>
        </w:div>
      </w:divsChild>
    </w:div>
    <w:div w:id="1696878877">
      <w:bodyDiv w:val="1"/>
      <w:marLeft w:val="0"/>
      <w:marRight w:val="0"/>
      <w:marTop w:val="0"/>
      <w:marBottom w:val="0"/>
      <w:divBdr>
        <w:top w:val="none" w:sz="0" w:space="0" w:color="auto"/>
        <w:left w:val="none" w:sz="0" w:space="0" w:color="auto"/>
        <w:bottom w:val="none" w:sz="0" w:space="0" w:color="auto"/>
        <w:right w:val="none" w:sz="0" w:space="0" w:color="auto"/>
      </w:divBdr>
      <w:divsChild>
        <w:div w:id="1402295340">
          <w:marLeft w:val="0"/>
          <w:marRight w:val="0"/>
          <w:marTop w:val="0"/>
          <w:marBottom w:val="0"/>
          <w:divBdr>
            <w:top w:val="none" w:sz="0" w:space="0" w:color="auto"/>
            <w:left w:val="none" w:sz="0" w:space="0" w:color="auto"/>
            <w:bottom w:val="none" w:sz="0" w:space="0" w:color="auto"/>
            <w:right w:val="none" w:sz="0" w:space="0" w:color="auto"/>
          </w:divBdr>
          <w:divsChild>
            <w:div w:id="307831847">
              <w:marLeft w:val="0"/>
              <w:marRight w:val="0"/>
              <w:marTop w:val="0"/>
              <w:marBottom w:val="0"/>
              <w:divBdr>
                <w:top w:val="none" w:sz="0" w:space="0" w:color="auto"/>
                <w:left w:val="none" w:sz="0" w:space="0" w:color="auto"/>
                <w:bottom w:val="none" w:sz="0" w:space="0" w:color="auto"/>
                <w:right w:val="none" w:sz="0" w:space="0" w:color="auto"/>
              </w:divBdr>
            </w:div>
            <w:div w:id="260532457">
              <w:marLeft w:val="439"/>
              <w:marRight w:val="0"/>
              <w:marTop w:val="0"/>
              <w:marBottom w:val="0"/>
              <w:divBdr>
                <w:top w:val="none" w:sz="0" w:space="0" w:color="auto"/>
                <w:left w:val="none" w:sz="0" w:space="0" w:color="auto"/>
                <w:bottom w:val="none" w:sz="0" w:space="0" w:color="auto"/>
                <w:right w:val="none" w:sz="0" w:space="0" w:color="auto"/>
              </w:divBdr>
              <w:divsChild>
                <w:div w:id="1856528815">
                  <w:marLeft w:val="0"/>
                  <w:marRight w:val="0"/>
                  <w:marTop w:val="0"/>
                  <w:marBottom w:val="0"/>
                  <w:divBdr>
                    <w:top w:val="none" w:sz="0" w:space="0" w:color="auto"/>
                    <w:left w:val="none" w:sz="0" w:space="0" w:color="auto"/>
                    <w:bottom w:val="none" w:sz="0" w:space="0" w:color="auto"/>
                    <w:right w:val="none" w:sz="0" w:space="0" w:color="auto"/>
                  </w:divBdr>
                  <w:divsChild>
                    <w:div w:id="182670364">
                      <w:marLeft w:val="0"/>
                      <w:marRight w:val="0"/>
                      <w:marTop w:val="0"/>
                      <w:marBottom w:val="0"/>
                      <w:divBdr>
                        <w:top w:val="none" w:sz="0" w:space="0" w:color="auto"/>
                        <w:left w:val="none" w:sz="0" w:space="0" w:color="auto"/>
                        <w:bottom w:val="none" w:sz="0" w:space="0" w:color="auto"/>
                        <w:right w:val="none" w:sz="0" w:space="0" w:color="auto"/>
                      </w:divBdr>
                    </w:div>
                    <w:div w:id="1325160967">
                      <w:marLeft w:val="176"/>
                      <w:marRight w:val="0"/>
                      <w:marTop w:val="0"/>
                      <w:marBottom w:val="0"/>
                      <w:divBdr>
                        <w:top w:val="none" w:sz="0" w:space="0" w:color="auto"/>
                        <w:left w:val="none" w:sz="0" w:space="0" w:color="auto"/>
                        <w:bottom w:val="none" w:sz="0" w:space="0" w:color="auto"/>
                        <w:right w:val="none" w:sz="0" w:space="0" w:color="auto"/>
                      </w:divBdr>
                    </w:div>
                  </w:divsChild>
                </w:div>
                <w:div w:id="1865249810">
                  <w:marLeft w:val="0"/>
                  <w:marRight w:val="0"/>
                  <w:marTop w:val="0"/>
                  <w:marBottom w:val="0"/>
                  <w:divBdr>
                    <w:top w:val="none" w:sz="0" w:space="0" w:color="auto"/>
                    <w:left w:val="none" w:sz="0" w:space="0" w:color="auto"/>
                    <w:bottom w:val="none" w:sz="0" w:space="0" w:color="auto"/>
                    <w:right w:val="none" w:sz="0" w:space="0" w:color="auto"/>
                  </w:divBdr>
                  <w:divsChild>
                    <w:div w:id="179438773">
                      <w:marLeft w:val="0"/>
                      <w:marRight w:val="0"/>
                      <w:marTop w:val="0"/>
                      <w:marBottom w:val="0"/>
                      <w:divBdr>
                        <w:top w:val="none" w:sz="0" w:space="0" w:color="auto"/>
                        <w:left w:val="none" w:sz="0" w:space="0" w:color="auto"/>
                        <w:bottom w:val="none" w:sz="0" w:space="0" w:color="auto"/>
                        <w:right w:val="none" w:sz="0" w:space="0" w:color="auto"/>
                      </w:divBdr>
                    </w:div>
                    <w:div w:id="343868836">
                      <w:marLeft w:val="1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0060">
          <w:marLeft w:val="0"/>
          <w:marRight w:val="0"/>
          <w:marTop w:val="0"/>
          <w:marBottom w:val="0"/>
          <w:divBdr>
            <w:top w:val="none" w:sz="0" w:space="0" w:color="auto"/>
            <w:left w:val="none" w:sz="0" w:space="0" w:color="auto"/>
            <w:bottom w:val="none" w:sz="0" w:space="0" w:color="auto"/>
            <w:right w:val="none" w:sz="0" w:space="0" w:color="auto"/>
          </w:divBdr>
        </w:div>
      </w:divsChild>
    </w:div>
    <w:div w:id="1840461826">
      <w:bodyDiv w:val="1"/>
      <w:marLeft w:val="0"/>
      <w:marRight w:val="0"/>
      <w:marTop w:val="0"/>
      <w:marBottom w:val="0"/>
      <w:divBdr>
        <w:top w:val="none" w:sz="0" w:space="0" w:color="auto"/>
        <w:left w:val="none" w:sz="0" w:space="0" w:color="auto"/>
        <w:bottom w:val="none" w:sz="0" w:space="0" w:color="auto"/>
        <w:right w:val="none" w:sz="0" w:space="0" w:color="auto"/>
      </w:divBdr>
      <w:divsChild>
        <w:div w:id="1438215963">
          <w:marLeft w:val="0"/>
          <w:marRight w:val="0"/>
          <w:marTop w:val="0"/>
          <w:marBottom w:val="0"/>
          <w:divBdr>
            <w:top w:val="none" w:sz="0" w:space="0" w:color="auto"/>
            <w:left w:val="none" w:sz="0" w:space="0" w:color="auto"/>
            <w:bottom w:val="none" w:sz="0" w:space="0" w:color="auto"/>
            <w:right w:val="none" w:sz="0" w:space="0" w:color="auto"/>
          </w:divBdr>
          <w:divsChild>
            <w:div w:id="1528913192">
              <w:marLeft w:val="0"/>
              <w:marRight w:val="0"/>
              <w:marTop w:val="0"/>
              <w:marBottom w:val="0"/>
              <w:divBdr>
                <w:top w:val="none" w:sz="0" w:space="0" w:color="auto"/>
                <w:left w:val="none" w:sz="0" w:space="0" w:color="auto"/>
                <w:bottom w:val="none" w:sz="0" w:space="0" w:color="auto"/>
                <w:right w:val="none" w:sz="0" w:space="0" w:color="auto"/>
              </w:divBdr>
            </w:div>
            <w:div w:id="1985548345">
              <w:marLeft w:val="439"/>
              <w:marRight w:val="0"/>
              <w:marTop w:val="0"/>
              <w:marBottom w:val="0"/>
              <w:divBdr>
                <w:top w:val="none" w:sz="0" w:space="0" w:color="auto"/>
                <w:left w:val="none" w:sz="0" w:space="0" w:color="auto"/>
                <w:bottom w:val="none" w:sz="0" w:space="0" w:color="auto"/>
                <w:right w:val="none" w:sz="0" w:space="0" w:color="auto"/>
              </w:divBdr>
              <w:divsChild>
                <w:div w:id="934480249">
                  <w:marLeft w:val="0"/>
                  <w:marRight w:val="0"/>
                  <w:marTop w:val="0"/>
                  <w:marBottom w:val="0"/>
                  <w:divBdr>
                    <w:top w:val="none" w:sz="0" w:space="0" w:color="auto"/>
                    <w:left w:val="none" w:sz="0" w:space="0" w:color="auto"/>
                    <w:bottom w:val="none" w:sz="0" w:space="0" w:color="auto"/>
                    <w:right w:val="none" w:sz="0" w:space="0" w:color="auto"/>
                  </w:divBdr>
                  <w:divsChild>
                    <w:div w:id="2017609914">
                      <w:marLeft w:val="0"/>
                      <w:marRight w:val="0"/>
                      <w:marTop w:val="0"/>
                      <w:marBottom w:val="0"/>
                      <w:divBdr>
                        <w:top w:val="none" w:sz="0" w:space="0" w:color="auto"/>
                        <w:left w:val="none" w:sz="0" w:space="0" w:color="auto"/>
                        <w:bottom w:val="none" w:sz="0" w:space="0" w:color="auto"/>
                        <w:right w:val="none" w:sz="0" w:space="0" w:color="auto"/>
                      </w:divBdr>
                    </w:div>
                    <w:div w:id="872884235">
                      <w:marLeft w:val="176"/>
                      <w:marRight w:val="0"/>
                      <w:marTop w:val="0"/>
                      <w:marBottom w:val="0"/>
                      <w:divBdr>
                        <w:top w:val="none" w:sz="0" w:space="0" w:color="auto"/>
                        <w:left w:val="none" w:sz="0" w:space="0" w:color="auto"/>
                        <w:bottom w:val="none" w:sz="0" w:space="0" w:color="auto"/>
                        <w:right w:val="none" w:sz="0" w:space="0" w:color="auto"/>
                      </w:divBdr>
                    </w:div>
                  </w:divsChild>
                </w:div>
                <w:div w:id="39595157">
                  <w:marLeft w:val="0"/>
                  <w:marRight w:val="0"/>
                  <w:marTop w:val="0"/>
                  <w:marBottom w:val="0"/>
                  <w:divBdr>
                    <w:top w:val="none" w:sz="0" w:space="0" w:color="auto"/>
                    <w:left w:val="none" w:sz="0" w:space="0" w:color="auto"/>
                    <w:bottom w:val="none" w:sz="0" w:space="0" w:color="auto"/>
                    <w:right w:val="none" w:sz="0" w:space="0" w:color="auto"/>
                  </w:divBdr>
                  <w:divsChild>
                    <w:div w:id="1731004451">
                      <w:marLeft w:val="0"/>
                      <w:marRight w:val="0"/>
                      <w:marTop w:val="0"/>
                      <w:marBottom w:val="0"/>
                      <w:divBdr>
                        <w:top w:val="none" w:sz="0" w:space="0" w:color="auto"/>
                        <w:left w:val="none" w:sz="0" w:space="0" w:color="auto"/>
                        <w:bottom w:val="none" w:sz="0" w:space="0" w:color="auto"/>
                        <w:right w:val="none" w:sz="0" w:space="0" w:color="auto"/>
                      </w:divBdr>
                    </w:div>
                    <w:div w:id="573783294">
                      <w:marLeft w:val="1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5462">
          <w:marLeft w:val="0"/>
          <w:marRight w:val="0"/>
          <w:marTop w:val="0"/>
          <w:marBottom w:val="0"/>
          <w:divBdr>
            <w:top w:val="none" w:sz="0" w:space="0" w:color="auto"/>
            <w:left w:val="none" w:sz="0" w:space="0" w:color="auto"/>
            <w:bottom w:val="none" w:sz="0" w:space="0" w:color="auto"/>
            <w:right w:val="none" w:sz="0" w:space="0" w:color="auto"/>
          </w:divBdr>
        </w:div>
      </w:divsChild>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88E43-2DCE-4253-B4DF-805A09B3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2022-12-13T00:11:00Z</dcterms:created>
  <dcterms:modified xsi:type="dcterms:W3CDTF">2022-12-13T00:11:00Z</dcterms:modified>
</cp:coreProperties>
</file>