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2A058" w14:textId="67A8C586" w:rsidR="00B56B9A" w:rsidRDefault="00B56B9A" w:rsidP="00B56B9A">
      <w:pPr>
        <w:spacing w:before="160" w:line="240" w:lineRule="auto"/>
        <w:rPr>
          <w:rFonts w:asciiTheme="majorHAnsi" w:hAnsiTheme="majorHAnsi"/>
          <w:color w:val="001A70" w:themeColor="text2"/>
          <w:sz w:val="52"/>
        </w:rPr>
      </w:pPr>
      <w:bookmarkStart w:id="0" w:name="_Hlk4568006"/>
      <w:r w:rsidRPr="00B56B9A">
        <w:rPr>
          <w:rFonts w:asciiTheme="majorHAnsi" w:hAnsiTheme="majorHAnsi"/>
          <w:color w:val="001A70" w:themeColor="text2"/>
          <w:sz w:val="52"/>
        </w:rPr>
        <w:t xml:space="preserve">Extension of the SARS-CoV-2 (COVID-19) </w:t>
      </w:r>
      <w:r w:rsidR="003A0EA1">
        <w:rPr>
          <w:rFonts w:asciiTheme="majorHAnsi" w:hAnsiTheme="majorHAnsi"/>
          <w:color w:val="001A70" w:themeColor="text2"/>
          <w:sz w:val="52"/>
        </w:rPr>
        <w:t>Pathology</w:t>
      </w:r>
      <w:r w:rsidR="00EB15EC">
        <w:rPr>
          <w:rFonts w:asciiTheme="majorHAnsi" w:hAnsiTheme="majorHAnsi"/>
          <w:color w:val="001A70" w:themeColor="text2"/>
          <w:sz w:val="52"/>
        </w:rPr>
        <w:t xml:space="preserve"> </w:t>
      </w:r>
      <w:r w:rsidRPr="00B56B9A">
        <w:rPr>
          <w:rFonts w:asciiTheme="majorHAnsi" w:hAnsiTheme="majorHAnsi"/>
          <w:color w:val="001A70" w:themeColor="text2"/>
          <w:sz w:val="52"/>
        </w:rPr>
        <w:t>Item</w:t>
      </w:r>
      <w:r>
        <w:rPr>
          <w:rFonts w:asciiTheme="majorHAnsi" w:hAnsiTheme="majorHAnsi"/>
          <w:color w:val="001A70" w:themeColor="text2"/>
          <w:sz w:val="52"/>
        </w:rPr>
        <w:t>s</w:t>
      </w:r>
    </w:p>
    <w:p w14:paraId="40E354D9" w14:textId="5B167147" w:rsidR="00907B4A" w:rsidRPr="00AB53A4" w:rsidRDefault="00216BBF" w:rsidP="00AB53A4">
      <w:r>
        <w:t xml:space="preserve">Last updated: </w:t>
      </w:r>
      <w:r w:rsidR="003A0EA1">
        <w:t xml:space="preserve">28 </w:t>
      </w:r>
      <w:r w:rsidR="00D549D0">
        <w:t>March</w:t>
      </w:r>
      <w:r w:rsidR="002A45FB">
        <w:t xml:space="preserve"> 202</w:t>
      </w:r>
      <w:r w:rsidR="00D549D0">
        <w:t>2</w:t>
      </w:r>
    </w:p>
    <w:p w14:paraId="2CA877B5" w14:textId="1DABA968" w:rsidR="008C776B" w:rsidRDefault="008C776B" w:rsidP="008C776B">
      <w:pPr>
        <w:pStyle w:val="ListParagraph"/>
        <w:numPr>
          <w:ilvl w:val="0"/>
          <w:numId w:val="1"/>
        </w:numPr>
      </w:pPr>
      <w:bookmarkStart w:id="1" w:name="_Hlk535506978"/>
      <w:bookmarkEnd w:id="0"/>
      <w:r>
        <w:t>Th</w:t>
      </w:r>
      <w:r w:rsidRPr="00D2017F">
        <w:t>e Australian Government has extended</w:t>
      </w:r>
      <w:r>
        <w:t xml:space="preserve"> </w:t>
      </w:r>
      <w:r w:rsidRPr="00F84A95">
        <w:t>the temporary Medicare Benefits Schedule (MBS) items 69479 and 69480</w:t>
      </w:r>
      <w:r w:rsidR="003A0EA1">
        <w:t xml:space="preserve">, which supports </w:t>
      </w:r>
      <w:r w:rsidR="00EB15EC">
        <w:t xml:space="preserve">pathology </w:t>
      </w:r>
      <w:r w:rsidR="00AD7365">
        <w:t xml:space="preserve">laboratory </w:t>
      </w:r>
      <w:r w:rsidRPr="00F84A95">
        <w:t>testing for COVID-19</w:t>
      </w:r>
      <w:r w:rsidR="00EB15EC">
        <w:t xml:space="preserve"> via </w:t>
      </w:r>
      <w:r w:rsidR="00EB15EC" w:rsidRPr="00F84A95">
        <w:t>polymerase chain reaction (PCR)</w:t>
      </w:r>
      <w:r w:rsidR="00EB15EC">
        <w:t>,</w:t>
      </w:r>
      <w:r w:rsidR="00EB15EC" w:rsidRPr="00F84A95">
        <w:t xml:space="preserve"> </w:t>
      </w:r>
      <w:r w:rsidRPr="00F84A95">
        <w:t xml:space="preserve">until 30 </w:t>
      </w:r>
      <w:r w:rsidR="00D549D0">
        <w:t>September</w:t>
      </w:r>
      <w:r w:rsidRPr="00F84A95">
        <w:t xml:space="preserve"> 2022.</w:t>
      </w:r>
    </w:p>
    <w:p w14:paraId="24B72B0A" w14:textId="21EA1631" w:rsidR="008C776B" w:rsidRDefault="008C776B" w:rsidP="008C776B">
      <w:pPr>
        <w:pStyle w:val="ListParagraph"/>
        <w:numPr>
          <w:ilvl w:val="0"/>
          <w:numId w:val="1"/>
        </w:numPr>
      </w:pPr>
      <w:r>
        <w:t xml:space="preserve">MBS items 69479 and </w:t>
      </w:r>
      <w:r w:rsidRPr="00A541AD">
        <w:t>69480</w:t>
      </w:r>
      <w:r w:rsidR="005F6554">
        <w:t xml:space="preserve"> apply following a request from a medical or nurse practitioner </w:t>
      </w:r>
      <w:r w:rsidRPr="00A541AD">
        <w:t>that the test is necessary for th</w:t>
      </w:r>
      <w:r>
        <w:t>e</w:t>
      </w:r>
      <w:r w:rsidR="00775A74">
        <w:t xml:space="preserve"> </w:t>
      </w:r>
      <w:r w:rsidR="00DC2CD9">
        <w:t>clinical management</w:t>
      </w:r>
      <w:r w:rsidR="00775A74">
        <w:t xml:space="preserve"> of their patient</w:t>
      </w:r>
      <w:r w:rsidR="005F6554">
        <w:t>.</w:t>
      </w:r>
    </w:p>
    <w:bookmarkEnd w:id="1"/>
    <w:p w14:paraId="5CD3A95A" w14:textId="41EC573E" w:rsidR="0017279A" w:rsidRDefault="0017279A" w:rsidP="00EF30AE">
      <w:pPr>
        <w:sectPr w:rsidR="0017279A" w:rsidSect="00A77223">
          <w:headerReference w:type="default" r:id="rId8"/>
          <w:footerReference w:type="default" r:id="rId9"/>
          <w:type w:val="continuous"/>
          <w:pgSz w:w="11906" w:h="16838"/>
          <w:pgMar w:top="3261" w:right="720" w:bottom="720" w:left="720" w:header="708" w:footer="708" w:gutter="0"/>
          <w:cols w:space="708"/>
          <w:docGrid w:linePitch="360"/>
        </w:sectPr>
      </w:pPr>
    </w:p>
    <w:p w14:paraId="3F14BBD6" w14:textId="77777777" w:rsidR="00F074CE" w:rsidRPr="00AB53A4" w:rsidRDefault="00F074CE" w:rsidP="00AB53A4">
      <w:pPr>
        <w:pStyle w:val="Heading2"/>
      </w:pPr>
      <w:r w:rsidRPr="00AB53A4">
        <w:t>What are the changes</w:t>
      </w:r>
      <w:r w:rsidR="002A3C7C" w:rsidRPr="00AB53A4">
        <w:t>?</w:t>
      </w:r>
    </w:p>
    <w:p w14:paraId="7F718044" w14:textId="7A44D961" w:rsidR="007B2C94" w:rsidRDefault="004D5FD6" w:rsidP="007B2C94">
      <w:r>
        <w:t>As part of Budget 2022-23,</w:t>
      </w:r>
      <w:r w:rsidR="00355D84">
        <w:t xml:space="preserve"> t</w:t>
      </w:r>
      <w:r w:rsidR="00216BBF" w:rsidRPr="0068495C">
        <w:t xml:space="preserve">he </w:t>
      </w:r>
      <w:r w:rsidR="007B2C94">
        <w:t xml:space="preserve">Australian </w:t>
      </w:r>
      <w:r w:rsidR="00216BBF" w:rsidRPr="0068495C">
        <w:t xml:space="preserve">Government </w:t>
      </w:r>
      <w:r w:rsidR="00CC2421">
        <w:t>announced the extension of</w:t>
      </w:r>
      <w:r w:rsidR="007B2C94">
        <w:t xml:space="preserve"> the</w:t>
      </w:r>
      <w:r w:rsidR="006011FF">
        <w:t xml:space="preserve"> following</w:t>
      </w:r>
      <w:r w:rsidR="007B2C94">
        <w:t xml:space="preserve"> temporary COVID-19 pathology items </w:t>
      </w:r>
      <w:r w:rsidR="006011FF">
        <w:t>on the MBS to 3</w:t>
      </w:r>
      <w:r w:rsidR="005247C4">
        <w:t xml:space="preserve">0 </w:t>
      </w:r>
      <w:r w:rsidR="00D549D0">
        <w:t>September</w:t>
      </w:r>
      <w:r w:rsidR="005247C4">
        <w:t xml:space="preserve"> </w:t>
      </w:r>
      <w:r w:rsidR="006011FF">
        <w:t>202</w:t>
      </w:r>
      <w:r w:rsidR="00703E03">
        <w:t>2</w:t>
      </w:r>
      <w:r w:rsidR="008A68FE">
        <w:t>. The MBS items remain at the same MBS fee</w:t>
      </w:r>
      <w:r w:rsidR="006011FF">
        <w:t>:</w:t>
      </w:r>
    </w:p>
    <w:p w14:paraId="623AA3AF" w14:textId="0620216F" w:rsidR="006011FF" w:rsidRDefault="006011FF" w:rsidP="007D7591">
      <w:pPr>
        <w:pStyle w:val="ListParagraph"/>
        <w:ind w:hanging="357"/>
      </w:pPr>
      <w:r>
        <w:t>MBS item 69479</w:t>
      </w:r>
      <w:r w:rsidR="00AB006A">
        <w:t xml:space="preserve">, at a schedule fee of $42.50 </w:t>
      </w:r>
      <w:r>
        <w:t xml:space="preserve">for COVID-19 </w:t>
      </w:r>
      <w:r w:rsidR="004D5FD6">
        <w:t xml:space="preserve">pathology </w:t>
      </w:r>
      <w:r w:rsidR="00752E96">
        <w:t xml:space="preserve">laboratory testing </w:t>
      </w:r>
      <w:r>
        <w:t>if:</w:t>
      </w:r>
    </w:p>
    <w:p w14:paraId="34AB8F15" w14:textId="42AE05E6" w:rsidR="006011FF" w:rsidRPr="00B14032" w:rsidRDefault="006011FF" w:rsidP="007D7591">
      <w:pPr>
        <w:pStyle w:val="ListParagraph"/>
        <w:numPr>
          <w:ilvl w:val="1"/>
          <w:numId w:val="2"/>
        </w:numPr>
        <w:ind w:hanging="357"/>
      </w:pPr>
      <w:r w:rsidRPr="006011FF">
        <w:rPr>
          <w:rFonts w:eastAsia="Times New Roman"/>
          <w:lang w:eastAsia="en-AU"/>
        </w:rPr>
        <w:t xml:space="preserve">the person is a private patient in a </w:t>
      </w:r>
      <w:r w:rsidR="008C776B">
        <w:rPr>
          <w:rFonts w:eastAsia="Times New Roman"/>
          <w:lang w:eastAsia="en-AU"/>
        </w:rPr>
        <w:t>public</w:t>
      </w:r>
      <w:r w:rsidRPr="006011FF">
        <w:rPr>
          <w:rFonts w:eastAsia="Times New Roman"/>
          <w:lang w:eastAsia="en-AU"/>
        </w:rPr>
        <w:t xml:space="preserve"> hospital; or</w:t>
      </w:r>
    </w:p>
    <w:p w14:paraId="3E70F77A" w14:textId="79657D47" w:rsidR="006011FF" w:rsidRPr="00B14032" w:rsidRDefault="006011FF" w:rsidP="007D7591">
      <w:pPr>
        <w:pStyle w:val="ListParagraph"/>
        <w:numPr>
          <w:ilvl w:val="1"/>
          <w:numId w:val="2"/>
        </w:numPr>
        <w:ind w:hanging="357"/>
      </w:pPr>
      <w:r w:rsidRPr="00B82A2D">
        <w:rPr>
          <w:rFonts w:eastAsia="Times New Roman"/>
          <w:lang w:eastAsia="en-AU"/>
        </w:rPr>
        <w:t xml:space="preserve">the person receives the service from a </w:t>
      </w:r>
      <w:r w:rsidR="008C776B">
        <w:rPr>
          <w:rFonts w:eastAsia="Times New Roman"/>
          <w:lang w:eastAsia="en-AU"/>
        </w:rPr>
        <w:t>public pathology</w:t>
      </w:r>
      <w:r w:rsidRPr="00B82A2D">
        <w:rPr>
          <w:rFonts w:eastAsia="Times New Roman"/>
          <w:lang w:eastAsia="en-AU"/>
        </w:rPr>
        <w:t xml:space="preserve"> laboratory</w:t>
      </w:r>
      <w:r w:rsidR="008C776B">
        <w:rPr>
          <w:rFonts w:eastAsia="Times New Roman"/>
          <w:lang w:eastAsia="en-AU"/>
        </w:rPr>
        <w:t>.</w:t>
      </w:r>
    </w:p>
    <w:p w14:paraId="63CC192C" w14:textId="28DC6441" w:rsidR="00C23DB8" w:rsidRDefault="006011FF" w:rsidP="00041F03">
      <w:pPr>
        <w:pStyle w:val="ListParagraph"/>
        <w:ind w:left="357" w:hanging="357"/>
      </w:pPr>
      <w:r>
        <w:t xml:space="preserve">MBS item 69480, </w:t>
      </w:r>
      <w:r w:rsidR="00AB006A">
        <w:t xml:space="preserve">at a schedule fee of $85.00 </w:t>
      </w:r>
      <w:r>
        <w:t xml:space="preserve">for COVID-19 </w:t>
      </w:r>
      <w:r w:rsidR="004D5FD6">
        <w:t xml:space="preserve">pathology </w:t>
      </w:r>
      <w:r w:rsidR="00752E96">
        <w:t>laboratory testing, if</w:t>
      </w:r>
      <w:r>
        <w:t xml:space="preserve"> the service is not covered by item 69479 (</w:t>
      </w:r>
      <w:r w:rsidR="006B3C33">
        <w:t>for example</w:t>
      </w:r>
      <w:r w:rsidR="00FF5795">
        <w:t>,</w:t>
      </w:r>
      <w:r>
        <w:t xml:space="preserve"> where the service is provided in a private hospital</w:t>
      </w:r>
      <w:r w:rsidR="008C776B">
        <w:t xml:space="preserve"> or</w:t>
      </w:r>
      <w:r>
        <w:t xml:space="preserve"> by a private pathology laboratory)</w:t>
      </w:r>
      <w:r w:rsidR="008C776B">
        <w:t>.</w:t>
      </w:r>
    </w:p>
    <w:p w14:paraId="0859A7B1" w14:textId="77777777" w:rsidR="00D549D0" w:rsidRDefault="00D549D0" w:rsidP="00D549D0">
      <w:pPr>
        <w:pStyle w:val="ListParagraph"/>
        <w:numPr>
          <w:ilvl w:val="0"/>
          <w:numId w:val="0"/>
        </w:numPr>
        <w:ind w:left="357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617"/>
        <w:gridCol w:w="2617"/>
        <w:gridCol w:w="2617"/>
      </w:tblGrid>
      <w:tr w:rsidR="00D549D0" w14:paraId="48C13E0B" w14:textId="77777777" w:rsidTr="00D549D0"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18B528F5" w14:textId="4E5460D8" w:rsidR="00D549D0" w:rsidRPr="008C776B" w:rsidRDefault="00D549D0" w:rsidP="008C7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MBS Item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0B9B4F3B" w14:textId="00391AC8" w:rsidR="00D549D0" w:rsidRPr="008C776B" w:rsidRDefault="00D549D0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100% fee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603B50F1" w14:textId="29C51405" w:rsidR="00D549D0" w:rsidRPr="008C776B" w:rsidRDefault="00D549D0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85% benefit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DE5ED" w:themeFill="background2"/>
          </w:tcPr>
          <w:p w14:paraId="5E9D0477" w14:textId="089DC17D" w:rsidR="00D549D0" w:rsidRPr="008C776B" w:rsidRDefault="00D549D0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75% benefit</w:t>
            </w:r>
          </w:p>
        </w:tc>
      </w:tr>
      <w:tr w:rsidR="00D549D0" w14:paraId="51A59C0A" w14:textId="77777777" w:rsidTr="00D549D0">
        <w:tc>
          <w:tcPr>
            <w:tcW w:w="1249" w:type="pct"/>
          </w:tcPr>
          <w:p w14:paraId="1F9CAF9D" w14:textId="2C4107B7" w:rsidR="00D549D0" w:rsidRPr="008C776B" w:rsidRDefault="00D549D0" w:rsidP="008C776B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694</w:t>
            </w:r>
            <w:r>
              <w:rPr>
                <w:b/>
                <w:bCs/>
              </w:rPr>
              <w:t>79</w:t>
            </w:r>
          </w:p>
        </w:tc>
        <w:tc>
          <w:tcPr>
            <w:tcW w:w="1250" w:type="pct"/>
          </w:tcPr>
          <w:p w14:paraId="3FE30D9D" w14:textId="1FA4A65C" w:rsidR="00D549D0" w:rsidRDefault="00D549D0" w:rsidP="008C776B">
            <w:pPr>
              <w:jc w:val="center"/>
            </w:pPr>
            <w:r>
              <w:t>$42.50</w:t>
            </w:r>
          </w:p>
        </w:tc>
        <w:tc>
          <w:tcPr>
            <w:tcW w:w="1250" w:type="pct"/>
          </w:tcPr>
          <w:p w14:paraId="048E0EB7" w14:textId="2C672787" w:rsidR="00D549D0" w:rsidRDefault="00D549D0" w:rsidP="008C776B">
            <w:pPr>
              <w:jc w:val="center"/>
            </w:pPr>
            <w:r>
              <w:t>$36.15</w:t>
            </w:r>
          </w:p>
        </w:tc>
        <w:tc>
          <w:tcPr>
            <w:tcW w:w="1250" w:type="pct"/>
          </w:tcPr>
          <w:p w14:paraId="58D72B51" w14:textId="4EBB9BD3" w:rsidR="00D549D0" w:rsidRDefault="00D549D0" w:rsidP="008C776B">
            <w:pPr>
              <w:jc w:val="center"/>
            </w:pPr>
            <w:r>
              <w:t>$31.90</w:t>
            </w:r>
          </w:p>
        </w:tc>
      </w:tr>
      <w:tr w:rsidR="00D549D0" w14:paraId="4A213A32" w14:textId="77777777" w:rsidTr="00D549D0">
        <w:tc>
          <w:tcPr>
            <w:tcW w:w="1249" w:type="pct"/>
          </w:tcPr>
          <w:p w14:paraId="4CFC77BC" w14:textId="516511AB" w:rsidR="00D549D0" w:rsidRPr="008C776B" w:rsidRDefault="00D549D0" w:rsidP="001E459D">
            <w:pPr>
              <w:jc w:val="center"/>
              <w:rPr>
                <w:b/>
                <w:bCs/>
              </w:rPr>
            </w:pPr>
            <w:r w:rsidRPr="008C776B">
              <w:rPr>
                <w:b/>
                <w:bCs/>
              </w:rPr>
              <w:t>694</w:t>
            </w:r>
            <w:r>
              <w:rPr>
                <w:b/>
                <w:bCs/>
              </w:rPr>
              <w:t>80</w:t>
            </w:r>
          </w:p>
        </w:tc>
        <w:tc>
          <w:tcPr>
            <w:tcW w:w="1250" w:type="pct"/>
          </w:tcPr>
          <w:p w14:paraId="0D0CFA8F" w14:textId="3DAA9C9C" w:rsidR="00D549D0" w:rsidRDefault="00D549D0" w:rsidP="001E459D">
            <w:pPr>
              <w:jc w:val="center"/>
            </w:pPr>
            <w:r>
              <w:t>$85.00</w:t>
            </w:r>
          </w:p>
        </w:tc>
        <w:tc>
          <w:tcPr>
            <w:tcW w:w="1250" w:type="pct"/>
          </w:tcPr>
          <w:p w14:paraId="45F4FFF0" w14:textId="5546D3DA" w:rsidR="00D549D0" w:rsidRDefault="00D549D0" w:rsidP="001E459D">
            <w:pPr>
              <w:jc w:val="center"/>
            </w:pPr>
            <w:r>
              <w:t>$72.25</w:t>
            </w:r>
          </w:p>
        </w:tc>
        <w:tc>
          <w:tcPr>
            <w:tcW w:w="1250" w:type="pct"/>
          </w:tcPr>
          <w:p w14:paraId="630B78AC" w14:textId="193A4177" w:rsidR="00D549D0" w:rsidRDefault="00D549D0" w:rsidP="001E459D">
            <w:pPr>
              <w:jc w:val="center"/>
            </w:pPr>
            <w:r>
              <w:t>$63.75</w:t>
            </w:r>
          </w:p>
        </w:tc>
      </w:tr>
    </w:tbl>
    <w:p w14:paraId="667528A7" w14:textId="406D2422" w:rsidR="00215964" w:rsidRDefault="00215964" w:rsidP="00215964">
      <w:r>
        <w:t>.</w:t>
      </w:r>
    </w:p>
    <w:p w14:paraId="4F342E16" w14:textId="77777777" w:rsidR="00135417" w:rsidRDefault="00135417" w:rsidP="00AB53A4">
      <w:pPr>
        <w:pStyle w:val="Heading2"/>
      </w:pPr>
      <w:r>
        <w:t xml:space="preserve">Why </w:t>
      </w:r>
      <w:r w:rsidR="009F52D4">
        <w:t>are the changes being made</w:t>
      </w:r>
      <w:r>
        <w:t>?</w:t>
      </w:r>
    </w:p>
    <w:p w14:paraId="708293C4" w14:textId="29A0C7F3" w:rsidR="00EB15EC" w:rsidRDefault="00FD7DB8" w:rsidP="006C5EF4">
      <w:r>
        <w:t xml:space="preserve">The extension of </w:t>
      </w:r>
      <w:r w:rsidR="004B5720">
        <w:t>MBS item</w:t>
      </w:r>
      <w:r w:rsidR="00FF5795">
        <w:t>s</w:t>
      </w:r>
      <w:r w:rsidR="004B5720">
        <w:t xml:space="preserve"> 69479 and 69480</w:t>
      </w:r>
      <w:r>
        <w:t xml:space="preserve"> until 3</w:t>
      </w:r>
      <w:r w:rsidR="00A8082B">
        <w:t>0</w:t>
      </w:r>
      <w:r>
        <w:t xml:space="preserve"> </w:t>
      </w:r>
      <w:r w:rsidR="00B56B9A">
        <w:t>September</w:t>
      </w:r>
      <w:r>
        <w:t xml:space="preserve"> 202</w:t>
      </w:r>
      <w:r w:rsidR="00A8082B">
        <w:t>2</w:t>
      </w:r>
      <w:r>
        <w:t xml:space="preserve"> </w:t>
      </w:r>
      <w:r w:rsidR="004B5720">
        <w:t xml:space="preserve">will </w:t>
      </w:r>
      <w:r w:rsidR="00DB2B08">
        <w:t>guarantee the</w:t>
      </w:r>
      <w:r w:rsidR="004B5720">
        <w:t xml:space="preserve"> ongoing accessibility </w:t>
      </w:r>
      <w:r w:rsidR="00DD17E1">
        <w:t>of</w:t>
      </w:r>
      <w:r w:rsidR="004B5720">
        <w:t xml:space="preserve"> </w:t>
      </w:r>
      <w:r w:rsidR="00DD17E1">
        <w:t xml:space="preserve">pathology </w:t>
      </w:r>
      <w:r w:rsidR="004B5720">
        <w:t xml:space="preserve">laboratory testing of SARS-CoV-2 (the virus which causes COVID-19) and </w:t>
      </w:r>
      <w:r w:rsidR="006C5EF4">
        <w:t>adequate</w:t>
      </w:r>
      <w:r w:rsidR="004B5720">
        <w:t xml:space="preserve"> </w:t>
      </w:r>
      <w:r w:rsidR="006C5EF4">
        <w:t>capacity to</w:t>
      </w:r>
      <w:r w:rsidR="004B5720">
        <w:t xml:space="preserve"> reliably diagnose COVID-19 in patients who present </w:t>
      </w:r>
      <w:r w:rsidR="005247C4">
        <w:t xml:space="preserve">to </w:t>
      </w:r>
      <w:r w:rsidR="00DB2B08">
        <w:t>their</w:t>
      </w:r>
      <w:r w:rsidR="005247C4">
        <w:t xml:space="preserve"> medical </w:t>
      </w:r>
      <w:r w:rsidR="007D7591">
        <w:t xml:space="preserve">or nurse </w:t>
      </w:r>
      <w:r w:rsidR="005247C4">
        <w:t xml:space="preserve">practitioner </w:t>
      </w:r>
      <w:r w:rsidR="004B5720">
        <w:t xml:space="preserve">and inform their clinical management. </w:t>
      </w:r>
    </w:p>
    <w:p w14:paraId="5EFD3A76" w14:textId="77777777" w:rsidR="00425089" w:rsidRDefault="00425089" w:rsidP="00AB53A4">
      <w:pPr>
        <w:pStyle w:val="Heading2"/>
      </w:pPr>
      <w:r>
        <w:t xml:space="preserve">What does this mean for </w:t>
      </w:r>
      <w:r w:rsidR="00135417">
        <w:t>providers/referrers/other stakeholder</w:t>
      </w:r>
      <w:r w:rsidR="00BF00A9">
        <w:t>s</w:t>
      </w:r>
      <w:r>
        <w:t>?</w:t>
      </w:r>
    </w:p>
    <w:p w14:paraId="3669E05B" w14:textId="5A4F7661" w:rsidR="00381A31" w:rsidRDefault="00CE7F5C" w:rsidP="00CE7F5C">
      <w:r>
        <w:t xml:space="preserve">The extension of </w:t>
      </w:r>
      <w:r w:rsidR="00FD7DB8">
        <w:t>the temporary COVID-19</w:t>
      </w:r>
      <w:r w:rsidR="00381A31">
        <w:t xml:space="preserve"> pathology </w:t>
      </w:r>
      <w:r>
        <w:t>item</w:t>
      </w:r>
      <w:r w:rsidR="005831BF">
        <w:t>s</w:t>
      </w:r>
      <w:r>
        <w:t xml:space="preserve"> </w:t>
      </w:r>
      <w:r w:rsidR="00FD7DB8">
        <w:t xml:space="preserve">on the MBS </w:t>
      </w:r>
      <w:r>
        <w:t>until 3</w:t>
      </w:r>
      <w:r w:rsidR="004B5720">
        <w:t>0</w:t>
      </w:r>
      <w:r>
        <w:t xml:space="preserve"> </w:t>
      </w:r>
      <w:r w:rsidR="00B56B9A">
        <w:t>September</w:t>
      </w:r>
      <w:r>
        <w:t xml:space="preserve"> 202</w:t>
      </w:r>
      <w:r w:rsidR="004B5720">
        <w:t>2</w:t>
      </w:r>
      <w:r>
        <w:t xml:space="preserve"> will allow continued support for </w:t>
      </w:r>
      <w:r w:rsidR="005831BF">
        <w:t xml:space="preserve">public and </w:t>
      </w:r>
      <w:r>
        <w:t>private pathology providers in providing testing for SARS-CoV-2</w:t>
      </w:r>
      <w:r w:rsidR="00381A31">
        <w:t>.</w:t>
      </w:r>
    </w:p>
    <w:p w14:paraId="39023133" w14:textId="1270CD89" w:rsidR="006B3C33" w:rsidRDefault="00381A31" w:rsidP="005247C4">
      <w:pPr>
        <w:rPr>
          <w:rFonts w:asciiTheme="minorHAnsi" w:eastAsia="Times New Roman" w:hAnsiTheme="minorHAnsi" w:cstheme="minorHAnsi"/>
          <w:color w:val="000000"/>
          <w:szCs w:val="20"/>
          <w:lang w:eastAsia="en-AU"/>
        </w:rPr>
      </w:pP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lastRenderedPageBreak/>
        <w:t xml:space="preserve">A request from a </w:t>
      </w:r>
      <w:r w:rsidR="007D7591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m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edical</w:t>
      </w:r>
      <w:r w:rsidR="007D7591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or nurse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="007D7591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p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ractitioner is a requirement for MBS items 69479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and 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69480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.</w:t>
      </w:r>
      <w:r w:rsidRPr="00B14032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In accordance with the </w:t>
      </w:r>
      <w:r w:rsidR="005247C4">
        <w:rPr>
          <w:rFonts w:asciiTheme="minorHAnsi" w:eastAsia="Times New Roman" w:hAnsiTheme="minorHAnsi" w:cstheme="minorHAnsi"/>
          <w:i/>
          <w:iCs/>
          <w:color w:val="000000"/>
          <w:szCs w:val="20"/>
          <w:lang w:eastAsia="en-AU"/>
        </w:rPr>
        <w:t xml:space="preserve">Health Insurance Act </w:t>
      </w:r>
      <w:r w:rsidR="005247C4" w:rsidRPr="005247C4">
        <w:rPr>
          <w:rFonts w:asciiTheme="minorHAnsi" w:eastAsia="Times New Roman" w:hAnsiTheme="minorHAnsi" w:cstheme="minorHAnsi"/>
          <w:i/>
          <w:iCs/>
          <w:color w:val="000000"/>
          <w:szCs w:val="20"/>
          <w:lang w:eastAsia="en-AU"/>
        </w:rPr>
        <w:t>1973</w:t>
      </w:r>
      <w:r w:rsid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, r</w:t>
      </w:r>
      <w:r w:rsidR="005247C4" w:rsidRP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ebates must only be claimed where a patient’s treating practitioner determines that the test is necessary for the </w:t>
      </w:r>
      <w:r w:rsidR="00D53EB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clinical management </w:t>
      </w:r>
      <w:r w:rsidR="005247C4" w:rsidRPr="005247C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of their patient.</w:t>
      </w:r>
    </w:p>
    <w:p w14:paraId="4364E4C7" w14:textId="628ECDF1" w:rsidR="00873532" w:rsidRDefault="00381A31">
      <w:r>
        <w:t xml:space="preserve">The temporary COVID-19 pathology items are </w:t>
      </w:r>
      <w:r w:rsidR="005831BF">
        <w:t>exempt from</w:t>
      </w:r>
      <w:r w:rsidR="006E3BFF">
        <w:t xml:space="preserve"> episode coning arrangements.</w:t>
      </w:r>
      <w:r w:rsidR="00672772">
        <w:t xml:space="preserve"> </w:t>
      </w:r>
      <w:r w:rsidR="00A324DB">
        <w:t>Laboratories must be specifically accredited for SARS-CoV-2 testing and under the national pathology accreditation program requirements, laboratories</w:t>
      </w:r>
      <w:r w:rsidR="006C5EF4">
        <w:t xml:space="preserve"> </w:t>
      </w:r>
      <w:r w:rsidR="005831BF">
        <w:t>are still</w:t>
      </w:r>
      <w:r w:rsidR="00873532" w:rsidRPr="00873532">
        <w:t xml:space="preserve"> </w:t>
      </w:r>
      <w:r w:rsidR="005831BF">
        <w:t xml:space="preserve">required to </w:t>
      </w:r>
      <w:r w:rsidR="00873532" w:rsidRPr="00873532">
        <w:t xml:space="preserve">participate in a relevant </w:t>
      </w:r>
      <w:r w:rsidR="00452996">
        <w:t>e</w:t>
      </w:r>
      <w:r w:rsidR="00873532" w:rsidRPr="00873532">
        <w:t>xternal Quality Assurance Program for testing methods</w:t>
      </w:r>
      <w:r w:rsidR="005831BF" w:rsidRPr="005831BF">
        <w:t xml:space="preserve"> </w:t>
      </w:r>
      <w:r w:rsidR="005831BF">
        <w:t>to provide testing for SARS-CoV-2.</w:t>
      </w:r>
    </w:p>
    <w:p w14:paraId="4933C456" w14:textId="3A9D7635" w:rsidR="00BF00A9" w:rsidRDefault="008766AD" w:rsidP="00AB53A4">
      <w:pPr>
        <w:pStyle w:val="Heading2"/>
      </w:pPr>
      <w:r>
        <w:t>How will</w:t>
      </w:r>
      <w:r w:rsidR="009F52D4">
        <w:t xml:space="preserve"> these changes affect patients</w:t>
      </w:r>
      <w:r w:rsidR="00BF00A9" w:rsidRPr="001A7FB7">
        <w:t>?</w:t>
      </w:r>
    </w:p>
    <w:p w14:paraId="61FFED09" w14:textId="38A1602E" w:rsidR="006C5EF4" w:rsidRDefault="009C5663" w:rsidP="006C5EF4">
      <w:r>
        <w:t xml:space="preserve">The extension of </w:t>
      </w:r>
      <w:r w:rsidR="00DB2B08">
        <w:t>MBS item</w:t>
      </w:r>
      <w:r w:rsidR="00FF5795">
        <w:t>s</w:t>
      </w:r>
      <w:r w:rsidR="00DB2B08">
        <w:t xml:space="preserve"> 69479 and 69480 u</w:t>
      </w:r>
      <w:r w:rsidR="00381A31">
        <w:t>ntil 3</w:t>
      </w:r>
      <w:r w:rsidR="00DB2B08">
        <w:t>0</w:t>
      </w:r>
      <w:r w:rsidR="00381A31">
        <w:t xml:space="preserve"> </w:t>
      </w:r>
      <w:r w:rsidR="00B56B9A">
        <w:t>September</w:t>
      </w:r>
      <w:r w:rsidR="00381A31">
        <w:t xml:space="preserve"> 202</w:t>
      </w:r>
      <w:r w:rsidR="00DB2B08">
        <w:t>2</w:t>
      </w:r>
      <w:r w:rsidR="00452996">
        <w:t xml:space="preserve"> will allow</w:t>
      </w:r>
      <w:r w:rsidR="00381A31">
        <w:t xml:space="preserve"> </w:t>
      </w:r>
      <w:r w:rsidR="00C93D9B">
        <w:t xml:space="preserve">Medicare </w:t>
      </w:r>
      <w:r w:rsidR="00381A31">
        <w:t>eligible</w:t>
      </w:r>
      <w:r w:rsidR="00452996">
        <w:t xml:space="preserve"> patients</w:t>
      </w:r>
      <w:r w:rsidR="00C93D9B">
        <w:t xml:space="preserve"> </w:t>
      </w:r>
      <w:r w:rsidR="00CC2421">
        <w:t>to</w:t>
      </w:r>
      <w:r w:rsidR="00452996">
        <w:t xml:space="preserve"> </w:t>
      </w:r>
      <w:r w:rsidR="008A68FE">
        <w:t xml:space="preserve">continue to </w:t>
      </w:r>
      <w:r w:rsidR="00452996">
        <w:t>access</w:t>
      </w:r>
      <w:r w:rsidR="00381A31">
        <w:t xml:space="preserve"> </w:t>
      </w:r>
      <w:r w:rsidR="005F6554">
        <w:t xml:space="preserve">clinically appropriate </w:t>
      </w:r>
      <w:r w:rsidR="00C93D9B">
        <w:t xml:space="preserve">COVID-19 </w:t>
      </w:r>
      <w:r w:rsidR="005F6554">
        <w:t xml:space="preserve">PCR </w:t>
      </w:r>
      <w:r w:rsidR="00381A31">
        <w:t xml:space="preserve">testing </w:t>
      </w:r>
      <w:r w:rsidR="00FF5795">
        <w:t>with</w:t>
      </w:r>
      <w:r w:rsidR="00381A31">
        <w:t xml:space="preserve"> no out-of-pocket cost</w:t>
      </w:r>
      <w:r w:rsidR="00C93D9B">
        <w:t>.</w:t>
      </w:r>
      <w:r w:rsidR="00CC2421">
        <w:t xml:space="preserve"> </w:t>
      </w:r>
      <w:r w:rsidR="00452996">
        <w:t>The requirements for patients to access th</w:t>
      </w:r>
      <w:r w:rsidR="00381A31">
        <w:t xml:space="preserve">ese </w:t>
      </w:r>
      <w:r w:rsidR="00452996">
        <w:t>service</w:t>
      </w:r>
      <w:r w:rsidR="00381A31">
        <w:t>s</w:t>
      </w:r>
      <w:r w:rsidR="00452996">
        <w:t xml:space="preserve"> have not changed.</w:t>
      </w:r>
    </w:p>
    <w:p w14:paraId="32354B49" w14:textId="77777777" w:rsidR="00595BBD" w:rsidRDefault="00595BBD" w:rsidP="00AB53A4">
      <w:pPr>
        <w:pStyle w:val="Heading2"/>
      </w:pPr>
      <w:r w:rsidRPr="001A7FB7">
        <w:t>Who was consulted on the changes?</w:t>
      </w:r>
    </w:p>
    <w:p w14:paraId="5126E498" w14:textId="709CD987" w:rsidR="002A45FB" w:rsidRPr="0057738B" w:rsidRDefault="002A45FB" w:rsidP="002A45FB">
      <w:r>
        <w:t>The extension of</w:t>
      </w:r>
      <w:r w:rsidR="00452996">
        <w:t xml:space="preserve"> the</w:t>
      </w:r>
      <w:r w:rsidR="00A77223">
        <w:t xml:space="preserve"> temporary COVID-19 pathology items on the </w:t>
      </w:r>
      <w:r w:rsidR="00452996">
        <w:t>MBS</w:t>
      </w:r>
      <w:r>
        <w:t xml:space="preserve"> items has been </w:t>
      </w:r>
      <w:r w:rsidR="00C93D9B">
        <w:t>made</w:t>
      </w:r>
      <w:r>
        <w:t xml:space="preserve"> in line with advice from the Australian Health Protection Principal Committee (AHPPC)</w:t>
      </w:r>
      <w:r w:rsidR="004D5FD6">
        <w:t>.</w:t>
      </w:r>
      <w:r w:rsidR="004D5FD6" w:rsidDel="004D5FD6">
        <w:t xml:space="preserve"> </w:t>
      </w:r>
      <w:r w:rsidR="004D5FD6">
        <w:t>T</w:t>
      </w:r>
      <w:r w:rsidR="005247C4">
        <w:t xml:space="preserve">he Royal College of Pathologists </w:t>
      </w:r>
      <w:r w:rsidR="004D5FD6">
        <w:t xml:space="preserve">of </w:t>
      </w:r>
      <w:r w:rsidR="005247C4">
        <w:t>Australasia, Public Pathology Australia, and Australian Pathology</w:t>
      </w:r>
      <w:r w:rsidR="004D5FD6">
        <w:t xml:space="preserve"> </w:t>
      </w:r>
      <w:r w:rsidR="00F937A2">
        <w:t xml:space="preserve">are being </w:t>
      </w:r>
      <w:r w:rsidR="004D5FD6">
        <w:t xml:space="preserve">consulted on </w:t>
      </w:r>
      <w:r w:rsidR="00F937A2">
        <w:t>the</w:t>
      </w:r>
      <w:r w:rsidR="004D5FD6">
        <w:t xml:space="preserve"> arrangements for COVID-19 testing</w:t>
      </w:r>
      <w:r w:rsidR="00F937A2">
        <w:t xml:space="preserve"> on an ongoing basis</w:t>
      </w:r>
      <w:r w:rsidR="004D5FD6">
        <w:t xml:space="preserve">. </w:t>
      </w:r>
    </w:p>
    <w:p w14:paraId="32BB6E10" w14:textId="77777777" w:rsidR="00595BBD" w:rsidRDefault="00595BBD" w:rsidP="00AB53A4">
      <w:pPr>
        <w:pStyle w:val="Heading2"/>
      </w:pPr>
      <w:r w:rsidRPr="001A7FB7">
        <w:t>How will the changes be monitored</w:t>
      </w:r>
      <w:r w:rsidR="000367AA">
        <w:t xml:space="preserve"> and reviewed</w:t>
      </w:r>
      <w:r w:rsidRPr="001A7FB7">
        <w:t>?</w:t>
      </w:r>
    </w:p>
    <w:p w14:paraId="780D747F" w14:textId="74ACC0C0" w:rsidR="001B23A9" w:rsidRDefault="00615B08" w:rsidP="00756073">
      <w:pPr>
        <w:rPr>
          <w:rFonts w:asciiTheme="majorHAnsi" w:hAnsiTheme="majorHAnsi"/>
          <w:color w:val="001A70" w:themeColor="text2"/>
          <w:sz w:val="28"/>
        </w:rPr>
      </w:pPr>
      <w:r>
        <w:t>The</w:t>
      </w:r>
      <w:r w:rsidR="00482BEA">
        <w:t xml:space="preserve"> </w:t>
      </w:r>
      <w:r>
        <w:t>COVID-19 testing items</w:t>
      </w:r>
      <w:r w:rsidR="00482BEA">
        <w:t xml:space="preserve"> </w:t>
      </w:r>
      <w:r w:rsidR="003227C1">
        <w:t>are</w:t>
      </w:r>
      <w:r w:rsidR="00482BEA">
        <w:t xml:space="preserve"> scheduled to be listed until </w:t>
      </w:r>
      <w:r w:rsidR="00A23C34">
        <w:t>3</w:t>
      </w:r>
      <w:r w:rsidR="005247C4">
        <w:t>0</w:t>
      </w:r>
      <w:r w:rsidR="00A23C34">
        <w:t xml:space="preserve"> </w:t>
      </w:r>
      <w:r w:rsidR="00B56B9A">
        <w:t>September</w:t>
      </w:r>
      <w:r w:rsidR="002A45FB">
        <w:t xml:space="preserve"> </w:t>
      </w:r>
      <w:r w:rsidR="00A23C34">
        <w:t>202</w:t>
      </w:r>
      <w:r w:rsidR="005247C4">
        <w:t>2</w:t>
      </w:r>
      <w:r w:rsidR="00944B5E">
        <w:t xml:space="preserve">. </w:t>
      </w:r>
      <w:r w:rsidR="00B56B9A">
        <w:t>Ongoing community transmission of COVID-19</w:t>
      </w:r>
      <w:r w:rsidR="00944B5E">
        <w:t xml:space="preserve"> and advice from the </w:t>
      </w:r>
      <w:r w:rsidR="002A45FB">
        <w:t>AHPPC</w:t>
      </w:r>
      <w:r w:rsidR="00944B5E">
        <w:t xml:space="preserve"> will </w:t>
      </w:r>
      <w:r w:rsidR="00A77223">
        <w:t>inform</w:t>
      </w:r>
      <w:r w:rsidR="004D5FD6">
        <w:t xml:space="preserve"> any further changes</w:t>
      </w:r>
      <w:r w:rsidR="00F937A2">
        <w:t xml:space="preserve">, including </w:t>
      </w:r>
      <w:r w:rsidR="004D5FD6">
        <w:t>extensions</w:t>
      </w:r>
      <w:r w:rsidR="00F937A2">
        <w:t>,</w:t>
      </w:r>
      <w:r w:rsidR="004D5FD6">
        <w:t xml:space="preserve"> to these items</w:t>
      </w:r>
      <w:r w:rsidR="00944B5E">
        <w:t>.</w:t>
      </w:r>
    </w:p>
    <w:p w14:paraId="373B1AF5" w14:textId="77777777" w:rsidR="00F93F71" w:rsidRDefault="00F93F71" w:rsidP="00AB53A4">
      <w:pPr>
        <w:pStyle w:val="Heading2"/>
      </w:pPr>
      <w:r>
        <w:t>Where can I find more information?</w:t>
      </w:r>
    </w:p>
    <w:p w14:paraId="51D93580" w14:textId="0739A15D" w:rsidR="00CC2421" w:rsidRDefault="00ED1055">
      <w:r>
        <w:t xml:space="preserve">If you have a query relating to </w:t>
      </w:r>
      <w:r w:rsidR="00FF5795">
        <w:t xml:space="preserve">the </w:t>
      </w:r>
      <w:r>
        <w:t xml:space="preserve">interpretation of the </w:t>
      </w:r>
      <w:r w:rsidR="00615B08">
        <w:t>MBS</w:t>
      </w:r>
      <w:r>
        <w:t xml:space="preserve">, you should email </w:t>
      </w:r>
      <w:hyperlink r:id="rId10" w:history="1">
        <w:r w:rsidR="002A79CA" w:rsidRPr="00BC6F11">
          <w:rPr>
            <w:rStyle w:val="Hyperlink"/>
          </w:rPr>
          <w:t>askMBS@health.gov.au</w:t>
        </w:r>
      </w:hyperlink>
      <w:r w:rsidR="00CC2421">
        <w:t>.</w:t>
      </w:r>
      <w:r w:rsidR="00615B08">
        <w:t xml:space="preserve"> </w:t>
      </w:r>
      <w:r w:rsidR="00B378D4">
        <w:t>Subscribe to ‘</w:t>
      </w:r>
      <w:r w:rsidR="00B378D4" w:rsidRPr="00CC2421">
        <w:t>News for Health Professionals</w:t>
      </w:r>
      <w:r w:rsidR="00B70349">
        <w:t xml:space="preserve">’ on </w:t>
      </w:r>
      <w:r w:rsidR="00705F74">
        <w:t xml:space="preserve">the </w:t>
      </w:r>
      <w:r w:rsidR="00B70349">
        <w:t>Services Australia</w:t>
      </w:r>
      <w:r w:rsidR="00B378D4">
        <w:t xml:space="preserve"> website</w:t>
      </w:r>
      <w:r w:rsidR="00615B08">
        <w:t xml:space="preserve"> to</w:t>
      </w:r>
      <w:r w:rsidR="00B378D4">
        <w:t xml:space="preserve"> receive regular news highlights</w:t>
      </w:r>
      <w:r w:rsidR="00CC2421">
        <w:t xml:space="preserve">: </w:t>
      </w:r>
      <w:hyperlink r:id="rId11" w:history="1">
        <w:r w:rsidR="002A79CA" w:rsidRPr="00BC6F11">
          <w:rPr>
            <w:rStyle w:val="Hyperlink"/>
          </w:rPr>
          <w:t>https://www.servicesaustralia.gov.au/organisations/health-professionals/news/all</w:t>
        </w:r>
      </w:hyperlink>
      <w:r w:rsidR="00CC2421">
        <w:t>.</w:t>
      </w:r>
    </w:p>
    <w:p w14:paraId="6669650F" w14:textId="38B8E922" w:rsidR="00ED1055" w:rsidRDefault="00ED1055">
      <w:r>
        <w:t>If you are seeking advice in relation to Medicare billing, claiming, payments, or provider number</w:t>
      </w:r>
      <w:r w:rsidR="00615B08">
        <w:t>s</w:t>
      </w:r>
      <w:r>
        <w:t xml:space="preserve">, please </w:t>
      </w:r>
      <w:bookmarkStart w:id="2" w:name="_Hlk7773414"/>
      <w:r w:rsidR="00615B08">
        <w:t>visit</w:t>
      </w:r>
      <w:r w:rsidR="00B378D4">
        <w:t xml:space="preserve"> the Health Professionals page on </w:t>
      </w:r>
      <w:r w:rsidR="00B70349">
        <w:t xml:space="preserve">the Services Australia </w:t>
      </w:r>
      <w:r w:rsidR="00B378D4">
        <w:t xml:space="preserve">website or </w:t>
      </w:r>
      <w:bookmarkEnd w:id="2"/>
      <w:r w:rsidR="00B70349">
        <w:t xml:space="preserve">contact </w:t>
      </w:r>
      <w:r>
        <w:t>the</w:t>
      </w:r>
      <w:r w:rsidR="00615B08">
        <w:t>ir</w:t>
      </w:r>
      <w:r>
        <w:t xml:space="preserve"> Provider Enquiry Line </w:t>
      </w:r>
      <w:r w:rsidR="00E7460D">
        <w:t>–</w:t>
      </w:r>
      <w:r>
        <w:t xml:space="preserve"> 13 21 50. </w:t>
      </w:r>
    </w:p>
    <w:p w14:paraId="529600C7" w14:textId="729FD1CD" w:rsidR="00656F11" w:rsidRPr="00F50994" w:rsidRDefault="00656F11" w:rsidP="00B14032">
      <w:pPr>
        <w:pStyle w:val="Disclaimer"/>
        <w:ind w:left="0"/>
      </w:pPr>
      <w:r w:rsidRPr="0029176A">
        <w:t xml:space="preserve">This sheet is current as of the </w:t>
      </w:r>
      <w:r>
        <w:t>L</w:t>
      </w:r>
      <w:r w:rsidRPr="0029176A">
        <w:t>ast updated date</w:t>
      </w:r>
      <w:r>
        <w:t xml:space="preserve"> shown above</w:t>
      </w:r>
      <w:r w:rsidRPr="0029176A">
        <w:t>, and does not account for MBS changes</w:t>
      </w:r>
      <w:r>
        <w:t xml:space="preserve"> since that date</w:t>
      </w:r>
      <w:r w:rsidRPr="0029176A">
        <w:t>.</w:t>
      </w:r>
    </w:p>
    <w:sectPr w:rsidR="00656F11" w:rsidRPr="00F50994" w:rsidSect="00B1403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07A7" w14:textId="77777777" w:rsidR="008949CC" w:rsidRDefault="008949CC" w:rsidP="006D1088">
      <w:pPr>
        <w:spacing w:after="0" w:line="240" w:lineRule="auto"/>
      </w:pPr>
      <w:r>
        <w:separator/>
      </w:r>
    </w:p>
  </w:endnote>
  <w:endnote w:type="continuationSeparator" w:id="0">
    <w:p w14:paraId="2E9E5BAD" w14:textId="77777777" w:rsidR="008949CC" w:rsidRDefault="008949CC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EE8A" w14:textId="77777777" w:rsidR="00C87F47" w:rsidRDefault="008949CC" w:rsidP="00672772">
    <w:pPr>
      <w:pStyle w:val="Footer"/>
    </w:pPr>
    <w:r>
      <w:rPr>
        <w:rStyle w:val="BookTitle"/>
        <w:noProof/>
      </w:rPr>
      <w:pict w14:anchorId="15284E97">
        <v:rect id="_x0000_i1025" style="width:523.3pt;height:1.9pt" o:hralign="center" o:hrstd="t" o:hr="t" fillcolor="#a0a0a0" stroked="f"/>
      </w:pict>
    </w:r>
    <w:r w:rsidR="00873532" w:rsidRPr="00672772">
      <w:t>Medicare Benefits Schedule</w:t>
    </w:r>
    <w:r w:rsidR="00873532">
      <w:t xml:space="preserve"> </w:t>
    </w:r>
  </w:p>
  <w:p w14:paraId="6E90AC89" w14:textId="2F51F0F3" w:rsidR="00873532" w:rsidRPr="00C87F47" w:rsidRDefault="00B56B9A" w:rsidP="00672772">
    <w:pPr>
      <w:pStyle w:val="Footer"/>
    </w:pPr>
    <w:r>
      <w:t xml:space="preserve">Extension of the </w:t>
    </w:r>
    <w:r w:rsidRPr="00356E9A">
      <w:t>SARS-CoV-2 (COVID-19)</w:t>
    </w:r>
    <w:r w:rsidR="00EB15EC">
      <w:t xml:space="preserve"> Pathology</w:t>
    </w:r>
    <w:r>
      <w:t xml:space="preserve"> Items –</w:t>
    </w:r>
    <w:r w:rsidRPr="00355D84">
      <w:t xml:space="preserve"> Factsheet</w:t>
    </w:r>
    <w:r w:rsidRPr="00B56B9A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3532" w:rsidRPr="00C87F47">
          <w:tab/>
        </w:r>
        <w:r w:rsidR="00873532" w:rsidRPr="00C87F47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72772">
                  <w:tab/>
                </w:r>
                <w:r w:rsidR="00672772">
                  <w:tab/>
                </w:r>
                <w:r w:rsidR="00873532" w:rsidRPr="00C87F47">
                  <w:t xml:space="preserve">Page 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873532" w:rsidRPr="00C87F47">
                  <w:rPr>
                    <w:bCs/>
                  </w:rPr>
                  <w:instrText xml:space="preserve"> PAGE </w:instrTex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672772">
                  <w:rPr>
                    <w:bCs/>
                    <w:noProof/>
                  </w:rPr>
                  <w:t>1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end"/>
                </w:r>
                <w:r w:rsidR="00873532" w:rsidRPr="00C87F47">
                  <w:t xml:space="preserve"> of 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873532" w:rsidRPr="00C87F47">
                  <w:rPr>
                    <w:bCs/>
                  </w:rPr>
                  <w:instrText xml:space="preserve"> NUMPAGES  </w:instrTex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672772">
                  <w:rPr>
                    <w:bCs/>
                    <w:noProof/>
                  </w:rPr>
                  <w:t>2</w:t>
                </w:r>
                <w:r w:rsidR="00873532" w:rsidRPr="00966F96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873532" w:rsidRPr="00C87F47">
          <w:t xml:space="preserve"> </w:t>
        </w:r>
      </w:sdtContent>
    </w:sdt>
  </w:p>
  <w:p w14:paraId="3F37ECBF" w14:textId="77777777" w:rsidR="00873532" w:rsidRDefault="008949CC" w:rsidP="00672772">
    <w:pPr>
      <w:pStyle w:val="Footer"/>
      <w:rPr>
        <w:rStyle w:val="Hyperlink"/>
        <w:szCs w:val="18"/>
      </w:rPr>
    </w:pPr>
    <w:hyperlink r:id="rId1" w:history="1">
      <w:r w:rsidR="00873532" w:rsidRPr="00E863C4">
        <w:rPr>
          <w:rStyle w:val="Hyperlink"/>
          <w:szCs w:val="18"/>
        </w:rPr>
        <w:t>MBS Online</w:t>
      </w:r>
    </w:hyperlink>
  </w:p>
  <w:p w14:paraId="5F82214B" w14:textId="0AF5FA00" w:rsidR="00873532" w:rsidRPr="00672772" w:rsidRDefault="00873532" w:rsidP="00672772">
    <w:pPr>
      <w:pStyle w:val="Footer"/>
      <w:rPr>
        <w:szCs w:val="18"/>
      </w:rPr>
    </w:pPr>
    <w:r w:rsidRPr="00672772">
      <w:t xml:space="preserve">Last updated – </w:t>
    </w:r>
    <w:r w:rsidR="00EB15EC">
      <w:t>28</w:t>
    </w:r>
    <w:r w:rsidR="00AB006A">
      <w:t xml:space="preserve"> </w:t>
    </w:r>
    <w:r w:rsidR="00B56B9A">
      <w:t>March</w:t>
    </w:r>
    <w:r w:rsidR="005247C4">
      <w:t xml:space="preserve"> </w:t>
    </w:r>
    <w:r w:rsidR="00F300D6">
      <w:t>202</w:t>
    </w:r>
    <w:r w:rsidR="00B56B9A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74C" w14:textId="77777777" w:rsidR="00B14032" w:rsidRDefault="00B14032" w:rsidP="00672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872EE" w14:textId="77036ED0" w:rsidR="005247C4" w:rsidRDefault="00A77223" w:rsidP="005247C4">
    <w:pPr>
      <w:pStyle w:val="Footer"/>
    </w:pPr>
    <w:r>
      <w:tab/>
    </w:r>
    <w:r w:rsidR="008949CC">
      <w:rPr>
        <w:rStyle w:val="BookTitle"/>
        <w:noProof/>
      </w:rPr>
      <w:pict w14:anchorId="6C82E11B">
        <v:rect id="_x0000_i1026" style="width:523.3pt;height:1.9pt" o:hralign="center" o:hrstd="t" o:hr="t" fillcolor="#a0a0a0" stroked="f"/>
      </w:pict>
    </w:r>
    <w:r w:rsidR="005247C4" w:rsidRPr="00672772">
      <w:t>Medicare Benefits Schedule</w:t>
    </w:r>
    <w:r w:rsidR="005247C4">
      <w:t xml:space="preserve"> </w:t>
    </w:r>
  </w:p>
  <w:p w14:paraId="619DD892" w14:textId="075CB4A4" w:rsidR="005247C4" w:rsidRPr="00C87F47" w:rsidRDefault="00B56B9A" w:rsidP="005247C4">
    <w:pPr>
      <w:pStyle w:val="Footer"/>
    </w:pPr>
    <w:r>
      <w:t xml:space="preserve">Extension of the </w:t>
    </w:r>
    <w:r w:rsidR="00356E9A" w:rsidRPr="00356E9A">
      <w:t xml:space="preserve">SARS-CoV-2 (COVID-19) </w:t>
    </w:r>
    <w:r w:rsidR="00EB15EC">
      <w:t>Pathology</w:t>
    </w:r>
    <w:r>
      <w:t xml:space="preserve"> </w:t>
    </w:r>
    <w:sdt>
      <w:sdtPr>
        <w:id w:val="4325604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346FF">
          <w:t>Item</w:t>
        </w:r>
        <w:r>
          <w:t>s</w:t>
        </w:r>
        <w:r w:rsidR="008346FF">
          <w:t xml:space="preserve"> –</w:t>
        </w:r>
        <w:r w:rsidR="005247C4" w:rsidRPr="00355D84">
          <w:t xml:space="preserve"> Factsheet</w:t>
        </w:r>
        <w:r w:rsidR="005247C4" w:rsidRPr="00C87F47">
          <w:tab/>
        </w:r>
        <w:r w:rsidR="005247C4" w:rsidRPr="00C87F47">
          <w:tab/>
        </w:r>
        <w:sdt>
          <w:sdtPr>
            <w:id w:val="127891138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03273039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5247C4">
                  <w:tab/>
                </w:r>
                <w:r w:rsidR="005247C4">
                  <w:tab/>
                </w:r>
                <w:r w:rsidR="005247C4" w:rsidRPr="00C87F47">
                  <w:t xml:space="preserve">Page 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5247C4" w:rsidRPr="00C87F47">
                  <w:rPr>
                    <w:bCs/>
                  </w:rPr>
                  <w:instrText xml:space="preserve"> PAGE </w:instrTex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5247C4">
                  <w:rPr>
                    <w:bCs/>
                    <w:sz w:val="24"/>
                    <w:szCs w:val="24"/>
                  </w:rPr>
                  <w:t>1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end"/>
                </w:r>
                <w:r w:rsidR="005247C4" w:rsidRPr="00C87F47">
                  <w:t xml:space="preserve"> of 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begin"/>
                </w:r>
                <w:r w:rsidR="005247C4" w:rsidRPr="00C87F47">
                  <w:rPr>
                    <w:bCs/>
                  </w:rPr>
                  <w:instrText xml:space="preserve"> NUMPAGES  </w:instrTex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separate"/>
                </w:r>
                <w:r w:rsidR="005247C4">
                  <w:rPr>
                    <w:bCs/>
                    <w:sz w:val="24"/>
                    <w:szCs w:val="24"/>
                  </w:rPr>
                  <w:t>3</w:t>
                </w:r>
                <w:r w:rsidR="005247C4" w:rsidRPr="00966F96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5247C4" w:rsidRPr="00C87F47">
          <w:t xml:space="preserve"> </w:t>
        </w:r>
      </w:sdtContent>
    </w:sdt>
  </w:p>
  <w:p w14:paraId="7F8A3725" w14:textId="77777777" w:rsidR="005247C4" w:rsidRDefault="008949CC" w:rsidP="005247C4">
    <w:pPr>
      <w:pStyle w:val="Footer"/>
      <w:rPr>
        <w:rStyle w:val="Hyperlink"/>
        <w:szCs w:val="18"/>
      </w:rPr>
    </w:pPr>
    <w:hyperlink r:id="rId1" w:history="1">
      <w:r w:rsidR="005247C4" w:rsidRPr="00E863C4">
        <w:rPr>
          <w:rStyle w:val="Hyperlink"/>
          <w:szCs w:val="18"/>
        </w:rPr>
        <w:t>MBS Online</w:t>
      </w:r>
    </w:hyperlink>
  </w:p>
  <w:p w14:paraId="23D303B1" w14:textId="4C06BA5D" w:rsidR="00A77223" w:rsidRPr="00672772" w:rsidRDefault="005247C4" w:rsidP="005247C4">
    <w:pPr>
      <w:pStyle w:val="Footer"/>
      <w:rPr>
        <w:szCs w:val="18"/>
      </w:rPr>
    </w:pPr>
    <w:r w:rsidRPr="00672772">
      <w:t xml:space="preserve">Last updated – </w:t>
    </w:r>
    <w:r w:rsidR="00EB15EC">
      <w:t>28</w:t>
    </w:r>
    <w:r w:rsidR="00AB006A">
      <w:t xml:space="preserve"> </w:t>
    </w:r>
    <w:r w:rsidR="00B56B9A">
      <w:t>March</w:t>
    </w:r>
    <w:r>
      <w:t xml:space="preserve"> 202</w:t>
    </w:r>
    <w:r w:rsidR="00B56B9A"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8B390" w14:textId="77777777" w:rsidR="00B14032" w:rsidRDefault="00B14032" w:rsidP="00672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FF56C" w14:textId="77777777" w:rsidR="008949CC" w:rsidRDefault="008949CC" w:rsidP="006D1088">
      <w:pPr>
        <w:spacing w:after="0" w:line="240" w:lineRule="auto"/>
      </w:pPr>
      <w:r>
        <w:separator/>
      </w:r>
    </w:p>
  </w:footnote>
  <w:footnote w:type="continuationSeparator" w:id="0">
    <w:p w14:paraId="306A8CE4" w14:textId="77777777" w:rsidR="008949CC" w:rsidRDefault="008949CC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08C3" w14:textId="77777777" w:rsidR="00873532" w:rsidRDefault="00873532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6D03FCD" wp14:editId="4E2C50E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9" name="Picture 9" descr="The image is the Australian Government Department of Health crest." title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28828" w14:textId="77777777" w:rsidR="00B14032" w:rsidRDefault="00B14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4D65" w14:textId="77777777" w:rsidR="00B14032" w:rsidRDefault="00B14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51467464"/>
    <w:lvl w:ilvl="0" w:tplc="819E1B3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924F30"/>
    <w:multiLevelType w:val="hybridMultilevel"/>
    <w:tmpl w:val="223CBA12"/>
    <w:lvl w:ilvl="0" w:tplc="1A244E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F0698"/>
    <w:multiLevelType w:val="hybridMultilevel"/>
    <w:tmpl w:val="5344B8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B07F1"/>
    <w:multiLevelType w:val="hybridMultilevel"/>
    <w:tmpl w:val="36A0E46E"/>
    <w:lvl w:ilvl="0" w:tplc="609A6C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82BD8"/>
    <w:multiLevelType w:val="hybridMultilevel"/>
    <w:tmpl w:val="89004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867"/>
    <w:multiLevelType w:val="hybridMultilevel"/>
    <w:tmpl w:val="5906C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12"/>
  </w:num>
  <w:num w:numId="16">
    <w:abstractNumId w:val="13"/>
  </w:num>
  <w:num w:numId="17">
    <w:abstractNumId w:val="14"/>
  </w:num>
  <w:num w:numId="18">
    <w:abstractNumId w:val="16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CB"/>
    <w:rsid w:val="000074DD"/>
    <w:rsid w:val="0001040D"/>
    <w:rsid w:val="000367AA"/>
    <w:rsid w:val="00041F03"/>
    <w:rsid w:val="000426FA"/>
    <w:rsid w:val="00045810"/>
    <w:rsid w:val="00075123"/>
    <w:rsid w:val="00081B97"/>
    <w:rsid w:val="000A2F0A"/>
    <w:rsid w:val="000B01AE"/>
    <w:rsid w:val="000B2A1B"/>
    <w:rsid w:val="000C2143"/>
    <w:rsid w:val="000C3B83"/>
    <w:rsid w:val="000D1778"/>
    <w:rsid w:val="000D3384"/>
    <w:rsid w:val="001014EB"/>
    <w:rsid w:val="00102885"/>
    <w:rsid w:val="00113C71"/>
    <w:rsid w:val="0011763D"/>
    <w:rsid w:val="00121100"/>
    <w:rsid w:val="001241F0"/>
    <w:rsid w:val="00124E0B"/>
    <w:rsid w:val="00130343"/>
    <w:rsid w:val="00135417"/>
    <w:rsid w:val="00141BC3"/>
    <w:rsid w:val="001432AF"/>
    <w:rsid w:val="00151636"/>
    <w:rsid w:val="00155BD4"/>
    <w:rsid w:val="00167446"/>
    <w:rsid w:val="0017279A"/>
    <w:rsid w:val="00173A73"/>
    <w:rsid w:val="00181B52"/>
    <w:rsid w:val="0018507E"/>
    <w:rsid w:val="0019170A"/>
    <w:rsid w:val="001A6FE6"/>
    <w:rsid w:val="001A7FB7"/>
    <w:rsid w:val="001B23A9"/>
    <w:rsid w:val="001C5C56"/>
    <w:rsid w:val="001D5439"/>
    <w:rsid w:val="001E459D"/>
    <w:rsid w:val="001E6F63"/>
    <w:rsid w:val="001F49E8"/>
    <w:rsid w:val="00200902"/>
    <w:rsid w:val="00203F3E"/>
    <w:rsid w:val="00215964"/>
    <w:rsid w:val="00216BBF"/>
    <w:rsid w:val="00221334"/>
    <w:rsid w:val="0022151D"/>
    <w:rsid w:val="00234A44"/>
    <w:rsid w:val="002427E0"/>
    <w:rsid w:val="00243D1C"/>
    <w:rsid w:val="0026502E"/>
    <w:rsid w:val="00272E59"/>
    <w:rsid w:val="00276A29"/>
    <w:rsid w:val="00281820"/>
    <w:rsid w:val="002A3C7C"/>
    <w:rsid w:val="002A45FB"/>
    <w:rsid w:val="002A5A70"/>
    <w:rsid w:val="002A79CA"/>
    <w:rsid w:val="002B3479"/>
    <w:rsid w:val="002B70AC"/>
    <w:rsid w:val="002D2CC5"/>
    <w:rsid w:val="002F2BBE"/>
    <w:rsid w:val="00300E7B"/>
    <w:rsid w:val="0030228C"/>
    <w:rsid w:val="003122B4"/>
    <w:rsid w:val="003227C1"/>
    <w:rsid w:val="003302D3"/>
    <w:rsid w:val="00337919"/>
    <w:rsid w:val="00345DC5"/>
    <w:rsid w:val="00352145"/>
    <w:rsid w:val="00352174"/>
    <w:rsid w:val="00355D84"/>
    <w:rsid w:val="00355E8A"/>
    <w:rsid w:val="00356546"/>
    <w:rsid w:val="00356E9A"/>
    <w:rsid w:val="00363819"/>
    <w:rsid w:val="00374AE3"/>
    <w:rsid w:val="00381A31"/>
    <w:rsid w:val="00386A4B"/>
    <w:rsid w:val="003A0EA1"/>
    <w:rsid w:val="003A52BA"/>
    <w:rsid w:val="003B56AD"/>
    <w:rsid w:val="003D5CEF"/>
    <w:rsid w:val="003E0945"/>
    <w:rsid w:val="003E6457"/>
    <w:rsid w:val="003F6682"/>
    <w:rsid w:val="00403E5E"/>
    <w:rsid w:val="004051E0"/>
    <w:rsid w:val="00405506"/>
    <w:rsid w:val="00420023"/>
    <w:rsid w:val="00425089"/>
    <w:rsid w:val="00427D7F"/>
    <w:rsid w:val="004324B6"/>
    <w:rsid w:val="00433682"/>
    <w:rsid w:val="00436564"/>
    <w:rsid w:val="0043744D"/>
    <w:rsid w:val="0044489F"/>
    <w:rsid w:val="00445086"/>
    <w:rsid w:val="0044569C"/>
    <w:rsid w:val="004511F2"/>
    <w:rsid w:val="00452996"/>
    <w:rsid w:val="00453143"/>
    <w:rsid w:val="00457A25"/>
    <w:rsid w:val="00482BEA"/>
    <w:rsid w:val="00492FFC"/>
    <w:rsid w:val="00494B72"/>
    <w:rsid w:val="00496081"/>
    <w:rsid w:val="004A1348"/>
    <w:rsid w:val="004B05F8"/>
    <w:rsid w:val="004B243F"/>
    <w:rsid w:val="004B5720"/>
    <w:rsid w:val="004C2B08"/>
    <w:rsid w:val="004D2C7C"/>
    <w:rsid w:val="004D421C"/>
    <w:rsid w:val="004D5FD6"/>
    <w:rsid w:val="004D71C4"/>
    <w:rsid w:val="004E52A2"/>
    <w:rsid w:val="004F0AA6"/>
    <w:rsid w:val="004F2816"/>
    <w:rsid w:val="00510063"/>
    <w:rsid w:val="0051761B"/>
    <w:rsid w:val="005204BC"/>
    <w:rsid w:val="005247C4"/>
    <w:rsid w:val="00525AC7"/>
    <w:rsid w:val="005261D0"/>
    <w:rsid w:val="0054242B"/>
    <w:rsid w:val="00542BD5"/>
    <w:rsid w:val="00542F07"/>
    <w:rsid w:val="00543427"/>
    <w:rsid w:val="00550525"/>
    <w:rsid w:val="00570B62"/>
    <w:rsid w:val="005831BF"/>
    <w:rsid w:val="00595BBD"/>
    <w:rsid w:val="0059641E"/>
    <w:rsid w:val="005B1367"/>
    <w:rsid w:val="005C7DA3"/>
    <w:rsid w:val="005E1472"/>
    <w:rsid w:val="005E35B4"/>
    <w:rsid w:val="005E45A5"/>
    <w:rsid w:val="005F2EF1"/>
    <w:rsid w:val="005F4E82"/>
    <w:rsid w:val="005F6554"/>
    <w:rsid w:val="0060020E"/>
    <w:rsid w:val="006011FF"/>
    <w:rsid w:val="00613A68"/>
    <w:rsid w:val="00615B08"/>
    <w:rsid w:val="006173AC"/>
    <w:rsid w:val="0062100F"/>
    <w:rsid w:val="00625079"/>
    <w:rsid w:val="006341BA"/>
    <w:rsid w:val="00634880"/>
    <w:rsid w:val="00641095"/>
    <w:rsid w:val="006425BA"/>
    <w:rsid w:val="006446BC"/>
    <w:rsid w:val="00650B9A"/>
    <w:rsid w:val="00653345"/>
    <w:rsid w:val="00655D74"/>
    <w:rsid w:val="00656F11"/>
    <w:rsid w:val="00672772"/>
    <w:rsid w:val="0068495C"/>
    <w:rsid w:val="00684D37"/>
    <w:rsid w:val="00694030"/>
    <w:rsid w:val="006961D6"/>
    <w:rsid w:val="006A095B"/>
    <w:rsid w:val="006A175B"/>
    <w:rsid w:val="006B3C33"/>
    <w:rsid w:val="006C5EF4"/>
    <w:rsid w:val="006D04CC"/>
    <w:rsid w:val="006D1088"/>
    <w:rsid w:val="006D2A35"/>
    <w:rsid w:val="006E12E2"/>
    <w:rsid w:val="006E3BFF"/>
    <w:rsid w:val="006F1473"/>
    <w:rsid w:val="006F5785"/>
    <w:rsid w:val="00703E03"/>
    <w:rsid w:val="00705F74"/>
    <w:rsid w:val="00714143"/>
    <w:rsid w:val="00726103"/>
    <w:rsid w:val="00727F4C"/>
    <w:rsid w:val="00734F6B"/>
    <w:rsid w:val="00736D31"/>
    <w:rsid w:val="00750D36"/>
    <w:rsid w:val="0075161B"/>
    <w:rsid w:val="00752E96"/>
    <w:rsid w:val="0075350D"/>
    <w:rsid w:val="00756073"/>
    <w:rsid w:val="00775A74"/>
    <w:rsid w:val="00776030"/>
    <w:rsid w:val="00781867"/>
    <w:rsid w:val="007B24AB"/>
    <w:rsid w:val="007B2C94"/>
    <w:rsid w:val="007D1D3A"/>
    <w:rsid w:val="007D5E85"/>
    <w:rsid w:val="007D7591"/>
    <w:rsid w:val="007E2604"/>
    <w:rsid w:val="007E33D2"/>
    <w:rsid w:val="007E5404"/>
    <w:rsid w:val="008013CF"/>
    <w:rsid w:val="008346FF"/>
    <w:rsid w:val="00834903"/>
    <w:rsid w:val="008352AC"/>
    <w:rsid w:val="00852651"/>
    <w:rsid w:val="008553F7"/>
    <w:rsid w:val="0086099D"/>
    <w:rsid w:val="00864E28"/>
    <w:rsid w:val="00866C2D"/>
    <w:rsid w:val="008719D5"/>
    <w:rsid w:val="00873532"/>
    <w:rsid w:val="008766AD"/>
    <w:rsid w:val="00881219"/>
    <w:rsid w:val="008949CC"/>
    <w:rsid w:val="008957B9"/>
    <w:rsid w:val="008A3DBD"/>
    <w:rsid w:val="008A68FE"/>
    <w:rsid w:val="008A6F4F"/>
    <w:rsid w:val="008C776B"/>
    <w:rsid w:val="008D5916"/>
    <w:rsid w:val="008E04C0"/>
    <w:rsid w:val="008E258C"/>
    <w:rsid w:val="008E4C9B"/>
    <w:rsid w:val="008E7B7C"/>
    <w:rsid w:val="008F1594"/>
    <w:rsid w:val="008F27ED"/>
    <w:rsid w:val="008F4B45"/>
    <w:rsid w:val="009000AA"/>
    <w:rsid w:val="00907B4A"/>
    <w:rsid w:val="0091706C"/>
    <w:rsid w:val="009172FF"/>
    <w:rsid w:val="00933F51"/>
    <w:rsid w:val="009417D1"/>
    <w:rsid w:val="00942A31"/>
    <w:rsid w:val="00944B5E"/>
    <w:rsid w:val="00952367"/>
    <w:rsid w:val="009542F2"/>
    <w:rsid w:val="009562F4"/>
    <w:rsid w:val="00957490"/>
    <w:rsid w:val="00960822"/>
    <w:rsid w:val="009651F5"/>
    <w:rsid w:val="00966F96"/>
    <w:rsid w:val="00977405"/>
    <w:rsid w:val="009858E2"/>
    <w:rsid w:val="009B292B"/>
    <w:rsid w:val="009B32BA"/>
    <w:rsid w:val="009B51E7"/>
    <w:rsid w:val="009B5206"/>
    <w:rsid w:val="009B7859"/>
    <w:rsid w:val="009C5663"/>
    <w:rsid w:val="009C742B"/>
    <w:rsid w:val="009D0B98"/>
    <w:rsid w:val="009E4A9E"/>
    <w:rsid w:val="009E66EE"/>
    <w:rsid w:val="009E6DE2"/>
    <w:rsid w:val="009F52D4"/>
    <w:rsid w:val="00A23C34"/>
    <w:rsid w:val="00A2523A"/>
    <w:rsid w:val="00A25EC7"/>
    <w:rsid w:val="00A26321"/>
    <w:rsid w:val="00A324DB"/>
    <w:rsid w:val="00A3287F"/>
    <w:rsid w:val="00A37CE3"/>
    <w:rsid w:val="00A51FC5"/>
    <w:rsid w:val="00A5641C"/>
    <w:rsid w:val="00A60FB7"/>
    <w:rsid w:val="00A64177"/>
    <w:rsid w:val="00A647E5"/>
    <w:rsid w:val="00A7172E"/>
    <w:rsid w:val="00A77223"/>
    <w:rsid w:val="00A8082B"/>
    <w:rsid w:val="00A91196"/>
    <w:rsid w:val="00AA41CD"/>
    <w:rsid w:val="00AA5232"/>
    <w:rsid w:val="00AA69A9"/>
    <w:rsid w:val="00AB006A"/>
    <w:rsid w:val="00AB53A4"/>
    <w:rsid w:val="00AB783D"/>
    <w:rsid w:val="00AD7365"/>
    <w:rsid w:val="00AD7A69"/>
    <w:rsid w:val="00AE2F1A"/>
    <w:rsid w:val="00AE2F7E"/>
    <w:rsid w:val="00AF2615"/>
    <w:rsid w:val="00B04339"/>
    <w:rsid w:val="00B06E28"/>
    <w:rsid w:val="00B14032"/>
    <w:rsid w:val="00B15CE8"/>
    <w:rsid w:val="00B2044B"/>
    <w:rsid w:val="00B20564"/>
    <w:rsid w:val="00B23A4C"/>
    <w:rsid w:val="00B31FBA"/>
    <w:rsid w:val="00B32A11"/>
    <w:rsid w:val="00B378D4"/>
    <w:rsid w:val="00B3793F"/>
    <w:rsid w:val="00B542FB"/>
    <w:rsid w:val="00B56B9A"/>
    <w:rsid w:val="00B60577"/>
    <w:rsid w:val="00B70349"/>
    <w:rsid w:val="00B714E8"/>
    <w:rsid w:val="00B82A2D"/>
    <w:rsid w:val="00B83E3D"/>
    <w:rsid w:val="00B90DB5"/>
    <w:rsid w:val="00B91ED8"/>
    <w:rsid w:val="00BA0109"/>
    <w:rsid w:val="00BA7CA8"/>
    <w:rsid w:val="00BB25DE"/>
    <w:rsid w:val="00BB2EA5"/>
    <w:rsid w:val="00BB7656"/>
    <w:rsid w:val="00BC2624"/>
    <w:rsid w:val="00BC50C1"/>
    <w:rsid w:val="00BD1C20"/>
    <w:rsid w:val="00BD2649"/>
    <w:rsid w:val="00BE2018"/>
    <w:rsid w:val="00BE3399"/>
    <w:rsid w:val="00BE505F"/>
    <w:rsid w:val="00BF00A9"/>
    <w:rsid w:val="00BF426F"/>
    <w:rsid w:val="00C0126E"/>
    <w:rsid w:val="00C04A41"/>
    <w:rsid w:val="00C11326"/>
    <w:rsid w:val="00C131D7"/>
    <w:rsid w:val="00C13ABA"/>
    <w:rsid w:val="00C23DB8"/>
    <w:rsid w:val="00C272AB"/>
    <w:rsid w:val="00C40585"/>
    <w:rsid w:val="00C4491F"/>
    <w:rsid w:val="00C51B5E"/>
    <w:rsid w:val="00C61A31"/>
    <w:rsid w:val="00C66700"/>
    <w:rsid w:val="00C87F47"/>
    <w:rsid w:val="00C90515"/>
    <w:rsid w:val="00C93D9B"/>
    <w:rsid w:val="00CA5F76"/>
    <w:rsid w:val="00CB7EF1"/>
    <w:rsid w:val="00CC2421"/>
    <w:rsid w:val="00CC39C8"/>
    <w:rsid w:val="00CD3A95"/>
    <w:rsid w:val="00CD5677"/>
    <w:rsid w:val="00CE7F5C"/>
    <w:rsid w:val="00CF45CC"/>
    <w:rsid w:val="00D11EDB"/>
    <w:rsid w:val="00D16087"/>
    <w:rsid w:val="00D16EF3"/>
    <w:rsid w:val="00D3244E"/>
    <w:rsid w:val="00D37294"/>
    <w:rsid w:val="00D3741F"/>
    <w:rsid w:val="00D422E5"/>
    <w:rsid w:val="00D53EBE"/>
    <w:rsid w:val="00D549D0"/>
    <w:rsid w:val="00D62923"/>
    <w:rsid w:val="00D6302E"/>
    <w:rsid w:val="00D67E9A"/>
    <w:rsid w:val="00D764A9"/>
    <w:rsid w:val="00D76659"/>
    <w:rsid w:val="00D82C83"/>
    <w:rsid w:val="00D83FE0"/>
    <w:rsid w:val="00D94F06"/>
    <w:rsid w:val="00DA50D6"/>
    <w:rsid w:val="00DA7FB1"/>
    <w:rsid w:val="00DB2B08"/>
    <w:rsid w:val="00DB45AA"/>
    <w:rsid w:val="00DB54A4"/>
    <w:rsid w:val="00DC127A"/>
    <w:rsid w:val="00DC2CD9"/>
    <w:rsid w:val="00DC356C"/>
    <w:rsid w:val="00DD17E1"/>
    <w:rsid w:val="00DD6B16"/>
    <w:rsid w:val="00DD7E21"/>
    <w:rsid w:val="00DE22E2"/>
    <w:rsid w:val="00DF7606"/>
    <w:rsid w:val="00DF7C32"/>
    <w:rsid w:val="00E14513"/>
    <w:rsid w:val="00E3088B"/>
    <w:rsid w:val="00E43247"/>
    <w:rsid w:val="00E43F82"/>
    <w:rsid w:val="00E4499B"/>
    <w:rsid w:val="00E45A64"/>
    <w:rsid w:val="00E727D6"/>
    <w:rsid w:val="00E7460D"/>
    <w:rsid w:val="00E77541"/>
    <w:rsid w:val="00EA2CDC"/>
    <w:rsid w:val="00EB15EC"/>
    <w:rsid w:val="00EB361A"/>
    <w:rsid w:val="00EB7191"/>
    <w:rsid w:val="00EC2DBE"/>
    <w:rsid w:val="00EC55AF"/>
    <w:rsid w:val="00ED1055"/>
    <w:rsid w:val="00ED2B70"/>
    <w:rsid w:val="00ED5F97"/>
    <w:rsid w:val="00ED60EE"/>
    <w:rsid w:val="00EE404B"/>
    <w:rsid w:val="00EF30AE"/>
    <w:rsid w:val="00F050E7"/>
    <w:rsid w:val="00F074CE"/>
    <w:rsid w:val="00F07E89"/>
    <w:rsid w:val="00F300D6"/>
    <w:rsid w:val="00F33D07"/>
    <w:rsid w:val="00F40F40"/>
    <w:rsid w:val="00F47AD5"/>
    <w:rsid w:val="00F50491"/>
    <w:rsid w:val="00F50994"/>
    <w:rsid w:val="00F5224D"/>
    <w:rsid w:val="00F74AD4"/>
    <w:rsid w:val="00F74DFC"/>
    <w:rsid w:val="00F862CB"/>
    <w:rsid w:val="00F937A2"/>
    <w:rsid w:val="00F93F71"/>
    <w:rsid w:val="00F96EB8"/>
    <w:rsid w:val="00FB4DEF"/>
    <w:rsid w:val="00FC690D"/>
    <w:rsid w:val="00FD1E77"/>
    <w:rsid w:val="00FD7DB8"/>
    <w:rsid w:val="00FE50B6"/>
    <w:rsid w:val="00FF3B72"/>
    <w:rsid w:val="00FF5795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1C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basedOn w:val="Normal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672772"/>
    <w:pPr>
      <w:tabs>
        <w:tab w:val="left" w:pos="1640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72772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table" w:styleId="TableGrid">
    <w:name w:val="Table Grid"/>
    <w:basedOn w:val="TableNormal"/>
    <w:uiPriority w:val="39"/>
    <w:rsid w:val="008C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saustralia.gov.au/organisations/health-professionals/news/al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skMBS@health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E9E19-4163-4758-914E-B159FCBE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Factsheet-Claiming-Microbiology-Tests-COVID19</vt:lpstr>
    </vt:vector>
  </TitlesOfParts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Factsheet-Claiming-Microbiology-Tests-COVID19</dc:title>
  <dc:creator/>
  <cp:lastModifiedBy/>
  <cp:revision>1</cp:revision>
  <dcterms:created xsi:type="dcterms:W3CDTF">2022-03-29T23:59:00Z</dcterms:created>
  <dcterms:modified xsi:type="dcterms:W3CDTF">2022-04-06T04:06:00Z</dcterms:modified>
</cp:coreProperties>
</file>