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5C45A830" w:rsidR="00BA2732" w:rsidRDefault="00C732DF" w:rsidP="003D033A">
      <w:pPr>
        <w:pStyle w:val="Title"/>
      </w:pPr>
      <w:r>
        <w:t>Changes to Therapeutic Nuclear Medicine Services</w:t>
      </w:r>
      <w:r w:rsidR="00082CAB">
        <w:t xml:space="preserve"> from 1 July 2023</w:t>
      </w:r>
    </w:p>
    <w:p w14:paraId="6EFD4B5B" w14:textId="2CB8F3F9" w:rsidR="00064168" w:rsidRPr="00867595" w:rsidRDefault="00064168" w:rsidP="006F5073">
      <w:bookmarkStart w:id="0" w:name="_Hlk4568006"/>
      <w:r w:rsidRPr="00867595">
        <w:t xml:space="preserve">Last updated: </w:t>
      </w:r>
      <w:r w:rsidR="00535B4C">
        <w:t>21 April</w:t>
      </w:r>
      <w:r w:rsidR="000250F6" w:rsidRPr="00BC29EC">
        <w:t xml:space="preserve"> </w:t>
      </w:r>
      <w:r w:rsidR="00C732DF" w:rsidRPr="00BC29EC">
        <w:t>2023</w:t>
      </w:r>
    </w:p>
    <w:p w14:paraId="59DBA065" w14:textId="5E24ED07" w:rsidR="00FD53D2" w:rsidRDefault="00FD53D2" w:rsidP="006F5073">
      <w:pPr>
        <w:pStyle w:val="ListBullet"/>
      </w:pPr>
      <w:bookmarkStart w:id="1" w:name="_Hlk535506978"/>
      <w:bookmarkEnd w:id="0"/>
      <w:r w:rsidRPr="00FD53D2">
        <w:t>From 1 July 2023, several changes to therapeutic nuclear medicine services will be made to better reflect the cost of radiopharmaceuticals used in delivering the service and ensure ongoing patient access to important nuclear medicine services</w:t>
      </w:r>
      <w:r>
        <w:t>.</w:t>
      </w:r>
    </w:p>
    <w:p w14:paraId="49A5FE2F" w14:textId="699A6527" w:rsidR="00FD53D2" w:rsidRDefault="00FD53D2" w:rsidP="006F5073">
      <w:pPr>
        <w:pStyle w:val="ListBullet"/>
      </w:pPr>
      <w:r w:rsidRPr="00FD53D2">
        <w:t xml:space="preserve">These changes affect all health professionals who request, deliver, and claim </w:t>
      </w:r>
      <w:r>
        <w:t>therapeutic nuclear medicine</w:t>
      </w:r>
      <w:r w:rsidRPr="00FD53D2">
        <w:t xml:space="preserve"> services</w:t>
      </w:r>
      <w:r w:rsidR="00C56120">
        <w:t xml:space="preserve"> under the </w:t>
      </w:r>
      <w:r w:rsidR="00C56120" w:rsidRPr="00C56120">
        <w:t>Medicare Benefits Schedule (MBS)</w:t>
      </w:r>
      <w:r w:rsidRPr="00FD53D2">
        <w:t>, as well as consumers who receive the service, private health insurers and hospitals.</w:t>
      </w:r>
    </w:p>
    <w:bookmarkEnd w:id="1"/>
    <w:p w14:paraId="44460BF5" w14:textId="77777777" w:rsidR="00064168" w:rsidRPr="00867595" w:rsidRDefault="00064168" w:rsidP="00064168">
      <w:pPr>
        <w:pStyle w:val="Heading2"/>
      </w:pPr>
      <w:r w:rsidRPr="00867595">
        <w:t>What are the changes?</w:t>
      </w:r>
    </w:p>
    <w:p w14:paraId="765A79A8" w14:textId="307A2481" w:rsidR="00FD53D2" w:rsidRDefault="00E35ED7" w:rsidP="00C754C8">
      <w:pPr>
        <w:pStyle w:val="ListBullet"/>
      </w:pPr>
      <w:r>
        <w:t>An increase to t</w:t>
      </w:r>
      <w:r w:rsidR="00FD53D2" w:rsidRPr="00FD53D2">
        <w:t>he schedule fee</w:t>
      </w:r>
      <w:r w:rsidR="00DC4BFE">
        <w:t xml:space="preserve">, above standard Medicare annual indexation, </w:t>
      </w:r>
      <w:r w:rsidR="00FD53D2" w:rsidRPr="00FD53D2">
        <w:t xml:space="preserve">for </w:t>
      </w:r>
      <w:r w:rsidR="00C56120">
        <w:t xml:space="preserve">five therapeutic </w:t>
      </w:r>
      <w:r w:rsidR="00FD53D2" w:rsidRPr="00FD53D2">
        <w:t>nuclear medicine items (MBS items 16003, 16006, 16009, 16012</w:t>
      </w:r>
      <w:r w:rsidR="00C56120">
        <w:t xml:space="preserve"> and</w:t>
      </w:r>
      <w:r w:rsidR="00FD53D2" w:rsidRPr="00FD53D2">
        <w:t xml:space="preserve"> 16018). The </w:t>
      </w:r>
      <w:r w:rsidR="00FD53D2">
        <w:t>new fees will</w:t>
      </w:r>
      <w:r w:rsidR="00FD53D2" w:rsidRPr="00FD53D2">
        <w:t xml:space="preserve"> more appropriately cover the cost of the radiopharmaceutical administered as part of the service</w:t>
      </w:r>
      <w:r w:rsidR="00FD53D2">
        <w:t>.</w:t>
      </w:r>
    </w:p>
    <w:p w14:paraId="674558A7" w14:textId="0B50156A" w:rsidR="00FD53D2" w:rsidRPr="00FD53D2" w:rsidRDefault="00E35ED7" w:rsidP="00C754C8">
      <w:pPr>
        <w:pStyle w:val="ListBullet"/>
      </w:pPr>
      <w:r>
        <w:t xml:space="preserve">Amendment </w:t>
      </w:r>
      <w:r w:rsidR="00D65B0F">
        <w:t>to</w:t>
      </w:r>
      <w:r w:rsidR="00FD53D2" w:rsidRPr="00FD53D2">
        <w:t xml:space="preserve"> item 16015 to expand patient eligibility to include patients with any cancer type. The change remove</w:t>
      </w:r>
      <w:r>
        <w:t>s</w:t>
      </w:r>
      <w:r w:rsidR="00FD53D2" w:rsidRPr="00FD53D2">
        <w:t xml:space="preserve"> the </w:t>
      </w:r>
      <w:r w:rsidR="00D65B0F" w:rsidRPr="00D65B0F">
        <w:t xml:space="preserve">prostate cancer </w:t>
      </w:r>
      <w:r w:rsidR="00FD53D2" w:rsidRPr="00FD53D2">
        <w:t>restriction to enable this service to provide better support to cancer patients. It will ensure ongoing patient access when other radiopharmaceuticals such as samarium-153 are not available due to international supply chain issues.</w:t>
      </w:r>
    </w:p>
    <w:p w14:paraId="210C1295" w14:textId="1A52491E" w:rsidR="00FD53D2" w:rsidRDefault="00E35ED7" w:rsidP="00C754C8">
      <w:pPr>
        <w:pStyle w:val="ListBullet"/>
      </w:pPr>
      <w:r>
        <w:t xml:space="preserve">Amendment </w:t>
      </w:r>
      <w:r w:rsidR="00D65B0F">
        <w:t>to</w:t>
      </w:r>
      <w:r>
        <w:t xml:space="preserve"> </w:t>
      </w:r>
      <w:r w:rsidR="00FD53D2" w:rsidRPr="00FD53D2">
        <w:t xml:space="preserve">items 16015 and 16018 to better reflect current clinical terminology and align with other items listed in the </w:t>
      </w:r>
      <w:r w:rsidR="00C56120">
        <w:t>MBS.</w:t>
      </w:r>
    </w:p>
    <w:p w14:paraId="42BD5171" w14:textId="77777777" w:rsidR="00064168" w:rsidRDefault="00064168" w:rsidP="00064168">
      <w:pPr>
        <w:pStyle w:val="Heading2"/>
      </w:pPr>
      <w:r>
        <w:t>Why are the changes being made?</w:t>
      </w:r>
    </w:p>
    <w:p w14:paraId="5DD4DBDE" w14:textId="56D8A259" w:rsidR="00E35ED7" w:rsidRDefault="00E35ED7" w:rsidP="00E35ED7">
      <w:pPr>
        <w:rPr>
          <w:szCs w:val="22"/>
        </w:rPr>
      </w:pPr>
      <w:r w:rsidRPr="00E35ED7">
        <w:rPr>
          <w:szCs w:val="22"/>
        </w:rPr>
        <w:t xml:space="preserve">The changes are being made to ensure that </w:t>
      </w:r>
      <w:r>
        <w:rPr>
          <w:szCs w:val="22"/>
        </w:rPr>
        <w:t>therapeutic nuclear</w:t>
      </w:r>
      <w:r w:rsidRPr="00E35ED7">
        <w:rPr>
          <w:szCs w:val="22"/>
        </w:rPr>
        <w:t xml:space="preserve"> services provided under</w:t>
      </w:r>
      <w:r>
        <w:rPr>
          <w:szCs w:val="22"/>
        </w:rPr>
        <w:t xml:space="preserve"> </w:t>
      </w:r>
      <w:r w:rsidRPr="00E35ED7">
        <w:rPr>
          <w:szCs w:val="22"/>
        </w:rPr>
        <w:t xml:space="preserve">Medicare are up to date and </w:t>
      </w:r>
      <w:r>
        <w:rPr>
          <w:szCs w:val="22"/>
        </w:rPr>
        <w:t>support ongoing patient access</w:t>
      </w:r>
      <w:r w:rsidRPr="00E35ED7">
        <w:rPr>
          <w:szCs w:val="22"/>
        </w:rPr>
        <w:t>.</w:t>
      </w:r>
    </w:p>
    <w:p w14:paraId="117E7165" w14:textId="67CD2BA8" w:rsidR="008877F4" w:rsidRPr="00867595" w:rsidRDefault="008877F4" w:rsidP="00E35ED7">
      <w:pPr>
        <w:rPr>
          <w:szCs w:val="22"/>
        </w:rPr>
      </w:pPr>
      <w:r w:rsidRPr="00C56120">
        <w:rPr>
          <w:szCs w:val="22"/>
        </w:rPr>
        <w:t xml:space="preserve">The increase to the schedule fee for </w:t>
      </w:r>
      <w:r>
        <w:rPr>
          <w:szCs w:val="22"/>
        </w:rPr>
        <w:t>therapeutic</w:t>
      </w:r>
      <w:r w:rsidRPr="00C56120">
        <w:rPr>
          <w:szCs w:val="22"/>
        </w:rPr>
        <w:t xml:space="preserve"> nuclear medicine items was recommended by the MBS Review Taskforce.</w:t>
      </w:r>
      <w:r>
        <w:rPr>
          <w:szCs w:val="22"/>
        </w:rPr>
        <w:t xml:space="preserve"> </w:t>
      </w:r>
      <w:r w:rsidRPr="00867595">
        <w:rPr>
          <w:szCs w:val="22"/>
        </w:rPr>
        <w:t xml:space="preserve">More information about the Taskforce and associated Committees is available in </w:t>
      </w:r>
      <w:hyperlink r:id="rId11" w:history="1">
        <w:r w:rsidRPr="00867595">
          <w:rPr>
            <w:rStyle w:val="Hyperlink"/>
            <w:szCs w:val="22"/>
          </w:rPr>
          <w:t>Medicare Benefits Schedule Review</w:t>
        </w:r>
      </w:hyperlink>
      <w:r w:rsidRPr="00867595">
        <w:rPr>
          <w:szCs w:val="22"/>
        </w:rPr>
        <w:t xml:space="preserve"> in the consumer section of the</w:t>
      </w:r>
      <w:r w:rsidR="00D65B0F">
        <w:rPr>
          <w:rStyle w:val="Hyperlink"/>
          <w:szCs w:val="22"/>
        </w:rPr>
        <w:t xml:space="preserve"> </w:t>
      </w:r>
      <w:hyperlink r:id="rId12" w:history="1">
        <w:r w:rsidRPr="00867595">
          <w:rPr>
            <w:rStyle w:val="Hyperlink"/>
            <w:szCs w:val="22"/>
          </w:rPr>
          <w:t>Department of Health</w:t>
        </w:r>
        <w:r>
          <w:rPr>
            <w:rStyle w:val="Hyperlink"/>
            <w:szCs w:val="22"/>
          </w:rPr>
          <w:t xml:space="preserve"> and Aged Care</w:t>
        </w:r>
        <w:r w:rsidRPr="00867595">
          <w:rPr>
            <w:rStyle w:val="Hyperlink"/>
            <w:szCs w:val="22"/>
          </w:rPr>
          <w:t xml:space="preserve"> website</w:t>
        </w:r>
      </w:hyperlink>
      <w:r w:rsidRPr="007C40E4">
        <w:rPr>
          <w:color w:val="auto"/>
          <w:szCs w:val="22"/>
        </w:rPr>
        <w:t xml:space="preserve">. </w:t>
      </w:r>
    </w:p>
    <w:p w14:paraId="4B2559AC" w14:textId="3A6F3B25" w:rsidR="00064168" w:rsidRDefault="00064168" w:rsidP="00064168">
      <w:pPr>
        <w:pStyle w:val="Heading2"/>
      </w:pPr>
      <w:r>
        <w:t>What does this mean for providers</w:t>
      </w:r>
      <w:r w:rsidR="00943A5B">
        <w:t xml:space="preserve"> and requesters of nuclear medicine services</w:t>
      </w:r>
      <w:r>
        <w:t>?</w:t>
      </w:r>
    </w:p>
    <w:p w14:paraId="0C9228F8" w14:textId="039133FD" w:rsidR="00E47F11" w:rsidRPr="00867595" w:rsidRDefault="00943A5B" w:rsidP="004A315F">
      <w:pPr>
        <w:rPr>
          <w:szCs w:val="22"/>
        </w:rPr>
      </w:pPr>
      <w:r>
        <w:rPr>
          <w:szCs w:val="22"/>
        </w:rPr>
        <w:t xml:space="preserve">Fee increases will assist providers to appropriately cover the costs of </w:t>
      </w:r>
      <w:r w:rsidRPr="00943A5B">
        <w:rPr>
          <w:szCs w:val="22"/>
        </w:rPr>
        <w:t>radiopharmaceutical</w:t>
      </w:r>
      <w:r>
        <w:rPr>
          <w:szCs w:val="22"/>
        </w:rPr>
        <w:t xml:space="preserve">s to support </w:t>
      </w:r>
      <w:r w:rsidR="00E35ED7">
        <w:rPr>
          <w:szCs w:val="22"/>
        </w:rPr>
        <w:t xml:space="preserve">therapeutic </w:t>
      </w:r>
      <w:r>
        <w:rPr>
          <w:szCs w:val="22"/>
        </w:rPr>
        <w:t>nuclear medicine services.</w:t>
      </w:r>
      <w:r w:rsidR="00E47F11">
        <w:rPr>
          <w:szCs w:val="22"/>
        </w:rPr>
        <w:t xml:space="preserve"> </w:t>
      </w:r>
      <w:r w:rsidR="005E374F">
        <w:rPr>
          <w:szCs w:val="22"/>
        </w:rPr>
        <w:t>Amendments</w:t>
      </w:r>
      <w:r>
        <w:rPr>
          <w:szCs w:val="22"/>
        </w:rPr>
        <w:t xml:space="preserve"> to the</w:t>
      </w:r>
      <w:r w:rsidR="00D65B0F">
        <w:rPr>
          <w:szCs w:val="22"/>
        </w:rPr>
        <w:t xml:space="preserve"> MBS</w:t>
      </w:r>
      <w:r>
        <w:rPr>
          <w:szCs w:val="22"/>
        </w:rPr>
        <w:t xml:space="preserve"> item</w:t>
      </w:r>
      <w:r w:rsidR="00D65B0F">
        <w:rPr>
          <w:szCs w:val="22"/>
        </w:rPr>
        <w:t>s</w:t>
      </w:r>
      <w:r>
        <w:rPr>
          <w:szCs w:val="22"/>
        </w:rPr>
        <w:t xml:space="preserve"> will </w:t>
      </w:r>
      <w:r w:rsidR="00477511">
        <w:rPr>
          <w:szCs w:val="22"/>
        </w:rPr>
        <w:t>enable requesters to provide better support to patients.</w:t>
      </w:r>
      <w:r>
        <w:rPr>
          <w:szCs w:val="22"/>
        </w:rPr>
        <w:t xml:space="preserve"> </w:t>
      </w:r>
    </w:p>
    <w:p w14:paraId="7F7DA4F7" w14:textId="77777777" w:rsidR="00064168" w:rsidRPr="004A315F" w:rsidRDefault="00064168" w:rsidP="004A315F">
      <w:pPr>
        <w:rPr>
          <w:rFonts w:cs="Arial"/>
          <w:b/>
          <w:bCs/>
          <w:iCs/>
          <w:color w:val="358189"/>
          <w:sz w:val="36"/>
          <w:szCs w:val="28"/>
        </w:rPr>
      </w:pPr>
      <w:r w:rsidRPr="004A315F">
        <w:rPr>
          <w:rFonts w:cs="Arial"/>
          <w:b/>
          <w:bCs/>
          <w:iCs/>
          <w:color w:val="358189"/>
          <w:sz w:val="36"/>
          <w:szCs w:val="28"/>
        </w:rPr>
        <w:lastRenderedPageBreak/>
        <w:t>How will these changes affect patients?</w:t>
      </w:r>
    </w:p>
    <w:p w14:paraId="14D61BA7" w14:textId="0AB72FB0" w:rsidR="00F63EF2" w:rsidRPr="00F63EF2" w:rsidRDefault="00E35ED7" w:rsidP="00E35ED7">
      <w:r w:rsidRPr="00E35ED7">
        <w:rPr>
          <w:szCs w:val="22"/>
        </w:rPr>
        <w:t xml:space="preserve">The changes will provide greater access for patients to </w:t>
      </w:r>
      <w:r>
        <w:rPr>
          <w:szCs w:val="22"/>
        </w:rPr>
        <w:t>important therapeutic nuclear medicine services,</w:t>
      </w:r>
      <w:r w:rsidRPr="00E35ED7">
        <w:rPr>
          <w:szCs w:val="22"/>
        </w:rPr>
        <w:t xml:space="preserve"> leading to improved patient health outcomes.</w:t>
      </w:r>
      <w:r>
        <w:rPr>
          <w:szCs w:val="22"/>
        </w:rPr>
        <w:t xml:space="preserve"> </w:t>
      </w:r>
      <w:r w:rsidR="00477511">
        <w:rPr>
          <w:szCs w:val="22"/>
        </w:rPr>
        <w:t>Expanding patient eligibility for the treatment of</w:t>
      </w:r>
      <w:r w:rsidR="00F63EF2">
        <w:rPr>
          <w:szCs w:val="22"/>
        </w:rPr>
        <w:t xml:space="preserve"> </w:t>
      </w:r>
      <w:r w:rsidR="00477511">
        <w:rPr>
          <w:szCs w:val="22"/>
        </w:rPr>
        <w:t xml:space="preserve">painful bony metastases </w:t>
      </w:r>
      <w:r w:rsidR="00D65B0F">
        <w:rPr>
          <w:szCs w:val="22"/>
        </w:rPr>
        <w:t xml:space="preserve">under item 16015 </w:t>
      </w:r>
      <w:r w:rsidR="00477511">
        <w:rPr>
          <w:szCs w:val="22"/>
        </w:rPr>
        <w:t xml:space="preserve">will now allow patients with any cancer type to access the service, </w:t>
      </w:r>
      <w:r w:rsidR="00F63EF2">
        <w:rPr>
          <w:szCs w:val="22"/>
        </w:rPr>
        <w:t>improving</w:t>
      </w:r>
      <w:r w:rsidR="00477511">
        <w:rPr>
          <w:szCs w:val="22"/>
        </w:rPr>
        <w:t xml:space="preserve"> health outcomes. Th</w:t>
      </w:r>
      <w:r w:rsidR="00D65B0F">
        <w:rPr>
          <w:szCs w:val="22"/>
        </w:rPr>
        <w:t>ese</w:t>
      </w:r>
      <w:r w:rsidR="00477511">
        <w:rPr>
          <w:szCs w:val="22"/>
        </w:rPr>
        <w:t xml:space="preserve"> </w:t>
      </w:r>
      <w:r w:rsidR="00D65B0F">
        <w:rPr>
          <w:szCs w:val="22"/>
        </w:rPr>
        <w:t xml:space="preserve">changes </w:t>
      </w:r>
      <w:r w:rsidR="00477511">
        <w:rPr>
          <w:szCs w:val="22"/>
        </w:rPr>
        <w:t xml:space="preserve">also support patients to access the services they need, </w:t>
      </w:r>
      <w:r w:rsidR="00477511" w:rsidRPr="00477511">
        <w:rPr>
          <w:szCs w:val="22"/>
        </w:rPr>
        <w:t>ensur</w:t>
      </w:r>
      <w:r w:rsidR="00477511">
        <w:rPr>
          <w:szCs w:val="22"/>
        </w:rPr>
        <w:t xml:space="preserve">ing </w:t>
      </w:r>
      <w:r w:rsidR="00477511" w:rsidRPr="00477511">
        <w:rPr>
          <w:szCs w:val="22"/>
        </w:rPr>
        <w:t>ongoing access when radiopharmaceuticals are not available due to international supply chain issues.</w:t>
      </w:r>
    </w:p>
    <w:p w14:paraId="5BD9BE80" w14:textId="77777777" w:rsidR="00064168" w:rsidRDefault="00064168" w:rsidP="00064168">
      <w:pPr>
        <w:pStyle w:val="Heading2"/>
      </w:pPr>
      <w:r w:rsidRPr="001A7FB7">
        <w:t>Who was consulted on the changes?</w:t>
      </w:r>
    </w:p>
    <w:p w14:paraId="2A8BC0AB" w14:textId="707F0005" w:rsidR="00F63EF2" w:rsidRPr="00F63EF2" w:rsidRDefault="00477511" w:rsidP="00F63EF2">
      <w:r w:rsidRPr="00477511">
        <w:rPr>
          <w:szCs w:val="22"/>
        </w:rPr>
        <w:t>The Australasian Association of Nuclear Medicine</w:t>
      </w:r>
      <w:r w:rsidR="00F63EF2">
        <w:rPr>
          <w:szCs w:val="22"/>
        </w:rPr>
        <w:t xml:space="preserve"> </w:t>
      </w:r>
      <w:r w:rsidRPr="00477511">
        <w:rPr>
          <w:szCs w:val="22"/>
        </w:rPr>
        <w:t xml:space="preserve">Specialists, the Royal </w:t>
      </w:r>
      <w:proofErr w:type="gramStart"/>
      <w:r w:rsidRPr="00477511">
        <w:rPr>
          <w:szCs w:val="22"/>
        </w:rPr>
        <w:t>Australian</w:t>
      </w:r>
      <w:proofErr w:type="gramEnd"/>
      <w:r w:rsidRPr="00477511">
        <w:rPr>
          <w:szCs w:val="22"/>
        </w:rPr>
        <w:t xml:space="preserve"> and New Zealand College of Radiologists and the Australian and New Zealand Society of Nuclear Medicine were consulted on the changes.</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3"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4"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5"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0B4D7CE4" w14:textId="2C9E232A" w:rsidR="00064168" w:rsidRDefault="00064168" w:rsidP="00064168">
      <w:pPr>
        <w:rPr>
          <w:szCs w:val="22"/>
        </w:rPr>
      </w:pPr>
      <w:r w:rsidRPr="00867595">
        <w:rPr>
          <w:szCs w:val="22"/>
        </w:rPr>
        <w:t xml:space="preserve">The data file for software vendors when available can be accessed via the </w:t>
      </w:r>
      <w:hyperlink r:id="rId21" w:history="1">
        <w:r w:rsidRPr="00867595">
          <w:rPr>
            <w:rStyle w:val="Hyperlink"/>
            <w:szCs w:val="22"/>
          </w:rPr>
          <w:t>Downloads</w:t>
        </w:r>
      </w:hyperlink>
      <w:r w:rsidRPr="00867595">
        <w:rPr>
          <w:szCs w:val="22"/>
        </w:rPr>
        <w:t xml:space="preserve"> page.</w:t>
      </w:r>
    </w:p>
    <w:p w14:paraId="49B7C611" w14:textId="77777777" w:rsidR="007558D9" w:rsidRPr="00867595" w:rsidRDefault="007558D9" w:rsidP="00064168">
      <w:pPr>
        <w:rPr>
          <w:szCs w:val="22"/>
        </w:rPr>
      </w:pPr>
    </w:p>
    <w:p w14:paraId="6D6EB19D" w14:textId="7EB384E2" w:rsidR="00BE3ED5" w:rsidRDefault="00BE3ED5" w:rsidP="00BE3ED5">
      <w:pPr>
        <w:pStyle w:val="Heading2"/>
      </w:pPr>
      <w:r w:rsidRPr="007A32E7">
        <w:lastRenderedPageBreak/>
        <w:t>Amended item descriptors (effect</w:t>
      </w:r>
      <w:r w:rsidR="004F6D99">
        <w:t>ive</w:t>
      </w:r>
      <w:r w:rsidR="00143803">
        <w:t xml:space="preserve"> </w:t>
      </w:r>
      <w:r w:rsidR="00477511">
        <w:t>1 July 2023</w:t>
      </w:r>
      <w:r w:rsidRPr="007A32E7">
        <w:t>)</w:t>
      </w:r>
    </w:p>
    <w:tbl>
      <w:tblPr>
        <w:tblStyle w:val="GridTable4-Accent2"/>
        <w:tblW w:w="0" w:type="auto"/>
        <w:tblLook w:val="04A0" w:firstRow="1" w:lastRow="0" w:firstColumn="1" w:lastColumn="0" w:noHBand="0" w:noVBand="1"/>
      </w:tblPr>
      <w:tblGrid>
        <w:gridCol w:w="9060"/>
      </w:tblGrid>
      <w:tr w:rsidR="005328B0" w14:paraId="148B360C" w14:textId="77777777" w:rsidTr="004A31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C827425" w:rsidR="00BE3ED5" w:rsidRDefault="00477511" w:rsidP="000F29A4">
            <w:pPr>
              <w:rPr>
                <w:b w:val="0"/>
                <w:bCs w:val="0"/>
                <w:lang w:eastAsia="en-AU"/>
              </w:rPr>
            </w:pPr>
            <w:bookmarkStart w:id="3" w:name="_Hlk118987208"/>
            <w:r w:rsidRPr="00477511">
              <w:rPr>
                <w:lang w:eastAsia="en-AU"/>
              </w:rPr>
              <w:t>Category 3 - THERAPEUTIC PROCEDURES</w:t>
            </w:r>
          </w:p>
        </w:tc>
      </w:tr>
      <w:tr w:rsidR="005328B0" w14:paraId="4C44E092" w14:textId="77777777" w:rsidTr="004A31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97AE2EF" w:rsidR="00BE3ED5" w:rsidRDefault="00DC4BFE" w:rsidP="000F29A4">
            <w:pPr>
              <w:rPr>
                <w:b w:val="0"/>
                <w:bCs w:val="0"/>
                <w:lang w:eastAsia="en-AU"/>
              </w:rPr>
            </w:pPr>
            <w:bookmarkStart w:id="4" w:name="_Hlk128387455"/>
            <w:r>
              <w:rPr>
                <w:lang w:eastAsia="en-AU"/>
              </w:rPr>
              <w:t xml:space="preserve">Group </w:t>
            </w:r>
            <w:r w:rsidR="00143803" w:rsidRPr="00143803">
              <w:rPr>
                <w:lang w:eastAsia="en-AU"/>
              </w:rPr>
              <w:t>T3 - Therapeutic Nuclear Medicine</w:t>
            </w:r>
          </w:p>
        </w:tc>
      </w:tr>
      <w:bookmarkEnd w:id="4"/>
      <w:tr w:rsidR="00642F20" w14:paraId="3DDFF680" w14:textId="77777777" w:rsidTr="004A315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1D56387B" w:rsidR="00642F20" w:rsidRPr="00642F20" w:rsidRDefault="00642F20" w:rsidP="00642F20">
            <w:pPr>
              <w:pStyle w:val="Tabletextleft"/>
              <w:rPr>
                <w:b/>
              </w:rPr>
            </w:pPr>
          </w:p>
        </w:tc>
      </w:tr>
      <w:tr w:rsidR="005328B0" w14:paraId="25FF7AAD" w14:textId="77777777" w:rsidTr="004A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hideMark/>
          </w:tcPr>
          <w:p w14:paraId="2E5EE107" w14:textId="62875F09" w:rsidR="00143803" w:rsidRPr="00642F20" w:rsidRDefault="00143803" w:rsidP="00642F20">
            <w:pPr>
              <w:rPr>
                <w:b w:val="0"/>
                <w:bCs w:val="0"/>
              </w:rPr>
            </w:pPr>
            <w:r>
              <w:rPr>
                <w:b w:val="0"/>
                <w:bCs w:val="0"/>
              </w:rPr>
              <w:t>16003</w:t>
            </w:r>
          </w:p>
          <w:p w14:paraId="6B7EDC18" w14:textId="77777777" w:rsidR="0066198B" w:rsidRDefault="0066198B" w:rsidP="00143803">
            <w:r w:rsidRPr="0066198B">
              <w:rPr>
                <w:b w:val="0"/>
                <w:bCs w:val="0"/>
              </w:rPr>
              <w:t>Intra</w:t>
            </w:r>
            <w:r w:rsidRPr="0066198B">
              <w:rPr>
                <w:rFonts w:ascii="Cambria Math" w:hAnsi="Cambria Math" w:cs="Cambria Math"/>
                <w:b w:val="0"/>
                <w:bCs w:val="0"/>
              </w:rPr>
              <w:t>‑</w:t>
            </w:r>
            <w:r w:rsidRPr="0066198B">
              <w:rPr>
                <w:b w:val="0"/>
                <w:bCs w:val="0"/>
              </w:rPr>
              <w:t>cavitary administration of a therapeutic dose of Yttrium 90 (not including preliminary paracentesis and other than a service to which item 35404, 35406 or 35408 applies or a service associated with selective internal radiation therapy)</w:t>
            </w:r>
          </w:p>
          <w:p w14:paraId="3553BD1D" w14:textId="3333F65B" w:rsidR="0066198B" w:rsidRDefault="0066198B" w:rsidP="00143803">
            <w:r w:rsidRPr="0066198B">
              <w:rPr>
                <w:b w:val="0"/>
                <w:bCs w:val="0"/>
              </w:rPr>
              <w:t>(</w:t>
            </w:r>
            <w:proofErr w:type="spellStart"/>
            <w:r w:rsidRPr="0066198B">
              <w:rPr>
                <w:b w:val="0"/>
                <w:bCs w:val="0"/>
              </w:rPr>
              <w:t>Anaes</w:t>
            </w:r>
            <w:proofErr w:type="spellEnd"/>
            <w:r w:rsidRPr="0066198B">
              <w:rPr>
                <w:b w:val="0"/>
                <w:bCs w:val="0"/>
              </w:rPr>
              <w:t>.)</w:t>
            </w:r>
          </w:p>
          <w:p w14:paraId="3C527FBA" w14:textId="19D480B3" w:rsidR="00143803" w:rsidRPr="007647FB" w:rsidRDefault="00143803" w:rsidP="00143803">
            <w:pPr>
              <w:rPr>
                <w:b w:val="0"/>
                <w:bCs w:val="0"/>
                <w:color w:val="auto"/>
              </w:rPr>
            </w:pPr>
            <w:r w:rsidRPr="007647FB">
              <w:rPr>
                <w:b w:val="0"/>
                <w:bCs w:val="0"/>
                <w:color w:val="auto"/>
                <w:szCs w:val="22"/>
              </w:rPr>
              <w:t>Fee: $</w:t>
            </w:r>
            <w:r w:rsidR="00E47F11" w:rsidRPr="007647FB">
              <w:rPr>
                <w:b w:val="0"/>
                <w:bCs w:val="0"/>
                <w:color w:val="auto"/>
                <w:szCs w:val="22"/>
              </w:rPr>
              <w:t>1</w:t>
            </w:r>
            <w:r w:rsidR="00E35ED7" w:rsidRPr="007647FB">
              <w:rPr>
                <w:b w:val="0"/>
                <w:bCs w:val="0"/>
                <w:color w:val="auto"/>
                <w:szCs w:val="22"/>
              </w:rPr>
              <w:t>,</w:t>
            </w:r>
            <w:r w:rsidR="00E47F11" w:rsidRPr="007647FB">
              <w:rPr>
                <w:b w:val="0"/>
                <w:bCs w:val="0"/>
                <w:color w:val="auto"/>
                <w:szCs w:val="22"/>
              </w:rPr>
              <w:t>554.25</w:t>
            </w:r>
            <w:r w:rsidR="004F6D99" w:rsidRPr="007647FB">
              <w:rPr>
                <w:b w:val="0"/>
                <w:bCs w:val="0"/>
                <w:color w:val="auto"/>
                <w:szCs w:val="22"/>
              </w:rPr>
              <w:t xml:space="preserve">   </w:t>
            </w:r>
          </w:p>
          <w:p w14:paraId="3794883D" w14:textId="77777777" w:rsidR="00642F20" w:rsidRPr="007647FB" w:rsidRDefault="00642F20" w:rsidP="009F4456">
            <w:pPr>
              <w:pStyle w:val="ListBullet"/>
              <w:numPr>
                <w:ilvl w:val="0"/>
                <w:numId w:val="0"/>
              </w:numPr>
              <w:ind w:left="360" w:hanging="360"/>
            </w:pPr>
            <w:r w:rsidRPr="007647FB">
              <w:t>Private Health Insurance Classification:</w:t>
            </w:r>
          </w:p>
          <w:p w14:paraId="583B5F54" w14:textId="06C4461A" w:rsidR="00642F20" w:rsidRPr="009F4456" w:rsidRDefault="00642F20" w:rsidP="009F4456">
            <w:pPr>
              <w:pStyle w:val="ListBullet"/>
              <w:rPr>
                <w:b w:val="0"/>
                <w:bCs w:val="0"/>
              </w:rPr>
            </w:pPr>
            <w:r w:rsidRPr="009F4456">
              <w:rPr>
                <w:b w:val="0"/>
                <w:bCs w:val="0"/>
              </w:rPr>
              <w:t>Clinical category:</w:t>
            </w:r>
            <w:r w:rsidRPr="00642F20">
              <w:t xml:space="preserve"> </w:t>
            </w:r>
            <w:r w:rsidR="009F4456" w:rsidRPr="009F4456">
              <w:rPr>
                <w:b w:val="0"/>
                <w:bCs w:val="0"/>
              </w:rPr>
              <w:t>Chemotherapy,</w:t>
            </w:r>
            <w:r w:rsidR="009F4456">
              <w:rPr>
                <w:b w:val="0"/>
                <w:bCs w:val="0"/>
              </w:rPr>
              <w:t xml:space="preserve"> </w:t>
            </w:r>
            <w:proofErr w:type="gramStart"/>
            <w:r w:rsidR="009F4456" w:rsidRPr="009F4456">
              <w:rPr>
                <w:b w:val="0"/>
                <w:bCs w:val="0"/>
              </w:rPr>
              <w:t>radiotherapy</w:t>
            </w:r>
            <w:proofErr w:type="gramEnd"/>
            <w:r w:rsidR="009F4456" w:rsidRPr="009F4456">
              <w:rPr>
                <w:b w:val="0"/>
                <w:bCs w:val="0"/>
              </w:rPr>
              <w:t xml:space="preserve"> and</w:t>
            </w:r>
            <w:r w:rsidR="009F4456">
              <w:rPr>
                <w:b w:val="0"/>
                <w:bCs w:val="0"/>
              </w:rPr>
              <w:t xml:space="preserve"> </w:t>
            </w:r>
            <w:r w:rsidR="009F4456" w:rsidRPr="009F4456">
              <w:rPr>
                <w:b w:val="0"/>
                <w:bCs w:val="0"/>
              </w:rPr>
              <w:t>immunotherapy</w:t>
            </w:r>
            <w:r w:rsidR="009F4456">
              <w:rPr>
                <w:b w:val="0"/>
                <w:bCs w:val="0"/>
              </w:rPr>
              <w:t xml:space="preserve"> </w:t>
            </w:r>
            <w:r w:rsidR="009F4456" w:rsidRPr="009F4456">
              <w:rPr>
                <w:b w:val="0"/>
                <w:bCs w:val="0"/>
              </w:rPr>
              <w:t>for cancer</w:t>
            </w:r>
          </w:p>
          <w:p w14:paraId="2BDF063F" w14:textId="1AEC6602" w:rsidR="00642F20" w:rsidRPr="00AA6575" w:rsidRDefault="00642F20" w:rsidP="00642F20">
            <w:pPr>
              <w:pStyle w:val="ListBullet"/>
            </w:pPr>
            <w:r w:rsidRPr="00642F20">
              <w:rPr>
                <w:b w:val="0"/>
                <w:bCs w:val="0"/>
              </w:rPr>
              <w:t xml:space="preserve">Procedure type: Type </w:t>
            </w:r>
            <w:r w:rsidR="00463494">
              <w:rPr>
                <w:b w:val="0"/>
                <w:bCs w:val="0"/>
              </w:rPr>
              <w:t>C</w:t>
            </w:r>
          </w:p>
        </w:tc>
      </w:tr>
      <w:tr w:rsidR="00642F20" w14:paraId="398A0C81" w14:textId="77777777" w:rsidTr="004A315F">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hideMark/>
          </w:tcPr>
          <w:p w14:paraId="2BDEC1BC" w14:textId="06537779" w:rsidR="00642F20" w:rsidRPr="00642F20" w:rsidRDefault="00143803" w:rsidP="00642F20">
            <w:pPr>
              <w:rPr>
                <w:b w:val="0"/>
                <w:bCs w:val="0"/>
              </w:rPr>
            </w:pPr>
            <w:r>
              <w:rPr>
                <w:b w:val="0"/>
                <w:bCs w:val="0"/>
              </w:rPr>
              <w:t>16006</w:t>
            </w:r>
          </w:p>
          <w:p w14:paraId="7A78FE58" w14:textId="4186BFD1" w:rsidR="00143803" w:rsidRPr="00143803" w:rsidRDefault="0066198B" w:rsidP="00143803">
            <w:pPr>
              <w:rPr>
                <w:b w:val="0"/>
                <w:bCs w:val="0"/>
              </w:rPr>
            </w:pPr>
            <w:r w:rsidRPr="00143803">
              <w:rPr>
                <w:b w:val="0"/>
                <w:bCs w:val="0"/>
              </w:rPr>
              <w:t>Administration of a therapeutic dose of iodine 131</w:t>
            </w:r>
            <w:r w:rsidR="00143803" w:rsidRPr="00143803">
              <w:rPr>
                <w:b w:val="0"/>
                <w:bCs w:val="0"/>
              </w:rPr>
              <w:t xml:space="preserve"> for thyroid cancer by single dose technique</w:t>
            </w:r>
          </w:p>
          <w:p w14:paraId="7F0D85FD" w14:textId="77F6FC72" w:rsidR="00143803" w:rsidRPr="007647FB" w:rsidRDefault="00143803" w:rsidP="00143803">
            <w:pPr>
              <w:rPr>
                <w:b w:val="0"/>
                <w:bCs w:val="0"/>
                <w:color w:val="auto"/>
              </w:rPr>
            </w:pPr>
            <w:r w:rsidRPr="007647FB">
              <w:rPr>
                <w:b w:val="0"/>
                <w:bCs w:val="0"/>
                <w:color w:val="auto"/>
                <w:szCs w:val="22"/>
              </w:rPr>
              <w:t>Fee: $</w:t>
            </w:r>
            <w:r w:rsidR="00E47F11" w:rsidRPr="007647FB">
              <w:rPr>
                <w:b w:val="0"/>
                <w:bCs w:val="0"/>
                <w:color w:val="auto"/>
                <w:szCs w:val="22"/>
              </w:rPr>
              <w:t>1</w:t>
            </w:r>
            <w:r w:rsidR="009175B7" w:rsidRPr="007647FB">
              <w:rPr>
                <w:b w:val="0"/>
                <w:bCs w:val="0"/>
                <w:color w:val="auto"/>
                <w:szCs w:val="22"/>
              </w:rPr>
              <w:t>,</w:t>
            </w:r>
            <w:r w:rsidR="00E47F11" w:rsidRPr="007647FB">
              <w:rPr>
                <w:b w:val="0"/>
                <w:bCs w:val="0"/>
                <w:color w:val="auto"/>
                <w:szCs w:val="22"/>
              </w:rPr>
              <w:t>047.70</w:t>
            </w:r>
            <w:r w:rsidRPr="007647FB">
              <w:rPr>
                <w:b w:val="0"/>
                <w:bCs w:val="0"/>
                <w:color w:val="auto"/>
                <w:szCs w:val="22"/>
              </w:rPr>
              <w:t xml:space="preserve"> </w:t>
            </w:r>
            <w:r w:rsidR="004F6D99" w:rsidRPr="007647FB">
              <w:rPr>
                <w:b w:val="0"/>
                <w:bCs w:val="0"/>
                <w:color w:val="auto"/>
                <w:szCs w:val="22"/>
              </w:rPr>
              <w:t xml:space="preserve">  </w:t>
            </w:r>
          </w:p>
          <w:p w14:paraId="2D2449E4" w14:textId="77777777" w:rsidR="009F4456" w:rsidRPr="007647FB" w:rsidRDefault="009F4456" w:rsidP="009F4456">
            <w:pPr>
              <w:pStyle w:val="ListBullet"/>
              <w:numPr>
                <w:ilvl w:val="0"/>
                <w:numId w:val="0"/>
              </w:numPr>
              <w:ind w:left="360" w:hanging="360"/>
            </w:pPr>
            <w:r w:rsidRPr="007647FB">
              <w:t>Private Health Insurance Classification:</w:t>
            </w:r>
          </w:p>
          <w:p w14:paraId="64336EB1" w14:textId="77777777" w:rsidR="009F4456" w:rsidRPr="009F4456" w:rsidRDefault="009F4456" w:rsidP="009F4456">
            <w:pPr>
              <w:pStyle w:val="ListBullet"/>
              <w:rPr>
                <w:b w:val="0"/>
                <w:bCs w:val="0"/>
              </w:rPr>
            </w:pPr>
            <w:r w:rsidRPr="009F4456">
              <w:rPr>
                <w:b w:val="0"/>
                <w:bCs w:val="0"/>
              </w:rPr>
              <w:t>Clinical category:</w:t>
            </w:r>
            <w:r w:rsidRPr="00642F20">
              <w:t xml:space="preserve"> </w:t>
            </w:r>
            <w:r w:rsidRPr="009F4456">
              <w:rPr>
                <w:b w:val="0"/>
                <w:bCs w:val="0"/>
              </w:rPr>
              <w:t>Chemotherapy,</w:t>
            </w:r>
            <w:r>
              <w:rPr>
                <w:b w:val="0"/>
                <w:bCs w:val="0"/>
              </w:rPr>
              <w:t xml:space="preserve"> </w:t>
            </w:r>
            <w:proofErr w:type="gramStart"/>
            <w:r w:rsidRPr="009F4456">
              <w:rPr>
                <w:b w:val="0"/>
                <w:bCs w:val="0"/>
              </w:rPr>
              <w:t>radiotherapy</w:t>
            </w:r>
            <w:proofErr w:type="gramEnd"/>
            <w:r w:rsidRPr="009F4456">
              <w:rPr>
                <w:b w:val="0"/>
                <w:bCs w:val="0"/>
              </w:rPr>
              <w:t xml:space="preserve"> and</w:t>
            </w:r>
            <w:r>
              <w:rPr>
                <w:b w:val="0"/>
                <w:bCs w:val="0"/>
              </w:rPr>
              <w:t xml:space="preserve"> </w:t>
            </w:r>
            <w:r w:rsidRPr="009F4456">
              <w:rPr>
                <w:b w:val="0"/>
                <w:bCs w:val="0"/>
              </w:rPr>
              <w:t>immunotherapy</w:t>
            </w:r>
            <w:r>
              <w:rPr>
                <w:b w:val="0"/>
                <w:bCs w:val="0"/>
              </w:rPr>
              <w:t xml:space="preserve"> </w:t>
            </w:r>
            <w:r w:rsidRPr="009F4456">
              <w:rPr>
                <w:b w:val="0"/>
                <w:bCs w:val="0"/>
              </w:rPr>
              <w:t>for cancer</w:t>
            </w:r>
          </w:p>
          <w:p w14:paraId="2F786A12" w14:textId="21AC3315" w:rsidR="00642F20" w:rsidRPr="00642F20" w:rsidRDefault="009F4456" w:rsidP="009F4456">
            <w:pPr>
              <w:pStyle w:val="ListBullet"/>
            </w:pPr>
            <w:r w:rsidRPr="00642F20">
              <w:rPr>
                <w:b w:val="0"/>
                <w:bCs w:val="0"/>
              </w:rPr>
              <w:t>Procedure type: Type</w:t>
            </w:r>
            <w:r w:rsidR="00463494">
              <w:rPr>
                <w:b w:val="0"/>
                <w:bCs w:val="0"/>
              </w:rPr>
              <w:t xml:space="preserve"> C</w:t>
            </w:r>
          </w:p>
        </w:tc>
      </w:tr>
      <w:tr w:rsidR="005328B0" w14:paraId="0B424D83" w14:textId="77777777" w:rsidTr="004A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1606D2F0" w14:textId="7E0FC97A" w:rsidR="00143803" w:rsidRDefault="00143803" w:rsidP="00143803">
            <w:pPr>
              <w:rPr>
                <w:b w:val="0"/>
                <w:bCs w:val="0"/>
              </w:rPr>
            </w:pPr>
            <w:r>
              <w:rPr>
                <w:b w:val="0"/>
                <w:bCs w:val="0"/>
              </w:rPr>
              <w:t>16009</w:t>
            </w:r>
          </w:p>
          <w:p w14:paraId="50D5FDE7" w14:textId="783F223F" w:rsidR="00143803" w:rsidRPr="004A315F" w:rsidRDefault="0066198B" w:rsidP="00143803">
            <w:pPr>
              <w:rPr>
                <w:b w:val="0"/>
                <w:bCs w:val="0"/>
              </w:rPr>
            </w:pPr>
            <w:r w:rsidRPr="004A315F">
              <w:rPr>
                <w:b w:val="0"/>
                <w:bCs w:val="0"/>
              </w:rPr>
              <w:t xml:space="preserve">Administration of a therapeutic dose of iodine </w:t>
            </w:r>
            <w:r w:rsidR="00143803" w:rsidRPr="004A315F">
              <w:rPr>
                <w:b w:val="0"/>
                <w:bCs w:val="0"/>
              </w:rPr>
              <w:t>131 for thyrotoxicosis by single dose technique</w:t>
            </w:r>
          </w:p>
          <w:p w14:paraId="00F52009" w14:textId="28E37FF0" w:rsidR="00143803" w:rsidRPr="007647FB" w:rsidRDefault="00143803" w:rsidP="00143803">
            <w:pPr>
              <w:rPr>
                <w:b w:val="0"/>
                <w:bCs w:val="0"/>
                <w:color w:val="auto"/>
              </w:rPr>
            </w:pPr>
            <w:r w:rsidRPr="007647FB">
              <w:rPr>
                <w:b w:val="0"/>
                <w:bCs w:val="0"/>
                <w:color w:val="auto"/>
              </w:rPr>
              <w:t>Fee: $</w:t>
            </w:r>
            <w:r w:rsidR="00E47F11" w:rsidRPr="007647FB">
              <w:rPr>
                <w:b w:val="0"/>
                <w:bCs w:val="0"/>
                <w:color w:val="auto"/>
              </w:rPr>
              <w:t>507.55</w:t>
            </w:r>
            <w:r w:rsidRPr="007647FB">
              <w:rPr>
                <w:b w:val="0"/>
                <w:bCs w:val="0"/>
                <w:color w:val="auto"/>
              </w:rPr>
              <w:t xml:space="preserve"> </w:t>
            </w:r>
            <w:r w:rsidR="004F6D99" w:rsidRPr="007647FB">
              <w:rPr>
                <w:b w:val="0"/>
                <w:bCs w:val="0"/>
                <w:color w:val="auto"/>
              </w:rPr>
              <w:t xml:space="preserve">  </w:t>
            </w:r>
          </w:p>
          <w:p w14:paraId="675CBAF1" w14:textId="77777777" w:rsidR="009F4456" w:rsidRPr="007647FB" w:rsidRDefault="009F4456" w:rsidP="009F4456">
            <w:pPr>
              <w:pStyle w:val="ListBullet"/>
              <w:numPr>
                <w:ilvl w:val="0"/>
                <w:numId w:val="0"/>
              </w:numPr>
              <w:ind w:left="360" w:hanging="360"/>
            </w:pPr>
            <w:r w:rsidRPr="007647FB">
              <w:t>Private Health Insurance Classification:</w:t>
            </w:r>
          </w:p>
          <w:p w14:paraId="6B7CA376" w14:textId="77777777" w:rsidR="009F4456" w:rsidRPr="009F4456" w:rsidRDefault="009F4456" w:rsidP="009F4456">
            <w:pPr>
              <w:pStyle w:val="ListBullet"/>
              <w:rPr>
                <w:b w:val="0"/>
                <w:bCs w:val="0"/>
              </w:rPr>
            </w:pPr>
            <w:r w:rsidRPr="009F4456">
              <w:rPr>
                <w:b w:val="0"/>
                <w:bCs w:val="0"/>
              </w:rPr>
              <w:t>Clinical category:</w:t>
            </w:r>
            <w:r w:rsidRPr="00642F20">
              <w:t xml:space="preserve"> </w:t>
            </w:r>
            <w:r w:rsidRPr="009F4456">
              <w:rPr>
                <w:b w:val="0"/>
                <w:bCs w:val="0"/>
              </w:rPr>
              <w:t>Chemotherapy,</w:t>
            </w:r>
            <w:r>
              <w:rPr>
                <w:b w:val="0"/>
                <w:bCs w:val="0"/>
              </w:rPr>
              <w:t xml:space="preserve"> </w:t>
            </w:r>
            <w:proofErr w:type="gramStart"/>
            <w:r w:rsidRPr="009F4456">
              <w:rPr>
                <w:b w:val="0"/>
                <w:bCs w:val="0"/>
              </w:rPr>
              <w:t>radiotherapy</w:t>
            </w:r>
            <w:proofErr w:type="gramEnd"/>
            <w:r w:rsidRPr="009F4456">
              <w:rPr>
                <w:b w:val="0"/>
                <w:bCs w:val="0"/>
              </w:rPr>
              <w:t xml:space="preserve"> and</w:t>
            </w:r>
            <w:r>
              <w:rPr>
                <w:b w:val="0"/>
                <w:bCs w:val="0"/>
              </w:rPr>
              <w:t xml:space="preserve"> </w:t>
            </w:r>
            <w:r w:rsidRPr="009F4456">
              <w:rPr>
                <w:b w:val="0"/>
                <w:bCs w:val="0"/>
              </w:rPr>
              <w:t>immunotherapy</w:t>
            </w:r>
            <w:r>
              <w:rPr>
                <w:b w:val="0"/>
                <w:bCs w:val="0"/>
              </w:rPr>
              <w:t xml:space="preserve"> </w:t>
            </w:r>
            <w:r w:rsidRPr="009F4456">
              <w:rPr>
                <w:b w:val="0"/>
                <w:bCs w:val="0"/>
              </w:rPr>
              <w:t>for cancer</w:t>
            </w:r>
          </w:p>
          <w:p w14:paraId="01AAA9D7" w14:textId="6B50A18B" w:rsidR="00143803" w:rsidRPr="004A315F" w:rsidRDefault="009F4456" w:rsidP="009F4456">
            <w:pPr>
              <w:pStyle w:val="ListBullet"/>
              <w:rPr>
                <w:b w:val="0"/>
                <w:bCs w:val="0"/>
              </w:rPr>
            </w:pPr>
            <w:r w:rsidRPr="00642F20">
              <w:rPr>
                <w:b w:val="0"/>
                <w:bCs w:val="0"/>
              </w:rPr>
              <w:t>Procedure type: Type</w:t>
            </w:r>
            <w:r w:rsidR="00463494">
              <w:rPr>
                <w:b w:val="0"/>
                <w:bCs w:val="0"/>
              </w:rPr>
              <w:t xml:space="preserve"> C</w:t>
            </w:r>
          </w:p>
        </w:tc>
      </w:tr>
      <w:tr w:rsidR="008E5258" w14:paraId="42D0FC30" w14:textId="77777777" w:rsidTr="004A315F">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tcPr>
          <w:p w14:paraId="0A6B324C" w14:textId="57C780D9" w:rsidR="008E5258" w:rsidRPr="004A315F" w:rsidRDefault="008E5258" w:rsidP="008E5258">
            <w:pPr>
              <w:rPr>
                <w:b w:val="0"/>
                <w:bCs w:val="0"/>
              </w:rPr>
            </w:pPr>
            <w:r w:rsidRPr="004A315F">
              <w:rPr>
                <w:b w:val="0"/>
                <w:bCs w:val="0"/>
              </w:rPr>
              <w:t>16012</w:t>
            </w:r>
          </w:p>
          <w:p w14:paraId="2A033863" w14:textId="4F79F05F" w:rsidR="008E5258" w:rsidRPr="008E5258" w:rsidRDefault="0066198B" w:rsidP="008E5258">
            <w:pPr>
              <w:rPr>
                <w:b w:val="0"/>
                <w:bCs w:val="0"/>
              </w:rPr>
            </w:pPr>
            <w:r w:rsidRPr="008E5258">
              <w:rPr>
                <w:b w:val="0"/>
                <w:bCs w:val="0"/>
              </w:rPr>
              <w:t xml:space="preserve">Intravenous administration of a therapeutic dose of phosphorous </w:t>
            </w:r>
            <w:r w:rsidR="008E5258" w:rsidRPr="008E5258">
              <w:rPr>
                <w:b w:val="0"/>
                <w:bCs w:val="0"/>
              </w:rPr>
              <w:t>32</w:t>
            </w:r>
          </w:p>
          <w:p w14:paraId="29F1B2EE" w14:textId="75E0CFBF" w:rsidR="008E5258" w:rsidRPr="007647FB" w:rsidRDefault="008E5258" w:rsidP="008E5258">
            <w:pPr>
              <w:rPr>
                <w:b w:val="0"/>
                <w:bCs w:val="0"/>
                <w:color w:val="auto"/>
              </w:rPr>
            </w:pPr>
            <w:r w:rsidRPr="007647FB">
              <w:rPr>
                <w:b w:val="0"/>
                <w:bCs w:val="0"/>
                <w:color w:val="auto"/>
              </w:rPr>
              <w:t>Fee: $</w:t>
            </w:r>
            <w:r w:rsidR="00E47F11" w:rsidRPr="007647FB">
              <w:rPr>
                <w:b w:val="0"/>
                <w:bCs w:val="0"/>
                <w:color w:val="auto"/>
              </w:rPr>
              <w:t>2</w:t>
            </w:r>
            <w:r w:rsidR="009175B7" w:rsidRPr="007647FB">
              <w:rPr>
                <w:b w:val="0"/>
                <w:bCs w:val="0"/>
                <w:color w:val="auto"/>
              </w:rPr>
              <w:t>,</w:t>
            </w:r>
            <w:r w:rsidR="00E47F11" w:rsidRPr="007647FB">
              <w:rPr>
                <w:b w:val="0"/>
                <w:bCs w:val="0"/>
                <w:color w:val="auto"/>
              </w:rPr>
              <w:t>915.10</w:t>
            </w:r>
            <w:r w:rsidRPr="007647FB">
              <w:rPr>
                <w:b w:val="0"/>
                <w:bCs w:val="0"/>
                <w:color w:val="auto"/>
              </w:rPr>
              <w:t xml:space="preserve"> </w:t>
            </w:r>
            <w:r w:rsidR="004F6D99" w:rsidRPr="007647FB">
              <w:rPr>
                <w:b w:val="0"/>
                <w:bCs w:val="0"/>
                <w:color w:val="auto"/>
              </w:rPr>
              <w:t xml:space="preserve">  </w:t>
            </w:r>
          </w:p>
          <w:p w14:paraId="0DBE3089" w14:textId="77777777" w:rsidR="009F4456" w:rsidRPr="007647FB" w:rsidRDefault="009F4456" w:rsidP="009F4456">
            <w:pPr>
              <w:pStyle w:val="ListBullet"/>
              <w:numPr>
                <w:ilvl w:val="0"/>
                <w:numId w:val="0"/>
              </w:numPr>
              <w:ind w:left="360" w:hanging="360"/>
            </w:pPr>
            <w:r w:rsidRPr="007647FB">
              <w:t>Private Health Insurance Classification:</w:t>
            </w:r>
          </w:p>
          <w:p w14:paraId="54589D28" w14:textId="77777777" w:rsidR="009F4456" w:rsidRPr="009F4456" w:rsidRDefault="009F4456" w:rsidP="009F4456">
            <w:pPr>
              <w:pStyle w:val="ListBullet"/>
              <w:rPr>
                <w:b w:val="0"/>
                <w:bCs w:val="0"/>
              </w:rPr>
            </w:pPr>
            <w:r w:rsidRPr="009F4456">
              <w:rPr>
                <w:b w:val="0"/>
                <w:bCs w:val="0"/>
              </w:rPr>
              <w:t>Clinical category:</w:t>
            </w:r>
            <w:r w:rsidRPr="00642F20">
              <w:t xml:space="preserve"> </w:t>
            </w:r>
            <w:r w:rsidRPr="009F4456">
              <w:rPr>
                <w:b w:val="0"/>
                <w:bCs w:val="0"/>
              </w:rPr>
              <w:t>Chemotherapy,</w:t>
            </w:r>
            <w:r>
              <w:rPr>
                <w:b w:val="0"/>
                <w:bCs w:val="0"/>
              </w:rPr>
              <w:t xml:space="preserve"> </w:t>
            </w:r>
            <w:proofErr w:type="gramStart"/>
            <w:r w:rsidRPr="009F4456">
              <w:rPr>
                <w:b w:val="0"/>
                <w:bCs w:val="0"/>
              </w:rPr>
              <w:t>radiotherapy</w:t>
            </w:r>
            <w:proofErr w:type="gramEnd"/>
            <w:r w:rsidRPr="009F4456">
              <w:rPr>
                <w:b w:val="0"/>
                <w:bCs w:val="0"/>
              </w:rPr>
              <w:t xml:space="preserve"> and</w:t>
            </w:r>
            <w:r>
              <w:rPr>
                <w:b w:val="0"/>
                <w:bCs w:val="0"/>
              </w:rPr>
              <w:t xml:space="preserve"> </w:t>
            </w:r>
            <w:r w:rsidRPr="009F4456">
              <w:rPr>
                <w:b w:val="0"/>
                <w:bCs w:val="0"/>
              </w:rPr>
              <w:t>immunotherapy</w:t>
            </w:r>
            <w:r>
              <w:rPr>
                <w:b w:val="0"/>
                <w:bCs w:val="0"/>
              </w:rPr>
              <w:t xml:space="preserve"> </w:t>
            </w:r>
            <w:r w:rsidRPr="009F4456">
              <w:rPr>
                <w:b w:val="0"/>
                <w:bCs w:val="0"/>
              </w:rPr>
              <w:t>for cancer</w:t>
            </w:r>
          </w:p>
          <w:p w14:paraId="0A503A15" w14:textId="62D8E000" w:rsidR="0005647D" w:rsidRPr="004A315F" w:rsidRDefault="009F4456" w:rsidP="009F4456">
            <w:pPr>
              <w:pStyle w:val="ListBullet"/>
              <w:rPr>
                <w:b w:val="0"/>
                <w:bCs w:val="0"/>
              </w:rPr>
            </w:pPr>
            <w:r w:rsidRPr="00642F20">
              <w:rPr>
                <w:b w:val="0"/>
                <w:bCs w:val="0"/>
              </w:rPr>
              <w:t>Procedure type: Type</w:t>
            </w:r>
            <w:r w:rsidR="00463494">
              <w:rPr>
                <w:b w:val="0"/>
                <w:bCs w:val="0"/>
              </w:rPr>
              <w:t xml:space="preserve"> C</w:t>
            </w:r>
          </w:p>
        </w:tc>
      </w:tr>
    </w:tbl>
    <w:p w14:paraId="7214A7A3" w14:textId="77777777" w:rsidR="0066198B" w:rsidRDefault="0066198B"/>
    <w:tbl>
      <w:tblPr>
        <w:tblStyle w:val="GridTable4-Accent2"/>
        <w:tblW w:w="0" w:type="auto"/>
        <w:tblLook w:val="04A0" w:firstRow="1" w:lastRow="0" w:firstColumn="1" w:lastColumn="0" w:noHBand="0" w:noVBand="1"/>
      </w:tblPr>
      <w:tblGrid>
        <w:gridCol w:w="9060"/>
      </w:tblGrid>
      <w:tr w:rsidR="0066198B" w14:paraId="7CC84F1F" w14:textId="77777777" w:rsidTr="00532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6C19D9C" w14:textId="7C678723" w:rsidR="0066198B" w:rsidRDefault="0066198B" w:rsidP="0066198B">
            <w:pPr>
              <w:rPr>
                <w:b w:val="0"/>
                <w:bCs w:val="0"/>
                <w:lang w:eastAsia="en-AU"/>
              </w:rPr>
            </w:pPr>
            <w:r w:rsidRPr="00477511">
              <w:rPr>
                <w:lang w:eastAsia="en-AU"/>
              </w:rPr>
              <w:lastRenderedPageBreak/>
              <w:t>Category 3 - THERAPEUTIC PROCEDURES</w:t>
            </w:r>
          </w:p>
        </w:tc>
      </w:tr>
      <w:tr w:rsidR="0066198B" w14:paraId="34ED9F8B" w14:textId="77777777" w:rsidTr="0066198B">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060" w:type="dxa"/>
          </w:tcPr>
          <w:p w14:paraId="5D44D6B4" w14:textId="43D747B8" w:rsidR="0066198B" w:rsidRPr="004A315F" w:rsidRDefault="00DC4BFE" w:rsidP="0066198B">
            <w:pPr>
              <w:spacing w:after="0" w:line="221" w:lineRule="atLeast"/>
              <w:rPr>
                <w:rFonts w:cs="Arial"/>
                <w:szCs w:val="22"/>
              </w:rPr>
            </w:pPr>
            <w:r>
              <w:rPr>
                <w:lang w:eastAsia="en-AU"/>
              </w:rPr>
              <w:t xml:space="preserve">Group </w:t>
            </w:r>
            <w:r w:rsidR="0066198B" w:rsidRPr="00143803">
              <w:rPr>
                <w:lang w:eastAsia="en-AU"/>
              </w:rPr>
              <w:t>T3 - Therapeutic Nuclear Medicine</w:t>
            </w:r>
          </w:p>
        </w:tc>
      </w:tr>
      <w:tr w:rsidR="005328B0" w14:paraId="0A2D2335" w14:textId="77777777" w:rsidTr="005328B0">
        <w:tc>
          <w:tcPr>
            <w:cnfStyle w:val="001000000000" w:firstRow="0" w:lastRow="0" w:firstColumn="1" w:lastColumn="0" w:oddVBand="0" w:evenVBand="0" w:oddHBand="0" w:evenHBand="0" w:firstRowFirstColumn="0" w:firstRowLastColumn="0" w:lastRowFirstColumn="0" w:lastRowLastColumn="0"/>
            <w:tcW w:w="9060" w:type="dxa"/>
          </w:tcPr>
          <w:p w14:paraId="0A2E9061" w14:textId="5D6CEAFB" w:rsidR="008E5258" w:rsidRPr="004A315F" w:rsidRDefault="008E5258" w:rsidP="008E5258">
            <w:pPr>
              <w:spacing w:after="0" w:line="221" w:lineRule="atLeast"/>
              <w:rPr>
                <w:rFonts w:cs="Arial"/>
                <w:b w:val="0"/>
                <w:bCs w:val="0"/>
                <w:szCs w:val="22"/>
              </w:rPr>
            </w:pPr>
            <w:r w:rsidRPr="004A315F">
              <w:rPr>
                <w:rFonts w:cs="Arial"/>
                <w:b w:val="0"/>
                <w:bCs w:val="0"/>
                <w:szCs w:val="22"/>
              </w:rPr>
              <w:t>16015</w:t>
            </w:r>
          </w:p>
          <w:p w14:paraId="5E88E522" w14:textId="7C169A68" w:rsidR="008E5258" w:rsidRPr="004A315F" w:rsidRDefault="008E5258" w:rsidP="008E5258">
            <w:pPr>
              <w:spacing w:after="0" w:line="221" w:lineRule="atLeast"/>
              <w:rPr>
                <w:rFonts w:cs="Arial"/>
                <w:b w:val="0"/>
                <w:bCs w:val="0"/>
                <w:color w:val="auto"/>
                <w:szCs w:val="22"/>
                <w:lang w:eastAsia="en-AU"/>
              </w:rPr>
            </w:pPr>
            <w:r w:rsidRPr="004A315F">
              <w:rPr>
                <w:rFonts w:cs="Arial"/>
                <w:b w:val="0"/>
                <w:bCs w:val="0"/>
                <w:szCs w:val="22"/>
              </w:rPr>
              <w:t>Administration of Strontium 89</w:t>
            </w:r>
            <w:r w:rsidRPr="004A315F">
              <w:rPr>
                <w:rFonts w:cs="Arial"/>
                <w:b w:val="0"/>
                <w:bCs w:val="0"/>
                <w:color w:val="FF0000"/>
                <w:szCs w:val="22"/>
              </w:rPr>
              <w:t xml:space="preserve"> </w:t>
            </w:r>
            <w:r w:rsidRPr="00535B4C">
              <w:rPr>
                <w:rFonts w:cs="Arial"/>
                <w:b w:val="0"/>
                <w:bCs w:val="0"/>
                <w:szCs w:val="22"/>
              </w:rPr>
              <w:t>for</w:t>
            </w:r>
            <w:r w:rsidRPr="00535B4C">
              <w:rPr>
                <w:rFonts w:cs="Arial"/>
                <w:b w:val="0"/>
                <w:bCs w:val="0"/>
                <w:strike/>
                <w:szCs w:val="22"/>
              </w:rPr>
              <w:t xml:space="preserve"> painful bony metastases from carcinoma of the prostate, if hormone therapy has failed</w:t>
            </w:r>
            <w:r w:rsidRPr="004A315F">
              <w:rPr>
                <w:rFonts w:cs="Arial"/>
                <w:szCs w:val="22"/>
              </w:rPr>
              <w:t xml:space="preserve"> the relief of bone pain due to skeletal metastases (as indicated by a positive bone scan), if systemic antineoplastic therapy is unavailable or has failed to control the patient’s disease</w:t>
            </w:r>
            <w:r w:rsidRPr="004A315F">
              <w:rPr>
                <w:rFonts w:cs="Arial"/>
                <w:b w:val="0"/>
                <w:bCs w:val="0"/>
                <w:szCs w:val="22"/>
              </w:rPr>
              <w:t xml:space="preserve"> and either:</w:t>
            </w:r>
          </w:p>
          <w:p w14:paraId="44CB3061" w14:textId="3F3ADBF7" w:rsidR="008E5258" w:rsidRPr="004A315F" w:rsidRDefault="008E5258" w:rsidP="004A315F">
            <w:pPr>
              <w:pStyle w:val="ListParagraph"/>
              <w:numPr>
                <w:ilvl w:val="0"/>
                <w:numId w:val="32"/>
              </w:numPr>
              <w:spacing w:after="0" w:line="221" w:lineRule="atLeast"/>
              <w:ind w:left="357" w:hanging="357"/>
              <w:rPr>
                <w:rFonts w:cs="Arial"/>
                <w:b w:val="0"/>
                <w:bCs w:val="0"/>
                <w:szCs w:val="22"/>
              </w:rPr>
            </w:pPr>
            <w:r w:rsidRPr="004A315F">
              <w:rPr>
                <w:rFonts w:cs="Arial"/>
                <w:b w:val="0"/>
                <w:bCs w:val="0"/>
                <w:szCs w:val="22"/>
              </w:rPr>
              <w:t>the disease is poorly controlled by conventional radiotherapy; or</w:t>
            </w:r>
          </w:p>
          <w:p w14:paraId="420BC9B6" w14:textId="65539C58" w:rsidR="008E5258" w:rsidRPr="004A315F" w:rsidRDefault="008E5258" w:rsidP="004A315F">
            <w:pPr>
              <w:pStyle w:val="ListParagraph"/>
              <w:numPr>
                <w:ilvl w:val="0"/>
                <w:numId w:val="32"/>
              </w:numPr>
              <w:spacing w:after="0" w:line="221" w:lineRule="atLeast"/>
              <w:ind w:left="357" w:hanging="357"/>
              <w:rPr>
                <w:rFonts w:cs="Arial"/>
                <w:b w:val="0"/>
                <w:bCs w:val="0"/>
                <w:szCs w:val="22"/>
              </w:rPr>
            </w:pPr>
            <w:r w:rsidRPr="004A315F">
              <w:rPr>
                <w:rFonts w:cs="Arial"/>
                <w:b w:val="0"/>
                <w:bCs w:val="0"/>
                <w:szCs w:val="22"/>
              </w:rPr>
              <w:t>conventional radiotherapy is inappropriate, due to the wide distribution of sites of bone pain.</w:t>
            </w:r>
          </w:p>
          <w:p w14:paraId="0BE5FE4D" w14:textId="148AFED5" w:rsidR="008E5258" w:rsidRPr="007647FB" w:rsidRDefault="008E5258" w:rsidP="008E5258">
            <w:pPr>
              <w:rPr>
                <w:rFonts w:cs="Arial"/>
                <w:b w:val="0"/>
                <w:bCs w:val="0"/>
                <w:szCs w:val="22"/>
              </w:rPr>
            </w:pPr>
            <w:r w:rsidRPr="004A315F">
              <w:rPr>
                <w:rFonts w:cs="Arial"/>
                <w:szCs w:val="22"/>
              </w:rPr>
              <w:br/>
            </w:r>
            <w:r w:rsidRPr="007647FB">
              <w:rPr>
                <w:rFonts w:cs="Arial"/>
                <w:b w:val="0"/>
                <w:bCs w:val="0"/>
                <w:szCs w:val="22"/>
              </w:rPr>
              <w:t xml:space="preserve">Fee: </w:t>
            </w:r>
            <w:r w:rsidR="00DC4BFE">
              <w:rPr>
                <w:rFonts w:cs="Arial"/>
                <w:b w:val="0"/>
                <w:bCs w:val="0"/>
                <w:szCs w:val="22"/>
              </w:rPr>
              <w:t>$4,474.70 (</w:t>
            </w:r>
            <w:r w:rsidRPr="007647FB">
              <w:rPr>
                <w:rFonts w:cs="Arial"/>
                <w:b w:val="0"/>
                <w:bCs w:val="0"/>
                <w:szCs w:val="22"/>
              </w:rPr>
              <w:t>No change</w:t>
            </w:r>
            <w:r w:rsidR="00DC4BFE">
              <w:rPr>
                <w:rFonts w:cs="Arial"/>
                <w:b w:val="0"/>
                <w:bCs w:val="0"/>
                <w:szCs w:val="22"/>
              </w:rPr>
              <w:t>)</w:t>
            </w:r>
          </w:p>
          <w:p w14:paraId="6E93E5B5" w14:textId="77777777" w:rsidR="009F4456" w:rsidRPr="00642F20" w:rsidRDefault="009F4456" w:rsidP="009F4456">
            <w:pPr>
              <w:pStyle w:val="ListBullet"/>
              <w:numPr>
                <w:ilvl w:val="0"/>
                <w:numId w:val="0"/>
              </w:numPr>
              <w:ind w:left="360" w:hanging="360"/>
              <w:rPr>
                <w:b w:val="0"/>
                <w:bCs w:val="0"/>
              </w:rPr>
            </w:pPr>
            <w:r w:rsidRPr="00642F20">
              <w:rPr>
                <w:b w:val="0"/>
                <w:bCs w:val="0"/>
              </w:rPr>
              <w:t>Private Health Insurance Classification:</w:t>
            </w:r>
          </w:p>
          <w:p w14:paraId="3AE04CC3" w14:textId="77777777" w:rsidR="009F4456" w:rsidRPr="009F4456" w:rsidRDefault="009F4456" w:rsidP="009F4456">
            <w:pPr>
              <w:pStyle w:val="ListBullet"/>
              <w:rPr>
                <w:b w:val="0"/>
                <w:bCs w:val="0"/>
              </w:rPr>
            </w:pPr>
            <w:r w:rsidRPr="009F4456">
              <w:rPr>
                <w:b w:val="0"/>
                <w:bCs w:val="0"/>
              </w:rPr>
              <w:t>Clinical category:</w:t>
            </w:r>
            <w:r w:rsidRPr="00642F20">
              <w:t xml:space="preserve"> </w:t>
            </w:r>
            <w:r w:rsidRPr="009F4456">
              <w:rPr>
                <w:b w:val="0"/>
                <w:bCs w:val="0"/>
              </w:rPr>
              <w:t>Chemotherapy,</w:t>
            </w:r>
            <w:r>
              <w:rPr>
                <w:b w:val="0"/>
                <w:bCs w:val="0"/>
              </w:rPr>
              <w:t xml:space="preserve"> </w:t>
            </w:r>
            <w:proofErr w:type="gramStart"/>
            <w:r w:rsidRPr="009F4456">
              <w:rPr>
                <w:b w:val="0"/>
                <w:bCs w:val="0"/>
              </w:rPr>
              <w:t>radiotherapy</w:t>
            </w:r>
            <w:proofErr w:type="gramEnd"/>
            <w:r w:rsidRPr="009F4456">
              <w:rPr>
                <w:b w:val="0"/>
                <w:bCs w:val="0"/>
              </w:rPr>
              <w:t xml:space="preserve"> and</w:t>
            </w:r>
            <w:r>
              <w:rPr>
                <w:b w:val="0"/>
                <w:bCs w:val="0"/>
              </w:rPr>
              <w:t xml:space="preserve"> </w:t>
            </w:r>
            <w:r w:rsidRPr="009F4456">
              <w:rPr>
                <w:b w:val="0"/>
                <w:bCs w:val="0"/>
              </w:rPr>
              <w:t>immunotherapy</w:t>
            </w:r>
            <w:r>
              <w:rPr>
                <w:b w:val="0"/>
                <w:bCs w:val="0"/>
              </w:rPr>
              <w:t xml:space="preserve"> </w:t>
            </w:r>
            <w:r w:rsidRPr="009F4456">
              <w:rPr>
                <w:b w:val="0"/>
                <w:bCs w:val="0"/>
              </w:rPr>
              <w:t>for cancer</w:t>
            </w:r>
          </w:p>
          <w:p w14:paraId="61A821FF" w14:textId="30A19FAF" w:rsidR="0005647D" w:rsidRPr="004A315F" w:rsidRDefault="009F4456" w:rsidP="009F4456">
            <w:pPr>
              <w:pStyle w:val="ListBullet"/>
              <w:rPr>
                <w:b w:val="0"/>
                <w:bCs w:val="0"/>
              </w:rPr>
            </w:pPr>
            <w:r w:rsidRPr="00642F20">
              <w:rPr>
                <w:b w:val="0"/>
                <w:bCs w:val="0"/>
              </w:rPr>
              <w:t>Procedure type: Type</w:t>
            </w:r>
            <w:r w:rsidR="00463494">
              <w:rPr>
                <w:b w:val="0"/>
                <w:bCs w:val="0"/>
              </w:rPr>
              <w:t xml:space="preserve"> C</w:t>
            </w:r>
          </w:p>
        </w:tc>
      </w:tr>
      <w:tr w:rsidR="005328B0" w14:paraId="269DDB48" w14:textId="77777777" w:rsidTr="004A315F">
        <w:trPr>
          <w:cnfStyle w:val="000000100000" w:firstRow="0" w:lastRow="0" w:firstColumn="0" w:lastColumn="0" w:oddVBand="0" w:evenVBand="0" w:oddHBand="1" w:evenHBand="0" w:firstRowFirstColumn="0" w:firstRowLastColumn="0" w:lastRowFirstColumn="0" w:lastRowLastColumn="0"/>
          <w:trHeight w:val="3342"/>
        </w:trPr>
        <w:tc>
          <w:tcPr>
            <w:cnfStyle w:val="001000000000" w:firstRow="0" w:lastRow="0" w:firstColumn="1" w:lastColumn="0" w:oddVBand="0" w:evenVBand="0" w:oddHBand="0" w:evenHBand="0" w:firstRowFirstColumn="0" w:firstRowLastColumn="0" w:lastRowFirstColumn="0" w:lastRowLastColumn="0"/>
            <w:tcW w:w="9060" w:type="dxa"/>
          </w:tcPr>
          <w:p w14:paraId="50CC4F1D" w14:textId="77777777" w:rsidR="008E5258" w:rsidRPr="004A315F" w:rsidRDefault="008E5258" w:rsidP="008E5258">
            <w:pPr>
              <w:spacing w:after="0" w:line="221" w:lineRule="atLeast"/>
              <w:rPr>
                <w:rFonts w:cs="Arial"/>
                <w:b w:val="0"/>
                <w:bCs w:val="0"/>
                <w:szCs w:val="22"/>
              </w:rPr>
            </w:pPr>
            <w:r w:rsidRPr="004A315F">
              <w:rPr>
                <w:rFonts w:cs="Arial"/>
                <w:b w:val="0"/>
                <w:bCs w:val="0"/>
                <w:szCs w:val="22"/>
              </w:rPr>
              <w:t>16018</w:t>
            </w:r>
          </w:p>
          <w:p w14:paraId="3F3E7487" w14:textId="77777777" w:rsidR="008E5258" w:rsidRPr="00535B4C" w:rsidRDefault="008E5258" w:rsidP="008E5258">
            <w:pPr>
              <w:spacing w:after="0" w:line="221" w:lineRule="atLeast"/>
              <w:rPr>
                <w:rFonts w:cs="Arial"/>
                <w:b w:val="0"/>
                <w:bCs w:val="0"/>
                <w:color w:val="auto"/>
                <w:szCs w:val="22"/>
                <w:lang w:eastAsia="en-AU"/>
              </w:rPr>
            </w:pPr>
            <w:r w:rsidRPr="004A315F">
              <w:rPr>
                <w:rFonts w:cs="Arial"/>
                <w:b w:val="0"/>
                <w:bCs w:val="0"/>
                <w:szCs w:val="22"/>
              </w:rPr>
              <w:t xml:space="preserve">Administration of 153 </w:t>
            </w:r>
            <w:proofErr w:type="spellStart"/>
            <w:r w:rsidRPr="004A315F">
              <w:rPr>
                <w:rFonts w:cs="Arial"/>
                <w:b w:val="0"/>
                <w:bCs w:val="0"/>
                <w:szCs w:val="22"/>
              </w:rPr>
              <w:t>Sm</w:t>
            </w:r>
            <w:proofErr w:type="spellEnd"/>
            <w:r w:rsidRPr="004A315F">
              <w:rPr>
                <w:rFonts w:cs="Arial"/>
                <w:b w:val="0"/>
                <w:bCs w:val="0"/>
                <w:szCs w:val="22"/>
              </w:rPr>
              <w:t>-lexidronam for the relief of bone pain due to skeletal metastases (as indicated by a positive bone scan), if</w:t>
            </w:r>
            <w:r w:rsidRPr="004A315F">
              <w:rPr>
                <w:rFonts w:cs="Arial"/>
                <w:b w:val="0"/>
                <w:bCs w:val="0"/>
                <w:color w:val="FF0000"/>
                <w:szCs w:val="22"/>
              </w:rPr>
              <w:t xml:space="preserve"> </w:t>
            </w:r>
            <w:r w:rsidRPr="004A315F">
              <w:rPr>
                <w:rFonts w:cs="Arial"/>
                <w:szCs w:val="22"/>
              </w:rPr>
              <w:t xml:space="preserve">systemic antineoplastic therapy is unavailable or has failed to control the patient’s disease </w:t>
            </w:r>
            <w:r w:rsidRPr="00535B4C">
              <w:rPr>
                <w:rFonts w:cs="Arial"/>
                <w:b w:val="0"/>
                <w:bCs w:val="0"/>
                <w:strike/>
                <w:szCs w:val="22"/>
              </w:rPr>
              <w:t>hormonal therapy or chemotherapy have failed</w:t>
            </w:r>
            <w:r w:rsidRPr="00535B4C">
              <w:rPr>
                <w:rFonts w:cs="Arial"/>
                <w:b w:val="0"/>
                <w:bCs w:val="0"/>
                <w:szCs w:val="22"/>
              </w:rPr>
              <w:t>, and:</w:t>
            </w:r>
          </w:p>
          <w:p w14:paraId="5A092480" w14:textId="4A8E5D0C" w:rsidR="008E5258" w:rsidRPr="004A315F" w:rsidRDefault="008E5258" w:rsidP="004A315F">
            <w:pPr>
              <w:pStyle w:val="ListParagraph"/>
              <w:numPr>
                <w:ilvl w:val="0"/>
                <w:numId w:val="29"/>
              </w:numPr>
              <w:spacing w:after="0" w:line="221" w:lineRule="atLeast"/>
              <w:rPr>
                <w:rFonts w:cs="Arial"/>
                <w:b w:val="0"/>
                <w:bCs w:val="0"/>
                <w:szCs w:val="22"/>
              </w:rPr>
            </w:pPr>
            <w:r w:rsidRPr="004A315F">
              <w:rPr>
                <w:rFonts w:cs="Arial"/>
                <w:b w:val="0"/>
                <w:bCs w:val="0"/>
                <w:szCs w:val="22"/>
              </w:rPr>
              <w:t xml:space="preserve">the disease is poorly controlled by conventional radiotherapy; or </w:t>
            </w:r>
          </w:p>
          <w:p w14:paraId="2BCA2AF4" w14:textId="4CEB2D3B" w:rsidR="008E5258" w:rsidRPr="004A315F" w:rsidRDefault="008E5258" w:rsidP="004A315F">
            <w:pPr>
              <w:pStyle w:val="ListParagraph"/>
              <w:numPr>
                <w:ilvl w:val="0"/>
                <w:numId w:val="29"/>
              </w:numPr>
              <w:spacing w:before="0" w:after="0" w:line="221" w:lineRule="atLeast"/>
              <w:rPr>
                <w:rFonts w:cs="Arial"/>
                <w:b w:val="0"/>
                <w:bCs w:val="0"/>
                <w:szCs w:val="22"/>
              </w:rPr>
            </w:pPr>
            <w:r w:rsidRPr="004A315F">
              <w:rPr>
                <w:rFonts w:cs="Arial"/>
                <w:b w:val="0"/>
                <w:bCs w:val="0"/>
                <w:szCs w:val="22"/>
              </w:rPr>
              <w:t>conventional radiotherapy is inappropriate, due to the wide distribution of sites of bone</w:t>
            </w:r>
            <w:r w:rsidR="004F6D99" w:rsidRPr="004A315F">
              <w:rPr>
                <w:rFonts w:cs="Arial"/>
                <w:b w:val="0"/>
                <w:bCs w:val="0"/>
                <w:szCs w:val="22"/>
              </w:rPr>
              <w:t xml:space="preserve"> </w:t>
            </w:r>
            <w:r w:rsidRPr="004A315F">
              <w:rPr>
                <w:rFonts w:cs="Arial"/>
                <w:b w:val="0"/>
                <w:bCs w:val="0"/>
                <w:szCs w:val="22"/>
              </w:rPr>
              <w:t>pain.</w:t>
            </w:r>
          </w:p>
          <w:p w14:paraId="4B5C04AB" w14:textId="4DF43302" w:rsidR="0005647D" w:rsidRPr="007647FB" w:rsidRDefault="008E5258" w:rsidP="004A315F">
            <w:pPr>
              <w:spacing w:line="221" w:lineRule="atLeast"/>
              <w:rPr>
                <w:b w:val="0"/>
                <w:bCs w:val="0"/>
                <w:color w:val="FF0000"/>
              </w:rPr>
            </w:pPr>
            <w:r w:rsidRPr="004A315F">
              <w:rPr>
                <w:rFonts w:cs="Arial"/>
                <w:szCs w:val="22"/>
              </w:rPr>
              <w:br/>
            </w:r>
            <w:r w:rsidRPr="007647FB">
              <w:rPr>
                <w:rFonts w:cs="Arial"/>
                <w:b w:val="0"/>
                <w:bCs w:val="0"/>
                <w:color w:val="auto"/>
                <w:szCs w:val="22"/>
              </w:rPr>
              <w:t>Fee: $</w:t>
            </w:r>
            <w:r w:rsidR="00E47F11" w:rsidRPr="007647FB">
              <w:rPr>
                <w:rFonts w:cs="Arial"/>
                <w:b w:val="0"/>
                <w:bCs w:val="0"/>
                <w:color w:val="auto"/>
                <w:szCs w:val="22"/>
              </w:rPr>
              <w:t>4</w:t>
            </w:r>
            <w:r w:rsidR="00463728" w:rsidRPr="007647FB">
              <w:rPr>
                <w:rFonts w:cs="Arial"/>
                <w:b w:val="0"/>
                <w:bCs w:val="0"/>
                <w:color w:val="auto"/>
                <w:szCs w:val="22"/>
              </w:rPr>
              <w:t>,</w:t>
            </w:r>
            <w:r w:rsidR="00E47F11" w:rsidRPr="007647FB">
              <w:rPr>
                <w:rFonts w:cs="Arial"/>
                <w:b w:val="0"/>
                <w:bCs w:val="0"/>
                <w:color w:val="auto"/>
                <w:szCs w:val="22"/>
              </w:rPr>
              <w:t xml:space="preserve">814.70 </w:t>
            </w:r>
            <w:r w:rsidR="004F6D99" w:rsidRPr="007647FB">
              <w:rPr>
                <w:rFonts w:cs="Arial"/>
                <w:b w:val="0"/>
                <w:bCs w:val="0"/>
                <w:color w:val="auto"/>
                <w:szCs w:val="22"/>
              </w:rPr>
              <w:t xml:space="preserve">  </w:t>
            </w:r>
          </w:p>
          <w:p w14:paraId="275216EC" w14:textId="77777777" w:rsidR="009F4456" w:rsidRPr="007647FB" w:rsidRDefault="009F4456" w:rsidP="009F4456">
            <w:pPr>
              <w:pStyle w:val="ListBullet"/>
              <w:numPr>
                <w:ilvl w:val="0"/>
                <w:numId w:val="0"/>
              </w:numPr>
              <w:ind w:left="360" w:hanging="360"/>
            </w:pPr>
            <w:r w:rsidRPr="007647FB">
              <w:t>Private Health Insurance Classification:</w:t>
            </w:r>
          </w:p>
          <w:p w14:paraId="13462D42" w14:textId="77777777" w:rsidR="009F4456" w:rsidRPr="009F4456" w:rsidRDefault="009F4456" w:rsidP="009F4456">
            <w:pPr>
              <w:pStyle w:val="ListBullet"/>
              <w:rPr>
                <w:b w:val="0"/>
                <w:bCs w:val="0"/>
              </w:rPr>
            </w:pPr>
            <w:r w:rsidRPr="009F4456">
              <w:rPr>
                <w:b w:val="0"/>
                <w:bCs w:val="0"/>
              </w:rPr>
              <w:t>Clinical category:</w:t>
            </w:r>
            <w:r w:rsidRPr="00642F20">
              <w:t xml:space="preserve"> </w:t>
            </w:r>
            <w:r w:rsidRPr="009F4456">
              <w:rPr>
                <w:b w:val="0"/>
                <w:bCs w:val="0"/>
              </w:rPr>
              <w:t>Chemotherapy,</w:t>
            </w:r>
            <w:r>
              <w:rPr>
                <w:b w:val="0"/>
                <w:bCs w:val="0"/>
              </w:rPr>
              <w:t xml:space="preserve"> </w:t>
            </w:r>
            <w:proofErr w:type="gramStart"/>
            <w:r w:rsidRPr="009F4456">
              <w:rPr>
                <w:b w:val="0"/>
                <w:bCs w:val="0"/>
              </w:rPr>
              <w:t>radiotherapy</w:t>
            </w:r>
            <w:proofErr w:type="gramEnd"/>
            <w:r w:rsidRPr="009F4456">
              <w:rPr>
                <w:b w:val="0"/>
                <w:bCs w:val="0"/>
              </w:rPr>
              <w:t xml:space="preserve"> and</w:t>
            </w:r>
            <w:r>
              <w:rPr>
                <w:b w:val="0"/>
                <w:bCs w:val="0"/>
              </w:rPr>
              <w:t xml:space="preserve"> </w:t>
            </w:r>
            <w:r w:rsidRPr="009F4456">
              <w:rPr>
                <w:b w:val="0"/>
                <w:bCs w:val="0"/>
              </w:rPr>
              <w:t>immunotherapy</w:t>
            </w:r>
            <w:r>
              <w:rPr>
                <w:b w:val="0"/>
                <w:bCs w:val="0"/>
              </w:rPr>
              <w:t xml:space="preserve"> </w:t>
            </w:r>
            <w:r w:rsidRPr="009F4456">
              <w:rPr>
                <w:b w:val="0"/>
                <w:bCs w:val="0"/>
              </w:rPr>
              <w:t>for cancer</w:t>
            </w:r>
          </w:p>
          <w:p w14:paraId="07280D96" w14:textId="65EB2361" w:rsidR="0005647D" w:rsidRPr="004A315F" w:rsidRDefault="009F4456" w:rsidP="009F4456">
            <w:pPr>
              <w:pStyle w:val="ListBullet"/>
              <w:rPr>
                <w:b w:val="0"/>
                <w:bCs w:val="0"/>
              </w:rPr>
            </w:pPr>
            <w:r w:rsidRPr="00642F20">
              <w:rPr>
                <w:b w:val="0"/>
                <w:bCs w:val="0"/>
              </w:rPr>
              <w:t>Procedure type: Type</w:t>
            </w:r>
            <w:r w:rsidR="00463494">
              <w:rPr>
                <w:b w:val="0"/>
                <w:bCs w:val="0"/>
              </w:rPr>
              <w:t xml:space="preserve"> C</w:t>
            </w:r>
          </w:p>
        </w:tc>
      </w:tr>
      <w:bookmarkEnd w:id="3"/>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4F6D99">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A8DE" w14:textId="77777777" w:rsidR="00FF4D50" w:rsidRDefault="00FF4D50" w:rsidP="006B56BB">
      <w:r>
        <w:separator/>
      </w:r>
    </w:p>
    <w:p w14:paraId="23B60812" w14:textId="77777777" w:rsidR="00FF4D50" w:rsidRDefault="00FF4D50"/>
  </w:endnote>
  <w:endnote w:type="continuationSeparator" w:id="0">
    <w:p w14:paraId="1EDA1E69" w14:textId="77777777" w:rsidR="00FF4D50" w:rsidRDefault="00FF4D50" w:rsidP="006B56BB">
      <w:r>
        <w:continuationSeparator/>
      </w:r>
    </w:p>
    <w:p w14:paraId="30CD71B8" w14:textId="77777777" w:rsidR="00FF4D50" w:rsidRDefault="00FF4D50"/>
  </w:endnote>
  <w:endnote w:type="continuationNotice" w:id="1">
    <w:p w14:paraId="450946B6" w14:textId="77777777" w:rsidR="00FF4D50" w:rsidRDefault="00FF4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F4C6" w14:textId="7EEFB593" w:rsidR="005328B0" w:rsidRDefault="000549E6" w:rsidP="005328B0">
    <w:pPr>
      <w:pStyle w:val="Footer"/>
      <w:jc w:val="left"/>
    </w:pPr>
    <w:r>
      <w:rPr>
        <w:rStyle w:val="BookTitle"/>
        <w:rFonts w:eastAsiaTheme="minorEastAsia"/>
        <w:noProof/>
      </w:rPr>
      <w:pict w14:anchorId="79578A0C">
        <v:rect id="_x0000_i1025" style="width:523.3pt;height:1.9pt" o:hralign="center" o:hrstd="t" o:hr="t" fillcolor="#a0a0a0" stroked="f"/>
      </w:pict>
    </w:r>
    <w:r w:rsidR="005328B0">
      <w:t>Medicare Benefits Schedule</w:t>
    </w:r>
  </w:p>
  <w:p w14:paraId="58DF1B28" w14:textId="572926EF" w:rsidR="005328B0" w:rsidRDefault="005328B0" w:rsidP="005328B0">
    <w:pPr>
      <w:pStyle w:val="Footer"/>
      <w:tabs>
        <w:tab w:val="clear" w:pos="9026"/>
        <w:tab w:val="right" w:pos="10466"/>
      </w:tabs>
    </w:pPr>
    <w:r>
      <w:rPr>
        <w:b/>
      </w:rPr>
      <w:t xml:space="preserve">Factsheet - </w:t>
    </w:r>
    <w:r w:rsidRPr="005328B0">
      <w:rPr>
        <w:b/>
      </w:rPr>
      <w:t>Changes to Therapeutic Nuclear Medicine Services</w:t>
    </w:r>
    <w:r w:rsidRPr="005328B0" w:rsidDel="005328B0">
      <w:rPr>
        <w:b/>
      </w:rPr>
      <w:t xml:space="preserve"> </w:t>
    </w:r>
    <w:sdt>
      <w:sdtPr>
        <w:id w:val="131375510"/>
        <w:docPartObj>
          <w:docPartGallery w:val="Page Numbers (Bottom of Page)"/>
          <w:docPartUnique/>
        </w:docPartObj>
      </w:sdtPr>
      <w:sdtEndPr>
        <w:rPr>
          <w:noProof/>
        </w:rPr>
      </w:sdtEndPr>
      <w:sdtContent>
        <w:r>
          <w:tab/>
        </w:r>
        <w:sdt>
          <w:sdtPr>
            <w:id w:val="1811897787"/>
            <w:docPartObj>
              <w:docPartGallery w:val="Page Numbers (Bottom of Page)"/>
              <w:docPartUnique/>
            </w:docPartObj>
          </w:sdtPr>
          <w:sdtEndPr/>
          <w:sdtContent>
            <w:sdt>
              <w:sdtPr>
                <w:id w:val="818775987"/>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4</w:t>
                </w:r>
                <w:r w:rsidRPr="00F546CA">
                  <w:rPr>
                    <w:bCs/>
                    <w:sz w:val="24"/>
                  </w:rPr>
                  <w:fldChar w:fldCharType="end"/>
                </w:r>
              </w:sdtContent>
            </w:sdt>
          </w:sdtContent>
        </w:sdt>
        <w:r>
          <w:t xml:space="preserve"> </w:t>
        </w:r>
      </w:sdtContent>
    </w:sdt>
  </w:p>
  <w:p w14:paraId="0221B576" w14:textId="77777777" w:rsidR="005328B0" w:rsidRDefault="000549E6" w:rsidP="005328B0">
    <w:pPr>
      <w:pStyle w:val="Footer"/>
      <w:jc w:val="left"/>
      <w:rPr>
        <w:rStyle w:val="Hyperlink"/>
        <w:szCs w:val="18"/>
      </w:rPr>
    </w:pPr>
    <w:hyperlink r:id="rId1" w:history="1">
      <w:r w:rsidR="005328B0" w:rsidRPr="00E863C4">
        <w:rPr>
          <w:rStyle w:val="Hyperlink"/>
          <w:szCs w:val="18"/>
        </w:rPr>
        <w:t>MBS Online</w:t>
      </w:r>
    </w:hyperlink>
  </w:p>
  <w:p w14:paraId="78B91981" w14:textId="6CAC23C0" w:rsidR="00CB03B8" w:rsidRPr="00F51321" w:rsidRDefault="005328B0" w:rsidP="005328B0">
    <w:pPr>
      <w:pStyle w:val="Footer"/>
      <w:jc w:val="left"/>
    </w:pPr>
    <w:r w:rsidRPr="00870B05">
      <w:t>Last updated</w:t>
    </w:r>
    <w:r>
      <w:t xml:space="preserve"> – </w:t>
    </w:r>
    <w:r w:rsidR="00535B4C">
      <w:t>21 April</w:t>
    </w:r>
    <w:r w:rsidR="007558D9" w:rsidRPr="00BC29EC">
      <w:t xml:space="preserve"> </w:t>
    </w:r>
    <w:r w:rsidRPr="00BC29EC">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789CB9B4" w:rsidR="00064168" w:rsidRDefault="000549E6"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1232022E" w:rsidR="00064168" w:rsidRDefault="005328B0" w:rsidP="00064168">
    <w:pPr>
      <w:pStyle w:val="Footer"/>
      <w:tabs>
        <w:tab w:val="clear" w:pos="9026"/>
        <w:tab w:val="right" w:pos="10466"/>
      </w:tabs>
    </w:pPr>
    <w:r w:rsidRPr="005328B0">
      <w:rPr>
        <w:b/>
      </w:rPr>
      <w:t>Changes to Therapeutic Nuclear Medicine Services</w:t>
    </w:r>
    <w:r w:rsidRPr="005328B0" w:rsidDel="005328B0">
      <w:rPr>
        <w:b/>
      </w:rPr>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549E6" w:rsidP="00064168">
    <w:pPr>
      <w:pStyle w:val="Footer"/>
      <w:jc w:val="left"/>
      <w:rPr>
        <w:rStyle w:val="Hyperlink"/>
        <w:szCs w:val="18"/>
      </w:rPr>
    </w:pPr>
    <w:hyperlink r:id="rId1" w:history="1">
      <w:r w:rsidR="00064168" w:rsidRPr="00E863C4">
        <w:rPr>
          <w:rStyle w:val="Hyperlink"/>
          <w:szCs w:val="18"/>
        </w:rPr>
        <w:t>MBS Online</w:t>
      </w:r>
    </w:hyperlink>
  </w:p>
  <w:p w14:paraId="03585E81" w14:textId="3F4478A6" w:rsidR="00064168" w:rsidRPr="009B32BA" w:rsidRDefault="00064168" w:rsidP="00064168">
    <w:pPr>
      <w:pStyle w:val="Footer"/>
      <w:jc w:val="left"/>
      <w:rPr>
        <w:szCs w:val="18"/>
      </w:rPr>
    </w:pPr>
    <w:r w:rsidRPr="00870B05">
      <w:t>Last updated</w:t>
    </w:r>
    <w:r>
      <w:t xml:space="preserve"> – </w:t>
    </w:r>
    <w:r w:rsidR="00535B4C">
      <w:t>21 April</w:t>
    </w:r>
    <w:r w:rsidR="007558D9" w:rsidRPr="00BC29EC">
      <w:t xml:space="preserve"> </w:t>
    </w:r>
    <w:r w:rsidR="005328B0" w:rsidRPr="00BC29EC">
      <w:t>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822C" w14:textId="77777777" w:rsidR="00FF4D50" w:rsidRDefault="00FF4D50" w:rsidP="006B56BB">
      <w:r>
        <w:separator/>
      </w:r>
    </w:p>
    <w:p w14:paraId="3C409FFC" w14:textId="77777777" w:rsidR="00FF4D50" w:rsidRDefault="00FF4D50"/>
  </w:footnote>
  <w:footnote w:type="continuationSeparator" w:id="0">
    <w:p w14:paraId="256DE1D2" w14:textId="77777777" w:rsidR="00FF4D50" w:rsidRDefault="00FF4D50" w:rsidP="006B56BB">
      <w:r>
        <w:continuationSeparator/>
      </w:r>
    </w:p>
    <w:p w14:paraId="037CEEB0" w14:textId="77777777" w:rsidR="00FF4D50" w:rsidRDefault="00FF4D50"/>
  </w:footnote>
  <w:footnote w:type="continuationNotice" w:id="1">
    <w:p w14:paraId="50B6B020" w14:textId="77777777" w:rsidR="00FF4D50" w:rsidRDefault="00FF4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3" name="Picture 3"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2E620E"/>
    <w:multiLevelType w:val="hybridMultilevel"/>
    <w:tmpl w:val="E54A045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8D80222"/>
    <w:multiLevelType w:val="hybridMultilevel"/>
    <w:tmpl w:val="137831BC"/>
    <w:lvl w:ilvl="0" w:tplc="89F882C6">
      <w:start w:val="1"/>
      <w:numFmt w:val="lowerLetter"/>
      <w:lvlText w:val="%1)"/>
      <w:lvlJc w:val="left"/>
      <w:pPr>
        <w:ind w:left="740" w:hanging="3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1460F0"/>
    <w:multiLevelType w:val="hybridMultilevel"/>
    <w:tmpl w:val="69E62E6C"/>
    <w:lvl w:ilvl="0" w:tplc="0C090017">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932360"/>
    <w:multiLevelType w:val="hybridMultilevel"/>
    <w:tmpl w:val="7E225286"/>
    <w:lvl w:ilvl="0" w:tplc="89F882C6">
      <w:start w:val="1"/>
      <w:numFmt w:val="lowerLetter"/>
      <w:lvlText w:val="%1)"/>
      <w:lvlJc w:val="left"/>
      <w:pPr>
        <w:ind w:left="740" w:hanging="3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0"/>
  </w:num>
  <w:num w:numId="3">
    <w:abstractNumId w:val="23"/>
  </w:num>
  <w:num w:numId="4">
    <w:abstractNumId w:val="8"/>
  </w:num>
  <w:num w:numId="5">
    <w:abstractNumId w:val="8"/>
    <w:lvlOverride w:ilvl="0">
      <w:startOverride w:val="1"/>
    </w:lvlOverride>
  </w:num>
  <w:num w:numId="6">
    <w:abstractNumId w:val="9"/>
  </w:num>
  <w:num w:numId="7">
    <w:abstractNumId w:val="17"/>
  </w:num>
  <w:num w:numId="8">
    <w:abstractNumId w:val="22"/>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4"/>
  </w:num>
  <w:num w:numId="17">
    <w:abstractNumId w:val="10"/>
  </w:num>
  <w:num w:numId="18">
    <w:abstractNumId w:val="13"/>
  </w:num>
  <w:num w:numId="19">
    <w:abstractNumId w:val="15"/>
  </w:num>
  <w:num w:numId="20">
    <w:abstractNumId w:val="10"/>
  </w:num>
  <w:num w:numId="21">
    <w:abstractNumId w:val="15"/>
  </w:num>
  <w:num w:numId="22">
    <w:abstractNumId w:val="24"/>
  </w:num>
  <w:num w:numId="23">
    <w:abstractNumId w:val="20"/>
  </w:num>
  <w:num w:numId="24">
    <w:abstractNumId w:val="23"/>
  </w:num>
  <w:num w:numId="25">
    <w:abstractNumId w:val="8"/>
  </w:num>
  <w:num w:numId="26">
    <w:abstractNumId w:val="18"/>
  </w:num>
  <w:num w:numId="27">
    <w:abstractNumId w:val="12"/>
  </w:num>
  <w:num w:numId="28">
    <w:abstractNumId w:val="14"/>
  </w:num>
  <w:num w:numId="29">
    <w:abstractNumId w:val="11"/>
  </w:num>
  <w:num w:numId="30">
    <w:abstractNumId w:val="21"/>
  </w:num>
  <w:num w:numId="31">
    <w:abstractNumId w:val="1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50F6"/>
    <w:rsid w:val="00026139"/>
    <w:rsid w:val="00027601"/>
    <w:rsid w:val="00033321"/>
    <w:rsid w:val="000338E5"/>
    <w:rsid w:val="00033ECC"/>
    <w:rsid w:val="0003422F"/>
    <w:rsid w:val="00041501"/>
    <w:rsid w:val="00046FF0"/>
    <w:rsid w:val="00050176"/>
    <w:rsid w:val="00050342"/>
    <w:rsid w:val="000549E6"/>
    <w:rsid w:val="0005647D"/>
    <w:rsid w:val="00064168"/>
    <w:rsid w:val="00067456"/>
    <w:rsid w:val="00071506"/>
    <w:rsid w:val="0007154F"/>
    <w:rsid w:val="00080BAC"/>
    <w:rsid w:val="00081AB1"/>
    <w:rsid w:val="00082CAB"/>
    <w:rsid w:val="00090316"/>
    <w:rsid w:val="00093981"/>
    <w:rsid w:val="000B067A"/>
    <w:rsid w:val="000B1540"/>
    <w:rsid w:val="000B1E53"/>
    <w:rsid w:val="000B33FD"/>
    <w:rsid w:val="000B4ABA"/>
    <w:rsid w:val="000B4FE0"/>
    <w:rsid w:val="000C4B16"/>
    <w:rsid w:val="000C50C3"/>
    <w:rsid w:val="000C5E14"/>
    <w:rsid w:val="000D21F6"/>
    <w:rsid w:val="000D4500"/>
    <w:rsid w:val="000D7AEA"/>
    <w:rsid w:val="000E2C66"/>
    <w:rsid w:val="000F123C"/>
    <w:rsid w:val="000F2FED"/>
    <w:rsid w:val="0010616D"/>
    <w:rsid w:val="00110478"/>
    <w:rsid w:val="001142E5"/>
    <w:rsid w:val="0011711B"/>
    <w:rsid w:val="00117F8A"/>
    <w:rsid w:val="00121B9B"/>
    <w:rsid w:val="00122ADC"/>
    <w:rsid w:val="001245EF"/>
    <w:rsid w:val="00130F59"/>
    <w:rsid w:val="00133EC0"/>
    <w:rsid w:val="00135294"/>
    <w:rsid w:val="00141CE5"/>
    <w:rsid w:val="00143803"/>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B6596"/>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A0724"/>
    <w:rsid w:val="002B20E6"/>
    <w:rsid w:val="002B42A3"/>
    <w:rsid w:val="002C0CDD"/>
    <w:rsid w:val="002C38C4"/>
    <w:rsid w:val="002C46AA"/>
    <w:rsid w:val="002E1A1D"/>
    <w:rsid w:val="002E1EE1"/>
    <w:rsid w:val="002E4081"/>
    <w:rsid w:val="002E5B78"/>
    <w:rsid w:val="002F3AE3"/>
    <w:rsid w:val="0030464B"/>
    <w:rsid w:val="0030786C"/>
    <w:rsid w:val="003233DE"/>
    <w:rsid w:val="0032466B"/>
    <w:rsid w:val="0032537E"/>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3494"/>
    <w:rsid w:val="00463728"/>
    <w:rsid w:val="00464631"/>
    <w:rsid w:val="00464B79"/>
    <w:rsid w:val="00467BBF"/>
    <w:rsid w:val="00477511"/>
    <w:rsid w:val="0048593C"/>
    <w:rsid w:val="004867E2"/>
    <w:rsid w:val="004929A9"/>
    <w:rsid w:val="004A315F"/>
    <w:rsid w:val="004A78D9"/>
    <w:rsid w:val="004B2581"/>
    <w:rsid w:val="004C1BCD"/>
    <w:rsid w:val="004C6BCF"/>
    <w:rsid w:val="004D58BF"/>
    <w:rsid w:val="004E4335"/>
    <w:rsid w:val="004E5226"/>
    <w:rsid w:val="004F13EE"/>
    <w:rsid w:val="004F2022"/>
    <w:rsid w:val="004F6D99"/>
    <w:rsid w:val="004F7C05"/>
    <w:rsid w:val="00501C94"/>
    <w:rsid w:val="00506432"/>
    <w:rsid w:val="00506E82"/>
    <w:rsid w:val="0052051D"/>
    <w:rsid w:val="005328B0"/>
    <w:rsid w:val="00535B4C"/>
    <w:rsid w:val="00545EE6"/>
    <w:rsid w:val="005550E7"/>
    <w:rsid w:val="005564FB"/>
    <w:rsid w:val="005572C7"/>
    <w:rsid w:val="005650ED"/>
    <w:rsid w:val="00575754"/>
    <w:rsid w:val="00581FBA"/>
    <w:rsid w:val="005858A4"/>
    <w:rsid w:val="00591E20"/>
    <w:rsid w:val="00595408"/>
    <w:rsid w:val="00595E84"/>
    <w:rsid w:val="005A0C59"/>
    <w:rsid w:val="005A48EB"/>
    <w:rsid w:val="005A6CFB"/>
    <w:rsid w:val="005C5AEB"/>
    <w:rsid w:val="005D5F4E"/>
    <w:rsid w:val="005E0A3F"/>
    <w:rsid w:val="005E1AF9"/>
    <w:rsid w:val="005E2D76"/>
    <w:rsid w:val="005E374F"/>
    <w:rsid w:val="005E6883"/>
    <w:rsid w:val="005E772F"/>
    <w:rsid w:val="005F4ECA"/>
    <w:rsid w:val="006041BE"/>
    <w:rsid w:val="006043C7"/>
    <w:rsid w:val="006105F9"/>
    <w:rsid w:val="00624B52"/>
    <w:rsid w:val="00630794"/>
    <w:rsid w:val="00631DF4"/>
    <w:rsid w:val="00634175"/>
    <w:rsid w:val="00635640"/>
    <w:rsid w:val="0063574E"/>
    <w:rsid w:val="006408AC"/>
    <w:rsid w:val="00642F20"/>
    <w:rsid w:val="006511B6"/>
    <w:rsid w:val="00657FF8"/>
    <w:rsid w:val="0066198B"/>
    <w:rsid w:val="00670D99"/>
    <w:rsid w:val="00670E2B"/>
    <w:rsid w:val="006734BB"/>
    <w:rsid w:val="0067697A"/>
    <w:rsid w:val="006821EB"/>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558D9"/>
    <w:rsid w:val="007647FB"/>
    <w:rsid w:val="0076672A"/>
    <w:rsid w:val="00775E45"/>
    <w:rsid w:val="00776E74"/>
    <w:rsid w:val="00785169"/>
    <w:rsid w:val="007954AB"/>
    <w:rsid w:val="007A14C5"/>
    <w:rsid w:val="007A4A10"/>
    <w:rsid w:val="007B1750"/>
    <w:rsid w:val="007B1760"/>
    <w:rsid w:val="007C1FDC"/>
    <w:rsid w:val="007C31DD"/>
    <w:rsid w:val="007C3606"/>
    <w:rsid w:val="007C40E4"/>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877F4"/>
    <w:rsid w:val="0089677E"/>
    <w:rsid w:val="008A7438"/>
    <w:rsid w:val="008B1334"/>
    <w:rsid w:val="008B25C7"/>
    <w:rsid w:val="008C0278"/>
    <w:rsid w:val="008C24E9"/>
    <w:rsid w:val="008D0533"/>
    <w:rsid w:val="008D42CB"/>
    <w:rsid w:val="008D48C9"/>
    <w:rsid w:val="008D6381"/>
    <w:rsid w:val="008E0C77"/>
    <w:rsid w:val="008E5258"/>
    <w:rsid w:val="008E625F"/>
    <w:rsid w:val="008F264D"/>
    <w:rsid w:val="009040E9"/>
    <w:rsid w:val="009074E1"/>
    <w:rsid w:val="009112F7"/>
    <w:rsid w:val="009122AF"/>
    <w:rsid w:val="00912D54"/>
    <w:rsid w:val="0091389F"/>
    <w:rsid w:val="009175B7"/>
    <w:rsid w:val="009208F7"/>
    <w:rsid w:val="00921649"/>
    <w:rsid w:val="00922517"/>
    <w:rsid w:val="00922722"/>
    <w:rsid w:val="009261E6"/>
    <w:rsid w:val="009268E1"/>
    <w:rsid w:val="009271EE"/>
    <w:rsid w:val="009344AE"/>
    <w:rsid w:val="009344DE"/>
    <w:rsid w:val="00943A5B"/>
    <w:rsid w:val="00945E7F"/>
    <w:rsid w:val="009557C1"/>
    <w:rsid w:val="00960D6E"/>
    <w:rsid w:val="00974B59"/>
    <w:rsid w:val="0098340B"/>
    <w:rsid w:val="00986830"/>
    <w:rsid w:val="0098696E"/>
    <w:rsid w:val="009877A1"/>
    <w:rsid w:val="009924C3"/>
    <w:rsid w:val="00993102"/>
    <w:rsid w:val="009B1570"/>
    <w:rsid w:val="009C6F10"/>
    <w:rsid w:val="009D148F"/>
    <w:rsid w:val="009D3D70"/>
    <w:rsid w:val="009E6F7E"/>
    <w:rsid w:val="009E7A57"/>
    <w:rsid w:val="009F4456"/>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71AE"/>
    <w:rsid w:val="00AA1A95"/>
    <w:rsid w:val="00AA260F"/>
    <w:rsid w:val="00AB0861"/>
    <w:rsid w:val="00AB1EE7"/>
    <w:rsid w:val="00AB4B37"/>
    <w:rsid w:val="00AB5762"/>
    <w:rsid w:val="00AC2679"/>
    <w:rsid w:val="00AC4BE4"/>
    <w:rsid w:val="00AD05E6"/>
    <w:rsid w:val="00AD0D3F"/>
    <w:rsid w:val="00AE1D7D"/>
    <w:rsid w:val="00AE2A8B"/>
    <w:rsid w:val="00AE3F64"/>
    <w:rsid w:val="00AF7386"/>
    <w:rsid w:val="00AF7934"/>
    <w:rsid w:val="00B00B81"/>
    <w:rsid w:val="00B01579"/>
    <w:rsid w:val="00B04580"/>
    <w:rsid w:val="00B04B09"/>
    <w:rsid w:val="00B16A51"/>
    <w:rsid w:val="00B32222"/>
    <w:rsid w:val="00B3618D"/>
    <w:rsid w:val="00B36233"/>
    <w:rsid w:val="00B42851"/>
    <w:rsid w:val="00B45350"/>
    <w:rsid w:val="00B45AC7"/>
    <w:rsid w:val="00B5372F"/>
    <w:rsid w:val="00B53987"/>
    <w:rsid w:val="00B61129"/>
    <w:rsid w:val="00B62C4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29EC"/>
    <w:rsid w:val="00BC4A19"/>
    <w:rsid w:val="00BC4E6D"/>
    <w:rsid w:val="00BD0617"/>
    <w:rsid w:val="00BD0A9E"/>
    <w:rsid w:val="00BD2E9B"/>
    <w:rsid w:val="00BD7FB2"/>
    <w:rsid w:val="00BE3ED5"/>
    <w:rsid w:val="00C00930"/>
    <w:rsid w:val="00C060AD"/>
    <w:rsid w:val="00C113BF"/>
    <w:rsid w:val="00C12CC3"/>
    <w:rsid w:val="00C2176E"/>
    <w:rsid w:val="00C23430"/>
    <w:rsid w:val="00C27D67"/>
    <w:rsid w:val="00C435AF"/>
    <w:rsid w:val="00C4631F"/>
    <w:rsid w:val="00C47CDE"/>
    <w:rsid w:val="00C50E16"/>
    <w:rsid w:val="00C55258"/>
    <w:rsid w:val="00C56120"/>
    <w:rsid w:val="00C732DF"/>
    <w:rsid w:val="00C754C8"/>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50E8"/>
    <w:rsid w:val="00CF7D3C"/>
    <w:rsid w:val="00D01F09"/>
    <w:rsid w:val="00D03527"/>
    <w:rsid w:val="00D147EB"/>
    <w:rsid w:val="00D34667"/>
    <w:rsid w:val="00D401E1"/>
    <w:rsid w:val="00D408B4"/>
    <w:rsid w:val="00D44330"/>
    <w:rsid w:val="00D524C8"/>
    <w:rsid w:val="00D65B0F"/>
    <w:rsid w:val="00D70E24"/>
    <w:rsid w:val="00D72B61"/>
    <w:rsid w:val="00DA3D1D"/>
    <w:rsid w:val="00DB6286"/>
    <w:rsid w:val="00DB645F"/>
    <w:rsid w:val="00DB76E9"/>
    <w:rsid w:val="00DC0A67"/>
    <w:rsid w:val="00DC1D5E"/>
    <w:rsid w:val="00DC4BFE"/>
    <w:rsid w:val="00DC5220"/>
    <w:rsid w:val="00DD2061"/>
    <w:rsid w:val="00DD3936"/>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5ED7"/>
    <w:rsid w:val="00E4086F"/>
    <w:rsid w:val="00E43B3C"/>
    <w:rsid w:val="00E47F11"/>
    <w:rsid w:val="00E50188"/>
    <w:rsid w:val="00E50BB3"/>
    <w:rsid w:val="00E515CB"/>
    <w:rsid w:val="00E52260"/>
    <w:rsid w:val="00E639B6"/>
    <w:rsid w:val="00E6434B"/>
    <w:rsid w:val="00E6463D"/>
    <w:rsid w:val="00E71492"/>
    <w:rsid w:val="00E72E9B"/>
    <w:rsid w:val="00E83E1D"/>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63EF2"/>
    <w:rsid w:val="00F715D2"/>
    <w:rsid w:val="00F7274F"/>
    <w:rsid w:val="00F74E84"/>
    <w:rsid w:val="00F76FA8"/>
    <w:rsid w:val="00F85AFE"/>
    <w:rsid w:val="00F93F08"/>
    <w:rsid w:val="00F94CED"/>
    <w:rsid w:val="00FA02BB"/>
    <w:rsid w:val="00FA2CEE"/>
    <w:rsid w:val="00FA318C"/>
    <w:rsid w:val="00FB6F92"/>
    <w:rsid w:val="00FC026E"/>
    <w:rsid w:val="00FC099E"/>
    <w:rsid w:val="00FC5124"/>
    <w:rsid w:val="00FD4731"/>
    <w:rsid w:val="00FD53D2"/>
    <w:rsid w:val="00FD6768"/>
    <w:rsid w:val="00FF0AB0"/>
    <w:rsid w:val="00FF28AC"/>
    <w:rsid w:val="00FF4D50"/>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C56120"/>
    <w:pPr>
      <w:ind w:left="720"/>
      <w:contextualSpacing/>
    </w:pPr>
  </w:style>
  <w:style w:type="character" w:styleId="CommentReference">
    <w:name w:val="annotation reference"/>
    <w:basedOn w:val="DefaultParagraphFont"/>
    <w:semiHidden/>
    <w:unhideWhenUsed/>
    <w:rsid w:val="00143803"/>
    <w:rPr>
      <w:sz w:val="16"/>
      <w:szCs w:val="16"/>
    </w:rPr>
  </w:style>
  <w:style w:type="paragraph" w:styleId="CommentSubject">
    <w:name w:val="annotation subject"/>
    <w:basedOn w:val="CommentText"/>
    <w:next w:val="CommentText"/>
    <w:link w:val="CommentSubjectChar"/>
    <w:semiHidden/>
    <w:unhideWhenUsed/>
    <w:rsid w:val="00143803"/>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143803"/>
    <w:rPr>
      <w:rFonts w:ascii="Arial" w:eastAsiaTheme="minorEastAsia" w:hAnsi="Arial" w:cstheme="minorBidi"/>
      <w:b/>
      <w:bCs/>
      <w:color w:val="000000" w:themeColor="text1"/>
      <w:lang w:eastAsia="en-US"/>
    </w:rPr>
  </w:style>
  <w:style w:type="paragraph" w:styleId="Revision">
    <w:name w:val="Revision"/>
    <w:hidden/>
    <w:uiPriority w:val="99"/>
    <w:semiHidden/>
    <w:rsid w:val="00143803"/>
    <w:rPr>
      <w:rFonts w:ascii="Arial" w:hAnsi="Arial"/>
      <w:color w:val="000000" w:themeColor="text1"/>
      <w:sz w:val="22"/>
      <w:szCs w:val="24"/>
      <w:lang w:eastAsia="en-US"/>
    </w:rPr>
  </w:style>
  <w:style w:type="table" w:styleId="GridTable4-Accent1">
    <w:name w:val="Grid Table 4 Accent 1"/>
    <w:basedOn w:val="TableNormal"/>
    <w:uiPriority w:val="49"/>
    <w:rsid w:val="005328B0"/>
    <w:tblPr>
      <w:tblStyleRowBandSize w:val="1"/>
      <w:tblStyleColBandSize w:val="1"/>
      <w:tblBorders>
        <w:top w:val="single" w:sz="4" w:space="0" w:color="7E8AB9" w:themeColor="accent1" w:themeTint="99"/>
        <w:left w:val="single" w:sz="4" w:space="0" w:color="7E8AB9" w:themeColor="accent1" w:themeTint="99"/>
        <w:bottom w:val="single" w:sz="4" w:space="0" w:color="7E8AB9" w:themeColor="accent1" w:themeTint="99"/>
        <w:right w:val="single" w:sz="4" w:space="0" w:color="7E8AB9" w:themeColor="accent1" w:themeTint="99"/>
        <w:insideH w:val="single" w:sz="4" w:space="0" w:color="7E8AB9" w:themeColor="accent1" w:themeTint="99"/>
        <w:insideV w:val="single" w:sz="4" w:space="0" w:color="7E8AB9" w:themeColor="accent1" w:themeTint="99"/>
      </w:tblBorders>
    </w:tblPr>
    <w:tblStylePr w:type="firstRow">
      <w:rPr>
        <w:b/>
        <w:bCs/>
        <w:color w:val="FFFFFF" w:themeColor="background1"/>
      </w:rPr>
      <w:tblPr/>
      <w:tcPr>
        <w:tcBorders>
          <w:top w:val="single" w:sz="4" w:space="0" w:color="3F4A75" w:themeColor="accent1"/>
          <w:left w:val="single" w:sz="4" w:space="0" w:color="3F4A75" w:themeColor="accent1"/>
          <w:bottom w:val="single" w:sz="4" w:space="0" w:color="3F4A75" w:themeColor="accent1"/>
          <w:right w:val="single" w:sz="4" w:space="0" w:color="3F4A75" w:themeColor="accent1"/>
          <w:insideH w:val="nil"/>
          <w:insideV w:val="nil"/>
        </w:tcBorders>
        <w:shd w:val="clear" w:color="auto" w:fill="3F4A75" w:themeFill="accent1"/>
      </w:tcPr>
    </w:tblStylePr>
    <w:tblStylePr w:type="lastRow">
      <w:rPr>
        <w:b/>
        <w:bCs/>
      </w:rPr>
      <w:tblPr/>
      <w:tcPr>
        <w:tcBorders>
          <w:top w:val="double" w:sz="4" w:space="0" w:color="3F4A75" w:themeColor="accent1"/>
        </w:tcBorders>
      </w:tcPr>
    </w:tblStylePr>
    <w:tblStylePr w:type="firstCol">
      <w:rPr>
        <w:b/>
        <w:bCs/>
      </w:rPr>
    </w:tblStylePr>
    <w:tblStylePr w:type="lastCol">
      <w:rPr>
        <w:b/>
        <w:bCs/>
      </w:rPr>
    </w:tblStylePr>
    <w:tblStylePr w:type="band1Vert">
      <w:tblPr/>
      <w:tcPr>
        <w:shd w:val="clear" w:color="auto" w:fill="D4D8E8" w:themeFill="accent1" w:themeFillTint="33"/>
      </w:tcPr>
    </w:tblStylePr>
    <w:tblStylePr w:type="band1Horz">
      <w:tblPr/>
      <w:tcPr>
        <w:shd w:val="clear" w:color="auto" w:fill="D4D8E8" w:themeFill="accent1" w:themeFillTint="33"/>
      </w:tcPr>
    </w:tblStylePr>
  </w:style>
  <w:style w:type="table" w:styleId="GridTable4-Accent3">
    <w:name w:val="Grid Table 4 Accent 3"/>
    <w:basedOn w:val="TableNormal"/>
    <w:uiPriority w:val="49"/>
    <w:rsid w:val="005328B0"/>
    <w:tblPr>
      <w:tblStyleRowBandSize w:val="1"/>
      <w:tblStyleColBandSize w:val="1"/>
      <w:tblBorders>
        <w:top w:val="single" w:sz="4" w:space="0" w:color="3FB7FF" w:themeColor="accent3" w:themeTint="99"/>
        <w:left w:val="single" w:sz="4" w:space="0" w:color="3FB7FF" w:themeColor="accent3" w:themeTint="99"/>
        <w:bottom w:val="single" w:sz="4" w:space="0" w:color="3FB7FF" w:themeColor="accent3" w:themeTint="99"/>
        <w:right w:val="single" w:sz="4" w:space="0" w:color="3FB7FF" w:themeColor="accent3" w:themeTint="99"/>
        <w:insideH w:val="single" w:sz="4" w:space="0" w:color="3FB7FF" w:themeColor="accent3" w:themeTint="99"/>
        <w:insideV w:val="single" w:sz="4" w:space="0" w:color="3FB7FF" w:themeColor="accent3" w:themeTint="99"/>
      </w:tblBorders>
    </w:tblPr>
    <w:tblStylePr w:type="firstRow">
      <w:rPr>
        <w:b/>
        <w:bCs/>
        <w:color w:val="FFFFFF" w:themeColor="background1"/>
      </w:rPr>
      <w:tblPr/>
      <w:tcPr>
        <w:tcBorders>
          <w:top w:val="single" w:sz="4" w:space="0" w:color="0078BF" w:themeColor="accent3"/>
          <w:left w:val="single" w:sz="4" w:space="0" w:color="0078BF" w:themeColor="accent3"/>
          <w:bottom w:val="single" w:sz="4" w:space="0" w:color="0078BF" w:themeColor="accent3"/>
          <w:right w:val="single" w:sz="4" w:space="0" w:color="0078BF" w:themeColor="accent3"/>
          <w:insideH w:val="nil"/>
          <w:insideV w:val="nil"/>
        </w:tcBorders>
        <w:shd w:val="clear" w:color="auto" w:fill="0078BF" w:themeFill="accent3"/>
      </w:tcPr>
    </w:tblStylePr>
    <w:tblStylePr w:type="lastRow">
      <w:rPr>
        <w:b/>
        <w:bCs/>
      </w:rPr>
      <w:tblPr/>
      <w:tcPr>
        <w:tcBorders>
          <w:top w:val="double" w:sz="4" w:space="0" w:color="0078BF" w:themeColor="accent3"/>
        </w:tcBorders>
      </w:tcPr>
    </w:tblStylePr>
    <w:tblStylePr w:type="firstCol">
      <w:rPr>
        <w:b/>
        <w:bCs/>
      </w:rPr>
    </w:tblStylePr>
    <w:tblStylePr w:type="lastCol">
      <w:rPr>
        <w:b/>
        <w:bCs/>
      </w:rPr>
    </w:tblStylePr>
    <w:tblStylePr w:type="band1Vert">
      <w:tblPr/>
      <w:tcPr>
        <w:shd w:val="clear" w:color="auto" w:fill="BFE7FF" w:themeFill="accent3" w:themeFillTint="33"/>
      </w:tcPr>
    </w:tblStylePr>
    <w:tblStylePr w:type="band1Horz">
      <w:tblPr/>
      <w:tcPr>
        <w:shd w:val="clear" w:color="auto" w:fill="BFE7FF"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35803">
      <w:bodyDiv w:val="1"/>
      <w:marLeft w:val="0"/>
      <w:marRight w:val="0"/>
      <w:marTop w:val="0"/>
      <w:marBottom w:val="0"/>
      <w:divBdr>
        <w:top w:val="none" w:sz="0" w:space="0" w:color="auto"/>
        <w:left w:val="none" w:sz="0" w:space="0" w:color="auto"/>
        <w:bottom w:val="none" w:sz="0" w:space="0" w:color="auto"/>
        <w:right w:val="none" w:sz="0" w:space="0" w:color="auto"/>
      </w:divBdr>
    </w:div>
    <w:div w:id="22795872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4313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8889102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1072155">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yperlink" Target="https://www.legislation.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bsonline.gov.au/internet/mbsonline/publishing.nsf/Content/downloads" TargetMode="External"/><Relationship Id="rId7" Type="http://schemas.openxmlformats.org/officeDocument/2006/relationships/settings" Target="settings.xml"/><Relationship Id="rId12" Type="http://schemas.openxmlformats.org/officeDocument/2006/relationships/hyperlink" Target="http://www.health.gov.au/" TargetMode="External"/><Relationship Id="rId17" Type="http://schemas.openxmlformats.org/officeDocument/2006/relationships/hyperlink" Target="https://www.health.gov.au/topics/private-health-insurance/private-health-insurance-refor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internet/main/publishing.nsf/content/mbsreviewtaskforc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askMBS@health.gov.a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HI@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3.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7387</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Australian Government Department of Health and Aged Care</dc:creator>
  <cp:keywords>MBS;</cp:keywords>
  <cp:lastModifiedBy>GLEESON, Mikayla</cp:lastModifiedBy>
  <cp:revision>2</cp:revision>
  <dcterms:created xsi:type="dcterms:W3CDTF">2023-05-02T03:07:00Z</dcterms:created>
  <dcterms:modified xsi:type="dcterms:W3CDTF">2023-05-02T03:07:00Z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