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0F25" w14:textId="43B9FB58" w:rsidR="003476C8" w:rsidRPr="003476C8" w:rsidRDefault="00DA726C" w:rsidP="00244850">
      <w:pPr>
        <w:rPr>
          <w:rFonts w:eastAsiaTheme="majorEastAsia" w:cstheme="majorBidi"/>
          <w:b/>
          <w:color w:val="3F4A75"/>
          <w:kern w:val="28"/>
          <w:sz w:val="48"/>
          <w:szCs w:val="52"/>
        </w:rPr>
      </w:pPr>
      <w:bookmarkStart w:id="0" w:name="_Hlk4568006"/>
      <w:r>
        <w:rPr>
          <w:rFonts w:eastAsiaTheme="majorEastAsia" w:cstheme="majorBidi"/>
          <w:b/>
          <w:color w:val="3F4A75"/>
          <w:kern w:val="28"/>
          <w:sz w:val="48"/>
          <w:szCs w:val="52"/>
        </w:rPr>
        <w:t>Amendment</w:t>
      </w:r>
      <w:r w:rsidR="00D33CB6">
        <w:rPr>
          <w:rFonts w:eastAsiaTheme="majorEastAsia" w:cstheme="majorBidi"/>
          <w:b/>
          <w:color w:val="3F4A75"/>
          <w:kern w:val="28"/>
          <w:sz w:val="48"/>
          <w:szCs w:val="52"/>
        </w:rPr>
        <w:t xml:space="preserve"> </w:t>
      </w:r>
      <w:r w:rsidR="003476C8" w:rsidRPr="003476C8">
        <w:rPr>
          <w:rFonts w:eastAsiaTheme="majorEastAsia" w:cstheme="majorBidi"/>
          <w:b/>
          <w:color w:val="3F4A75"/>
          <w:kern w:val="28"/>
          <w:sz w:val="48"/>
          <w:szCs w:val="52"/>
        </w:rPr>
        <w:t xml:space="preserve">of </w:t>
      </w:r>
      <w:r w:rsidR="00244850" w:rsidRPr="003476C8">
        <w:rPr>
          <w:rFonts w:eastAsiaTheme="majorEastAsia" w:cstheme="majorBidi"/>
          <w:b/>
          <w:color w:val="3F4A75"/>
          <w:kern w:val="28"/>
          <w:sz w:val="48"/>
          <w:szCs w:val="52"/>
        </w:rPr>
        <w:t>MBS item</w:t>
      </w:r>
      <w:r w:rsidR="00D33CB6">
        <w:rPr>
          <w:rFonts w:eastAsiaTheme="majorEastAsia" w:cstheme="majorBidi"/>
          <w:b/>
          <w:color w:val="3F4A75"/>
          <w:kern w:val="28"/>
          <w:sz w:val="48"/>
          <w:szCs w:val="52"/>
        </w:rPr>
        <w:t>s</w:t>
      </w:r>
      <w:r w:rsidR="00244850" w:rsidRPr="003476C8">
        <w:rPr>
          <w:rFonts w:eastAsiaTheme="majorEastAsia" w:cstheme="majorBidi"/>
          <w:b/>
          <w:color w:val="3F4A75"/>
          <w:kern w:val="28"/>
          <w:sz w:val="48"/>
          <w:szCs w:val="52"/>
        </w:rPr>
        <w:t xml:space="preserve"> 7329</w:t>
      </w:r>
      <w:r w:rsidR="009C5BE1">
        <w:rPr>
          <w:rFonts w:eastAsiaTheme="majorEastAsia" w:cstheme="majorBidi"/>
          <w:b/>
          <w:color w:val="3F4A75"/>
          <w:kern w:val="28"/>
          <w:sz w:val="48"/>
          <w:szCs w:val="52"/>
        </w:rPr>
        <w:t>6 and 73297</w:t>
      </w:r>
      <w:r w:rsidR="00244850">
        <w:rPr>
          <w:rFonts w:eastAsiaTheme="majorEastAsia" w:cstheme="majorBidi"/>
          <w:b/>
          <w:color w:val="3F4A75"/>
          <w:kern w:val="28"/>
          <w:sz w:val="48"/>
          <w:szCs w:val="52"/>
        </w:rPr>
        <w:t xml:space="preserve"> for </w:t>
      </w:r>
      <w:r w:rsidR="003476C8" w:rsidRPr="00251B76">
        <w:rPr>
          <w:rFonts w:eastAsiaTheme="majorEastAsia" w:cstheme="majorBidi"/>
          <w:b/>
          <w:i/>
          <w:iCs/>
          <w:color w:val="3F4A75"/>
          <w:kern w:val="28"/>
          <w:sz w:val="48"/>
          <w:szCs w:val="52"/>
        </w:rPr>
        <w:t>BRCA</w:t>
      </w:r>
      <w:r w:rsidR="003476C8" w:rsidRPr="003476C8">
        <w:rPr>
          <w:rFonts w:eastAsiaTheme="majorEastAsia" w:cstheme="majorBidi"/>
          <w:b/>
          <w:color w:val="3F4A75"/>
          <w:kern w:val="28"/>
          <w:sz w:val="48"/>
          <w:szCs w:val="52"/>
        </w:rPr>
        <w:t xml:space="preserve"> </w:t>
      </w:r>
      <w:r w:rsidR="0072111F">
        <w:rPr>
          <w:rFonts w:eastAsiaTheme="majorEastAsia" w:cstheme="majorBidi"/>
          <w:b/>
          <w:color w:val="3F4A75"/>
          <w:kern w:val="28"/>
          <w:sz w:val="48"/>
          <w:szCs w:val="52"/>
        </w:rPr>
        <w:t xml:space="preserve">and other </w:t>
      </w:r>
      <w:r w:rsidR="004004E2">
        <w:rPr>
          <w:rFonts w:eastAsiaTheme="majorEastAsia" w:cstheme="majorBidi"/>
          <w:b/>
          <w:color w:val="3F4A75"/>
          <w:kern w:val="28"/>
          <w:sz w:val="48"/>
          <w:szCs w:val="52"/>
        </w:rPr>
        <w:t xml:space="preserve">relevant </w:t>
      </w:r>
      <w:r w:rsidR="00F055DD">
        <w:rPr>
          <w:rFonts w:eastAsiaTheme="majorEastAsia" w:cstheme="majorBidi"/>
          <w:b/>
          <w:color w:val="3F4A75"/>
          <w:kern w:val="28"/>
          <w:sz w:val="48"/>
          <w:szCs w:val="52"/>
        </w:rPr>
        <w:t xml:space="preserve">genetic </w:t>
      </w:r>
      <w:r w:rsidR="00623BC8">
        <w:rPr>
          <w:rFonts w:eastAsiaTheme="majorEastAsia" w:cstheme="majorBidi"/>
          <w:b/>
          <w:color w:val="3F4A75"/>
          <w:kern w:val="28"/>
          <w:sz w:val="48"/>
          <w:szCs w:val="52"/>
        </w:rPr>
        <w:t>variant</w:t>
      </w:r>
      <w:r w:rsidR="006063BC">
        <w:rPr>
          <w:rFonts w:eastAsiaTheme="majorEastAsia" w:cstheme="majorBidi"/>
          <w:b/>
          <w:color w:val="3F4A75"/>
          <w:kern w:val="28"/>
          <w:sz w:val="48"/>
          <w:szCs w:val="52"/>
        </w:rPr>
        <w:t xml:space="preserve"> </w:t>
      </w:r>
      <w:r w:rsidR="003476C8" w:rsidRPr="003476C8">
        <w:rPr>
          <w:rFonts w:eastAsiaTheme="majorEastAsia" w:cstheme="majorBidi"/>
          <w:b/>
          <w:color w:val="3F4A75"/>
          <w:kern w:val="28"/>
          <w:sz w:val="48"/>
          <w:szCs w:val="52"/>
        </w:rPr>
        <w:t xml:space="preserve">testing </w:t>
      </w:r>
      <w:r w:rsidR="00D838C6">
        <w:rPr>
          <w:rFonts w:eastAsiaTheme="majorEastAsia" w:cstheme="majorBidi"/>
          <w:b/>
          <w:color w:val="3F4A75"/>
          <w:kern w:val="28"/>
          <w:sz w:val="48"/>
          <w:szCs w:val="52"/>
        </w:rPr>
        <w:t xml:space="preserve">in patients </w:t>
      </w:r>
      <w:r w:rsidR="00021E1C">
        <w:rPr>
          <w:rFonts w:eastAsiaTheme="majorEastAsia" w:cstheme="majorBidi"/>
          <w:b/>
          <w:color w:val="3F4A75"/>
          <w:kern w:val="28"/>
          <w:sz w:val="48"/>
          <w:szCs w:val="52"/>
        </w:rPr>
        <w:t xml:space="preserve">at a greater risk of </w:t>
      </w:r>
      <w:r w:rsidR="00021E1C" w:rsidRPr="00E0049F">
        <w:rPr>
          <w:rFonts w:eastAsiaTheme="majorEastAsia" w:cstheme="majorBidi"/>
          <w:b/>
          <w:i/>
          <w:iCs/>
          <w:color w:val="3F4A75"/>
          <w:kern w:val="28"/>
          <w:sz w:val="48"/>
          <w:szCs w:val="52"/>
        </w:rPr>
        <w:t>BRCA</w:t>
      </w:r>
      <w:r w:rsidR="00021E1C">
        <w:rPr>
          <w:rFonts w:eastAsiaTheme="majorEastAsia" w:cstheme="majorBidi"/>
          <w:b/>
          <w:color w:val="3F4A75"/>
          <w:kern w:val="28"/>
          <w:sz w:val="48"/>
          <w:szCs w:val="52"/>
        </w:rPr>
        <w:t xml:space="preserve">-related </w:t>
      </w:r>
      <w:r w:rsidR="001B1496">
        <w:rPr>
          <w:rFonts w:eastAsiaTheme="majorEastAsia" w:cstheme="majorBidi"/>
          <w:b/>
          <w:color w:val="3F4A75"/>
          <w:kern w:val="28"/>
          <w:sz w:val="48"/>
          <w:szCs w:val="52"/>
        </w:rPr>
        <w:t xml:space="preserve">breast, </w:t>
      </w:r>
      <w:r w:rsidR="00021E1C">
        <w:rPr>
          <w:rFonts w:eastAsiaTheme="majorEastAsia" w:cstheme="majorBidi"/>
          <w:b/>
          <w:color w:val="3F4A75"/>
          <w:kern w:val="28"/>
          <w:sz w:val="48"/>
          <w:szCs w:val="52"/>
        </w:rPr>
        <w:t>ovarian, fallopian tube</w:t>
      </w:r>
      <w:r w:rsidR="001B1496">
        <w:rPr>
          <w:rFonts w:eastAsiaTheme="majorEastAsia" w:cstheme="majorBidi"/>
          <w:b/>
          <w:color w:val="3F4A75"/>
          <w:kern w:val="28"/>
          <w:sz w:val="48"/>
          <w:szCs w:val="52"/>
        </w:rPr>
        <w:t xml:space="preserve"> or</w:t>
      </w:r>
      <w:r w:rsidR="00021E1C">
        <w:rPr>
          <w:rFonts w:eastAsiaTheme="majorEastAsia" w:cstheme="majorBidi"/>
          <w:b/>
          <w:color w:val="3F4A75"/>
          <w:kern w:val="28"/>
          <w:sz w:val="48"/>
          <w:szCs w:val="52"/>
        </w:rPr>
        <w:t xml:space="preserve"> primary peritoneal cancer due to family history</w:t>
      </w:r>
    </w:p>
    <w:p w14:paraId="36C6A1E3" w14:textId="6D7C7FCC" w:rsidR="00A86566" w:rsidRDefault="00064168" w:rsidP="0067478F">
      <w:r w:rsidRPr="008D2DC1">
        <w:t xml:space="preserve">Last updated: </w:t>
      </w:r>
      <w:bookmarkEnd w:id="0"/>
      <w:r w:rsidR="003D742D" w:rsidRPr="008D2DC1">
        <w:fldChar w:fldCharType="begin"/>
      </w:r>
      <w:r w:rsidR="003D742D" w:rsidRPr="008D2DC1">
        <w:instrText xml:space="preserve"> DATE \@ "d MMMM yyyy" </w:instrText>
      </w:r>
      <w:r w:rsidR="003D742D" w:rsidRPr="008D2DC1">
        <w:fldChar w:fldCharType="separate"/>
      </w:r>
      <w:r w:rsidR="001A6909">
        <w:rPr>
          <w:noProof/>
        </w:rPr>
        <w:t>25 February 2025</w:t>
      </w:r>
      <w:r w:rsidR="003D742D" w:rsidRPr="008D2DC1">
        <w:fldChar w:fldCharType="end"/>
      </w:r>
    </w:p>
    <w:p w14:paraId="0E3C2AC8" w14:textId="77777777" w:rsidR="0067478F" w:rsidRDefault="000A7397" w:rsidP="002518C9">
      <w:pPr>
        <w:pStyle w:val="ListBullet"/>
      </w:pPr>
      <w:r w:rsidRPr="00F74AC9">
        <w:t xml:space="preserve">From </w:t>
      </w:r>
      <w:r w:rsidRPr="001A6909">
        <w:rPr>
          <w:b/>
          <w:bCs/>
        </w:rPr>
        <w:t>1 March 2025</w:t>
      </w:r>
      <w:r w:rsidRPr="00F74AC9">
        <w:t xml:space="preserve">, the Government </w:t>
      </w:r>
      <w:r>
        <w:t xml:space="preserve">is making minor </w:t>
      </w:r>
      <w:r w:rsidRPr="00F74AC9">
        <w:t>amend</w:t>
      </w:r>
      <w:r>
        <w:t>ment</w:t>
      </w:r>
      <w:r w:rsidR="00DF7604">
        <w:t>s</w:t>
      </w:r>
      <w:r>
        <w:t xml:space="preserve"> to</w:t>
      </w:r>
      <w:r w:rsidRPr="00F74AC9">
        <w:t xml:space="preserve"> Medicare Benefits Schedule (MBS) items 73296 and 73297</w:t>
      </w:r>
      <w:r>
        <w:t xml:space="preserve">. </w:t>
      </w:r>
      <w:r w:rsidRPr="00065DDC">
        <w:t xml:space="preserve">MBS items 73296 and 73297 are relevant to patients at a greater risk of BRCA-related breast, ovarian, fallopian tube, or primary peritoneal cancer due to family history. </w:t>
      </w:r>
      <w:r>
        <w:t>The amendment</w:t>
      </w:r>
      <w:r w:rsidR="00DF7604">
        <w:t>s</w:t>
      </w:r>
      <w:r>
        <w:t xml:space="preserve"> will enable clinicians to select the most appropriate genes for testing, in addition to </w:t>
      </w:r>
      <w:r w:rsidRPr="0067478F">
        <w:rPr>
          <w:i/>
          <w:iCs/>
        </w:rPr>
        <w:t xml:space="preserve">BRCA </w:t>
      </w:r>
      <w:r>
        <w:t xml:space="preserve">1 and 2. </w:t>
      </w:r>
      <w:r w:rsidRPr="00DB12C4">
        <w:t>Prior to the change</w:t>
      </w:r>
      <w:r w:rsidR="004B6C5E">
        <w:t>s</w:t>
      </w:r>
      <w:r w:rsidRPr="00DB12C4">
        <w:t>, MBS items 73296 and 73297</w:t>
      </w:r>
      <w:r>
        <w:t xml:space="preserve"> only</w:t>
      </w:r>
      <w:r w:rsidRPr="00DB12C4">
        <w:t xml:space="preserve"> supported testing in specified genes </w:t>
      </w:r>
      <w:r w:rsidR="00DF7604">
        <w:t>(</w:t>
      </w:r>
      <w:r w:rsidR="00DF7604" w:rsidRPr="00E0049F">
        <w:rPr>
          <w:i/>
          <w:iCs/>
        </w:rPr>
        <w:t>STK11, PTEN, CDH1, PALB2</w:t>
      </w:r>
      <w:r w:rsidR="00DF7604">
        <w:t xml:space="preserve"> and </w:t>
      </w:r>
      <w:r w:rsidR="00DF7604" w:rsidRPr="00215CA0">
        <w:rPr>
          <w:i/>
          <w:iCs/>
        </w:rPr>
        <w:t>TP53</w:t>
      </w:r>
      <w:r w:rsidR="00DF7604">
        <w:rPr>
          <w:i/>
          <w:iCs/>
        </w:rPr>
        <w:t xml:space="preserve">) </w:t>
      </w:r>
      <w:r w:rsidRPr="00DB12C4">
        <w:t xml:space="preserve">in addition to </w:t>
      </w:r>
      <w:r w:rsidRPr="00624E04">
        <w:rPr>
          <w:i/>
          <w:iCs/>
        </w:rPr>
        <w:t>BRCA</w:t>
      </w:r>
      <w:r>
        <w:rPr>
          <w:i/>
          <w:iCs/>
        </w:rPr>
        <w:t xml:space="preserve"> </w:t>
      </w:r>
      <w:r w:rsidRPr="0067478F">
        <w:t>1</w:t>
      </w:r>
      <w:r w:rsidRPr="00624E04">
        <w:rPr>
          <w:i/>
          <w:iCs/>
        </w:rPr>
        <w:t xml:space="preserve"> </w:t>
      </w:r>
      <w:r w:rsidRPr="00DB12C4">
        <w:t xml:space="preserve">and </w:t>
      </w:r>
      <w:r w:rsidRPr="00624E04">
        <w:rPr>
          <w:i/>
          <w:iCs/>
        </w:rPr>
        <w:t>2</w:t>
      </w:r>
      <w:r w:rsidRPr="00DB12C4">
        <w:t xml:space="preserve">. </w:t>
      </w:r>
    </w:p>
    <w:p w14:paraId="0849AA0D" w14:textId="58859C10" w:rsidR="002518C9" w:rsidRPr="007A14A7" w:rsidRDefault="00FD7C1F" w:rsidP="002518C9">
      <w:pPr>
        <w:pStyle w:val="ListBullet"/>
      </w:pPr>
      <w:r w:rsidRPr="007A14A7">
        <w:t>Th</w:t>
      </w:r>
      <w:r w:rsidR="00AC2A58">
        <w:t>ese</w:t>
      </w:r>
      <w:r w:rsidRPr="007A14A7">
        <w:t xml:space="preserve"> </w:t>
      </w:r>
      <w:r w:rsidR="00AC2A58">
        <w:t>amended items</w:t>
      </w:r>
      <w:r w:rsidRPr="007A14A7">
        <w:t xml:space="preserve"> </w:t>
      </w:r>
      <w:r w:rsidR="00AC2A58">
        <w:t>remain</w:t>
      </w:r>
      <w:r w:rsidRPr="007A14A7">
        <w:t xml:space="preserve"> relevant for specialists, consultant physicians and pathologists who manage patients </w:t>
      </w:r>
      <w:r w:rsidR="00DF7604">
        <w:t xml:space="preserve">who are at </w:t>
      </w:r>
      <w:r w:rsidR="000F7DA8">
        <w:t xml:space="preserve">a greater </w:t>
      </w:r>
      <w:r w:rsidR="00DF7604">
        <w:t>risk</w:t>
      </w:r>
      <w:r w:rsidR="000F7DA8">
        <w:t xml:space="preserve"> of</w:t>
      </w:r>
      <w:r w:rsidR="00DF7604">
        <w:t xml:space="preserve"> </w:t>
      </w:r>
      <w:r w:rsidRPr="007A14A7">
        <w:t xml:space="preserve">these cancers. </w:t>
      </w:r>
    </w:p>
    <w:p w14:paraId="44460BF5" w14:textId="33704149" w:rsidR="00064168" w:rsidRPr="00867595" w:rsidRDefault="00064168" w:rsidP="00064168">
      <w:pPr>
        <w:pStyle w:val="Heading2"/>
      </w:pPr>
      <w:r w:rsidRPr="00867595">
        <w:t>What are the changes?</w:t>
      </w:r>
    </w:p>
    <w:p w14:paraId="0B82F632" w14:textId="77777777" w:rsidR="008C46FC" w:rsidRDefault="00F02469" w:rsidP="00215CA0">
      <w:pPr>
        <w:pStyle w:val="ListBullet"/>
        <w:numPr>
          <w:ilvl w:val="0"/>
          <w:numId w:val="0"/>
        </w:numPr>
      </w:pPr>
      <w:r w:rsidRPr="00813124">
        <w:t xml:space="preserve">From 1 March 2025, existing MBS items 73296 and 73297 for </w:t>
      </w:r>
      <w:r w:rsidRPr="00813124">
        <w:rPr>
          <w:i/>
          <w:iCs/>
        </w:rPr>
        <w:t xml:space="preserve">BRCA </w:t>
      </w:r>
      <w:r w:rsidRPr="00813124">
        <w:t xml:space="preserve">variant </w:t>
      </w:r>
      <w:r w:rsidR="001740FB" w:rsidRPr="00813124">
        <w:t xml:space="preserve">and other relevant </w:t>
      </w:r>
      <w:r w:rsidR="00113481" w:rsidRPr="00813124">
        <w:t xml:space="preserve">genetic </w:t>
      </w:r>
      <w:r w:rsidR="00A71373">
        <w:t>variant</w:t>
      </w:r>
      <w:r w:rsidR="00696EE5" w:rsidRPr="00813124">
        <w:t xml:space="preserve"> </w:t>
      </w:r>
      <w:r w:rsidR="001740FB" w:rsidRPr="00813124">
        <w:t>testing</w:t>
      </w:r>
      <w:r w:rsidRPr="00813124">
        <w:t xml:space="preserve"> </w:t>
      </w:r>
      <w:r w:rsidR="001740FB" w:rsidRPr="00813124">
        <w:t xml:space="preserve">in patients </w:t>
      </w:r>
      <w:r w:rsidR="00696EE5" w:rsidRPr="00813124">
        <w:t xml:space="preserve">at a greater risk of </w:t>
      </w:r>
      <w:r w:rsidR="00696EE5" w:rsidRPr="00813124">
        <w:rPr>
          <w:i/>
          <w:iCs/>
        </w:rPr>
        <w:t>BRCA</w:t>
      </w:r>
      <w:r w:rsidR="00FD2B08" w:rsidRPr="00813124">
        <w:t xml:space="preserve">-related </w:t>
      </w:r>
      <w:r w:rsidR="00752123">
        <w:t xml:space="preserve">breast, </w:t>
      </w:r>
      <w:r w:rsidR="00FD2B08" w:rsidRPr="00813124">
        <w:t>ovarian, fallopian tube</w:t>
      </w:r>
      <w:r w:rsidR="00752123">
        <w:t xml:space="preserve"> or</w:t>
      </w:r>
      <w:r w:rsidR="00FD2B08" w:rsidRPr="00813124">
        <w:t xml:space="preserve"> primary peritoneal cancer due to family history will be </w:t>
      </w:r>
      <w:r w:rsidR="00E96CAF" w:rsidRPr="00813124">
        <w:t xml:space="preserve">amended to support testing in ‘one or more relevant genes’ in addition to </w:t>
      </w:r>
      <w:r w:rsidR="00E96CAF" w:rsidRPr="00813124">
        <w:rPr>
          <w:i/>
          <w:iCs/>
        </w:rPr>
        <w:t xml:space="preserve">BRCA </w:t>
      </w:r>
      <w:r w:rsidR="00E96CAF" w:rsidRPr="00813124">
        <w:t xml:space="preserve">1 and 2. </w:t>
      </w:r>
    </w:p>
    <w:p w14:paraId="332CC405" w14:textId="77777777" w:rsidR="008C46FC" w:rsidRDefault="00303BC5" w:rsidP="00215CA0">
      <w:pPr>
        <w:pStyle w:val="ListBullet"/>
        <w:numPr>
          <w:ilvl w:val="0"/>
          <w:numId w:val="0"/>
        </w:numPr>
      </w:pPr>
      <w:r w:rsidRPr="00813124">
        <w:t xml:space="preserve">These items previously only supported testing </w:t>
      </w:r>
      <w:r w:rsidR="00C329CE" w:rsidRPr="00813124">
        <w:t xml:space="preserve">in one </w:t>
      </w:r>
      <w:r w:rsidR="00B45FA9" w:rsidRPr="00813124">
        <w:t>or</w:t>
      </w:r>
      <w:r w:rsidR="00C329CE" w:rsidRPr="00813124">
        <w:t xml:space="preserve"> more of the following</w:t>
      </w:r>
      <w:r w:rsidR="00F20479">
        <w:t xml:space="preserve"> prescribed</w:t>
      </w:r>
      <w:r w:rsidR="00C329CE" w:rsidRPr="00813124">
        <w:t xml:space="preserve"> genes in addition to </w:t>
      </w:r>
      <w:r w:rsidR="00C329CE" w:rsidRPr="00813124">
        <w:rPr>
          <w:i/>
          <w:iCs/>
        </w:rPr>
        <w:t xml:space="preserve">BRCA </w:t>
      </w:r>
      <w:r w:rsidR="00C329CE" w:rsidRPr="00813124">
        <w:t>1 and 2</w:t>
      </w:r>
      <w:r w:rsidR="00F20479">
        <w:t>, namely</w:t>
      </w:r>
      <w:r w:rsidR="00C329CE" w:rsidRPr="00813124">
        <w:t xml:space="preserve"> </w:t>
      </w:r>
      <w:r w:rsidR="00C329CE" w:rsidRPr="00E0049F">
        <w:rPr>
          <w:i/>
          <w:iCs/>
        </w:rPr>
        <w:t>STK11, PTEN, CDH1, PALB2</w:t>
      </w:r>
      <w:r w:rsidR="00C329CE" w:rsidRPr="00813124">
        <w:t xml:space="preserve"> and </w:t>
      </w:r>
      <w:r w:rsidR="00C329CE" w:rsidRPr="00E0049F">
        <w:rPr>
          <w:i/>
          <w:iCs/>
        </w:rPr>
        <w:t>TP53</w:t>
      </w:r>
      <w:r w:rsidR="00C329CE" w:rsidRPr="00813124">
        <w:t xml:space="preserve">. </w:t>
      </w:r>
    </w:p>
    <w:p w14:paraId="3687B986" w14:textId="71974BED" w:rsidR="000F7DA8" w:rsidRDefault="00FB595B" w:rsidP="00215CA0">
      <w:pPr>
        <w:pStyle w:val="ListBullet"/>
        <w:numPr>
          <w:ilvl w:val="0"/>
          <w:numId w:val="0"/>
        </w:numPr>
      </w:pPr>
      <w:r>
        <w:t xml:space="preserve">In addition, an administrative amendment will be made to MBS item 73297 to clarify that the conditions specified in </w:t>
      </w:r>
      <w:r w:rsidR="000F7DA8">
        <w:t xml:space="preserve">both </w:t>
      </w:r>
      <w:r>
        <w:t>subparagraphs (b)(</w:t>
      </w:r>
      <w:proofErr w:type="spellStart"/>
      <w:r>
        <w:t>i</w:t>
      </w:r>
      <w:proofErr w:type="spellEnd"/>
      <w:r>
        <w:t>) and (b)(ii)</w:t>
      </w:r>
      <w:r w:rsidR="00DE7BB4">
        <w:t xml:space="preserve"> must </w:t>
      </w:r>
      <w:r>
        <w:t>apply.</w:t>
      </w:r>
      <w:r w:rsidR="008C46FC">
        <w:t xml:space="preserve"> </w:t>
      </w:r>
    </w:p>
    <w:p w14:paraId="17471EBE" w14:textId="0B38C623" w:rsidR="00215CA0" w:rsidRDefault="000F7DA8" w:rsidP="00215CA0">
      <w:pPr>
        <w:pStyle w:val="ListBullet"/>
        <w:numPr>
          <w:ilvl w:val="0"/>
          <w:numId w:val="0"/>
        </w:numPr>
      </w:pPr>
      <w:r>
        <w:t xml:space="preserve">There are no other changes with </w:t>
      </w:r>
      <w:r w:rsidR="00762AF1" w:rsidRPr="00DC414E">
        <w:t xml:space="preserve">MBS item </w:t>
      </w:r>
      <w:r w:rsidR="00E44156" w:rsidRPr="00DC414E">
        <w:t>73</w:t>
      </w:r>
      <w:r w:rsidR="007D0984" w:rsidRPr="00DC414E">
        <w:t>29</w:t>
      </w:r>
      <w:r w:rsidR="007D343F" w:rsidRPr="00DC414E">
        <w:t xml:space="preserve">6 </w:t>
      </w:r>
      <w:r w:rsidR="00E44156" w:rsidRPr="00DC414E">
        <w:t>remain</w:t>
      </w:r>
      <w:r w:rsidR="003C65FA">
        <w:t>ing</w:t>
      </w:r>
      <w:r w:rsidR="00E44156" w:rsidRPr="00DC414E">
        <w:t xml:space="preserve"> applicable once per </w:t>
      </w:r>
      <w:r w:rsidR="00EC0A51">
        <w:t>cancer d</w:t>
      </w:r>
      <w:r w:rsidR="00EC5662">
        <w:t>iagnosis</w:t>
      </w:r>
      <w:r w:rsidR="007D343F" w:rsidRPr="00DC414E">
        <w:t>, and item 73297 remain</w:t>
      </w:r>
      <w:r w:rsidR="003C65FA">
        <w:t>ing</w:t>
      </w:r>
      <w:r w:rsidR="007D343F" w:rsidRPr="00DC414E">
        <w:t xml:space="preserve"> applicable once per variant.</w:t>
      </w:r>
    </w:p>
    <w:p w14:paraId="45226B87" w14:textId="77777777" w:rsidR="00215CA0" w:rsidRDefault="00215CA0" w:rsidP="00251B76">
      <w:pPr>
        <w:pStyle w:val="ListBullet"/>
        <w:numPr>
          <w:ilvl w:val="0"/>
          <w:numId w:val="0"/>
        </w:numPr>
        <w:spacing w:before="240"/>
      </w:pPr>
    </w:p>
    <w:p w14:paraId="1A3498F2" w14:textId="5B22123C" w:rsidR="00FB595B" w:rsidRDefault="00FB595B" w:rsidP="00215CA0">
      <w:pPr>
        <w:pStyle w:val="Heading2"/>
      </w:pPr>
      <w:r>
        <w:lastRenderedPageBreak/>
        <w:t>Summary table of changes</w:t>
      </w:r>
    </w:p>
    <w:tbl>
      <w:tblPr>
        <w:tblStyle w:val="ListTable3-Accent2"/>
        <w:tblW w:w="0" w:type="auto"/>
        <w:tblLook w:val="04A0" w:firstRow="1" w:lastRow="0" w:firstColumn="1" w:lastColumn="0" w:noHBand="0" w:noVBand="1"/>
      </w:tblPr>
      <w:tblGrid>
        <w:gridCol w:w="846"/>
        <w:gridCol w:w="4111"/>
        <w:gridCol w:w="4103"/>
      </w:tblGrid>
      <w:tr w:rsidR="00FB595B" w14:paraId="3210EBE6" w14:textId="77777777" w:rsidTr="00215C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tcPr>
          <w:p w14:paraId="0A139499" w14:textId="4FE60D75" w:rsidR="00FB595B" w:rsidRDefault="00FB595B" w:rsidP="00215CA0">
            <w:pPr>
              <w:pStyle w:val="ListBullet"/>
              <w:numPr>
                <w:ilvl w:val="0"/>
                <w:numId w:val="0"/>
              </w:numPr>
            </w:pPr>
            <w:r>
              <w:t>MBS item</w:t>
            </w:r>
          </w:p>
        </w:tc>
        <w:tc>
          <w:tcPr>
            <w:tcW w:w="4111" w:type="dxa"/>
          </w:tcPr>
          <w:p w14:paraId="79B0FA48" w14:textId="27051C18" w:rsidR="00FB595B" w:rsidRDefault="00FB595B" w:rsidP="00215CA0">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Prior to 1 March 2025</w:t>
            </w:r>
          </w:p>
        </w:tc>
        <w:tc>
          <w:tcPr>
            <w:tcW w:w="4103" w:type="dxa"/>
          </w:tcPr>
          <w:p w14:paraId="157E8715" w14:textId="72090CF5" w:rsidR="00FB595B" w:rsidRDefault="00FB595B" w:rsidP="00215CA0">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From 1 March 2025</w:t>
            </w:r>
          </w:p>
        </w:tc>
      </w:tr>
      <w:tr w:rsidR="00FB595B" w14:paraId="1FF85D38" w14:textId="77777777" w:rsidTr="00215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D0EAED" w:themeFill="accent2" w:themeFillTint="33"/>
          </w:tcPr>
          <w:p w14:paraId="08679AB2" w14:textId="04685510" w:rsidR="00FB595B" w:rsidRPr="00FB595B" w:rsidRDefault="00FB595B" w:rsidP="00215CA0">
            <w:pPr>
              <w:pStyle w:val="ListBullet"/>
              <w:numPr>
                <w:ilvl w:val="0"/>
                <w:numId w:val="0"/>
              </w:numPr>
              <w:jc w:val="both"/>
            </w:pPr>
            <w:r>
              <w:t>73296</w:t>
            </w:r>
          </w:p>
        </w:tc>
        <w:tc>
          <w:tcPr>
            <w:tcW w:w="4111" w:type="dxa"/>
          </w:tcPr>
          <w:p w14:paraId="6E0ECFF9" w14:textId="2C3856D3" w:rsidR="00FB595B" w:rsidRPr="00FB595B" w:rsidRDefault="00FB595B" w:rsidP="00215CA0">
            <w:pPr>
              <w:pStyle w:val="ListBullet"/>
              <w:numPr>
                <w:ilvl w:val="0"/>
                <w:numId w:val="0"/>
              </w:numPr>
              <w:spacing w:line="240" w:lineRule="auto"/>
              <w:cnfStyle w:val="000000100000" w:firstRow="0" w:lastRow="0" w:firstColumn="0" w:lastColumn="0" w:oddVBand="0" w:evenVBand="0" w:oddHBand="1" w:evenHBand="0" w:firstRowFirstColumn="0" w:firstRowLastColumn="0" w:lastRowFirstColumn="0" w:lastRowLastColumn="0"/>
            </w:pPr>
            <w:r w:rsidRPr="00FB595B">
              <w:t>Characterisation of germline gene variants, including copy number variation where appropriate, requested by a specialist or consultant physician:</w:t>
            </w:r>
          </w:p>
          <w:p w14:paraId="494D6D8E" w14:textId="77777777" w:rsidR="00FB595B" w:rsidRPr="00FB595B" w:rsidRDefault="00FB595B" w:rsidP="00215CA0">
            <w:pPr>
              <w:pStyle w:val="ListBullet"/>
              <w:numPr>
                <w:ilvl w:val="0"/>
                <w:numId w:val="0"/>
              </w:numPr>
              <w:spacing w:line="240" w:lineRule="auto"/>
              <w:cnfStyle w:val="000000100000" w:firstRow="0" w:lastRow="0" w:firstColumn="0" w:lastColumn="0" w:oddVBand="0" w:evenVBand="0" w:oddHBand="1" w:evenHBand="0" w:firstRowFirstColumn="0" w:firstRowLastColumn="0" w:lastRowFirstColumn="0" w:lastRowLastColumn="0"/>
            </w:pPr>
            <w:r w:rsidRPr="00FB595B">
              <w:t>(a) in genes associated with breast, ovarian, fallopian tube or primary peritoneal cancer, which must include at least:</w:t>
            </w:r>
          </w:p>
          <w:p w14:paraId="3A70C238" w14:textId="77777777" w:rsidR="00FB595B" w:rsidRPr="00FB595B" w:rsidRDefault="00FB595B" w:rsidP="00215CA0">
            <w:pPr>
              <w:pStyle w:val="ListBullet"/>
              <w:numPr>
                <w:ilvl w:val="0"/>
                <w:numId w:val="0"/>
              </w:numPr>
              <w:spacing w:line="240" w:lineRule="auto"/>
              <w:ind w:left="170"/>
              <w:cnfStyle w:val="000000100000" w:firstRow="0" w:lastRow="0" w:firstColumn="0" w:lastColumn="0" w:oddVBand="0" w:evenVBand="0" w:oddHBand="1" w:evenHBand="0" w:firstRowFirstColumn="0" w:firstRowLastColumn="0" w:lastRowFirstColumn="0" w:lastRowLastColumn="0"/>
            </w:pPr>
            <w:r w:rsidRPr="00FB595B">
              <w:t>(</w:t>
            </w:r>
            <w:proofErr w:type="spellStart"/>
            <w:r w:rsidRPr="00FB595B">
              <w:t>i</w:t>
            </w:r>
            <w:proofErr w:type="spellEnd"/>
            <w:r w:rsidRPr="00FB595B">
              <w:t xml:space="preserve">) </w:t>
            </w:r>
            <w:r w:rsidRPr="00366F84">
              <w:rPr>
                <w:i/>
                <w:iCs/>
              </w:rPr>
              <w:t>BRCA1</w:t>
            </w:r>
            <w:r w:rsidRPr="00FB595B">
              <w:t xml:space="preserve"> and </w:t>
            </w:r>
            <w:r w:rsidRPr="00366F84">
              <w:rPr>
                <w:i/>
                <w:iCs/>
              </w:rPr>
              <w:t>BRCA 2</w:t>
            </w:r>
            <w:r w:rsidRPr="00FB595B">
              <w:t xml:space="preserve"> genes; and</w:t>
            </w:r>
          </w:p>
          <w:p w14:paraId="12D7ABD3" w14:textId="77777777" w:rsidR="00FB595B" w:rsidRPr="00FB595B" w:rsidRDefault="00FB595B" w:rsidP="00215CA0">
            <w:pPr>
              <w:pStyle w:val="ListBullet"/>
              <w:numPr>
                <w:ilvl w:val="0"/>
                <w:numId w:val="0"/>
              </w:numPr>
              <w:spacing w:line="240" w:lineRule="auto"/>
              <w:ind w:left="170"/>
              <w:cnfStyle w:val="000000100000" w:firstRow="0" w:lastRow="0" w:firstColumn="0" w:lastColumn="0" w:oddVBand="0" w:evenVBand="0" w:oddHBand="1" w:evenHBand="0" w:firstRowFirstColumn="0" w:firstRowLastColumn="0" w:lastRowFirstColumn="0" w:lastRowLastColumn="0"/>
            </w:pPr>
            <w:r w:rsidRPr="00FB595B">
              <w:t xml:space="preserve">(ii) one or more </w:t>
            </w:r>
            <w:r w:rsidRPr="00366F84">
              <w:rPr>
                <w:i/>
                <w:iCs/>
              </w:rPr>
              <w:t>STK11, PTEN, CDH1, PALB2</w:t>
            </w:r>
            <w:r w:rsidRPr="00FB595B">
              <w:t xml:space="preserve"> and </w:t>
            </w:r>
            <w:r w:rsidRPr="00366F84">
              <w:rPr>
                <w:i/>
                <w:iCs/>
              </w:rPr>
              <w:t xml:space="preserve">TP53 </w:t>
            </w:r>
            <w:r w:rsidRPr="00FB595B">
              <w:t>genes; and</w:t>
            </w:r>
          </w:p>
          <w:p w14:paraId="76E76A15" w14:textId="77777777" w:rsidR="00FB595B" w:rsidRPr="00FB595B" w:rsidRDefault="00FB595B" w:rsidP="00215CA0">
            <w:pPr>
              <w:pStyle w:val="ListBullet"/>
              <w:numPr>
                <w:ilvl w:val="0"/>
                <w:numId w:val="0"/>
              </w:numPr>
              <w:spacing w:line="240" w:lineRule="auto"/>
              <w:cnfStyle w:val="000000100000" w:firstRow="0" w:lastRow="0" w:firstColumn="0" w:lastColumn="0" w:oddVBand="0" w:evenVBand="0" w:oddHBand="1" w:evenHBand="0" w:firstRowFirstColumn="0" w:firstRowLastColumn="0" w:lastRowFirstColumn="0" w:lastRowLastColumn="0"/>
            </w:pPr>
            <w:r w:rsidRPr="00FB595B">
              <w:t>(b) in a patient:</w:t>
            </w:r>
          </w:p>
          <w:p w14:paraId="26DD9CD2" w14:textId="77777777" w:rsidR="00FB595B" w:rsidRPr="00FB595B" w:rsidRDefault="00FB595B" w:rsidP="00215CA0">
            <w:pPr>
              <w:pStyle w:val="ListBullet"/>
              <w:numPr>
                <w:ilvl w:val="0"/>
                <w:numId w:val="0"/>
              </w:numPr>
              <w:spacing w:line="240" w:lineRule="auto"/>
              <w:ind w:left="170"/>
              <w:cnfStyle w:val="000000100000" w:firstRow="0" w:lastRow="0" w:firstColumn="0" w:lastColumn="0" w:oddVBand="0" w:evenVBand="0" w:oddHBand="1" w:evenHBand="0" w:firstRowFirstColumn="0" w:firstRowLastColumn="0" w:lastRowFirstColumn="0" w:lastRowLastColumn="0"/>
            </w:pPr>
            <w:r w:rsidRPr="00FB595B">
              <w:t>(</w:t>
            </w:r>
            <w:proofErr w:type="spellStart"/>
            <w:r w:rsidRPr="00FB595B">
              <w:t>i</w:t>
            </w:r>
            <w:proofErr w:type="spellEnd"/>
            <w:r w:rsidRPr="00FB595B">
              <w:t>) with breast, ovarian, fallopian tube or primary peritoneal cancer; and</w:t>
            </w:r>
          </w:p>
          <w:p w14:paraId="4E36A408" w14:textId="145404C3" w:rsidR="00FB595B" w:rsidRDefault="00FB595B" w:rsidP="00215CA0">
            <w:pPr>
              <w:pStyle w:val="ListBullet"/>
              <w:numPr>
                <w:ilvl w:val="0"/>
                <w:numId w:val="0"/>
              </w:numPr>
              <w:spacing w:line="240" w:lineRule="auto"/>
              <w:ind w:left="170"/>
              <w:cnfStyle w:val="000000100000" w:firstRow="0" w:lastRow="0" w:firstColumn="0" w:lastColumn="0" w:oddVBand="0" w:evenVBand="0" w:oddHBand="1" w:evenHBand="0" w:firstRowFirstColumn="0" w:firstRowLastColumn="0" w:lastRowFirstColumn="0" w:lastRowLastColumn="0"/>
            </w:pPr>
            <w:r w:rsidRPr="00FB595B">
              <w:t>(ii) for whom clinical and family history criteria place the patient at greater than 10% risk of having a pathogenic or likely pathogenic gene associated with breast, ovarian, fallopian tube or primary peritoneal cancer</w:t>
            </w:r>
          </w:p>
        </w:tc>
        <w:tc>
          <w:tcPr>
            <w:tcW w:w="4103" w:type="dxa"/>
          </w:tcPr>
          <w:p w14:paraId="510A57E4" w14:textId="77777777" w:rsidR="00E7464B" w:rsidRPr="00FB595B" w:rsidRDefault="00E7464B" w:rsidP="00215CA0">
            <w:pPr>
              <w:pStyle w:val="ListBullet"/>
              <w:numPr>
                <w:ilvl w:val="0"/>
                <w:numId w:val="0"/>
              </w:numPr>
              <w:spacing w:line="240" w:lineRule="auto"/>
              <w:cnfStyle w:val="000000100000" w:firstRow="0" w:lastRow="0" w:firstColumn="0" w:lastColumn="0" w:oddVBand="0" w:evenVBand="0" w:oddHBand="1" w:evenHBand="0" w:firstRowFirstColumn="0" w:firstRowLastColumn="0" w:lastRowFirstColumn="0" w:lastRowLastColumn="0"/>
            </w:pPr>
            <w:r w:rsidRPr="00FB595B">
              <w:t>Characterisation of germline gene variants, including copy number variation where appropriate, requested by a specialist or consultant physician:</w:t>
            </w:r>
          </w:p>
          <w:p w14:paraId="14DAB061" w14:textId="77777777" w:rsidR="00E7464B" w:rsidRPr="00FB595B" w:rsidRDefault="00E7464B" w:rsidP="00215CA0">
            <w:pPr>
              <w:pStyle w:val="ListBullet"/>
              <w:numPr>
                <w:ilvl w:val="0"/>
                <w:numId w:val="0"/>
              </w:numPr>
              <w:spacing w:line="240" w:lineRule="auto"/>
              <w:cnfStyle w:val="000000100000" w:firstRow="0" w:lastRow="0" w:firstColumn="0" w:lastColumn="0" w:oddVBand="0" w:evenVBand="0" w:oddHBand="1" w:evenHBand="0" w:firstRowFirstColumn="0" w:firstRowLastColumn="0" w:lastRowFirstColumn="0" w:lastRowLastColumn="0"/>
            </w:pPr>
            <w:r w:rsidRPr="00FB595B">
              <w:t>(a) in genes associated with breast, ovarian, fallopian tube or primary peritoneal cancer, which must include at least:</w:t>
            </w:r>
          </w:p>
          <w:p w14:paraId="24AD37F5" w14:textId="77777777" w:rsidR="00E7464B" w:rsidRPr="00FB595B" w:rsidRDefault="00E7464B" w:rsidP="00215CA0">
            <w:pPr>
              <w:pStyle w:val="ListBullet"/>
              <w:numPr>
                <w:ilvl w:val="0"/>
                <w:numId w:val="0"/>
              </w:numPr>
              <w:spacing w:line="240" w:lineRule="auto"/>
              <w:ind w:left="170"/>
              <w:cnfStyle w:val="000000100000" w:firstRow="0" w:lastRow="0" w:firstColumn="0" w:lastColumn="0" w:oddVBand="0" w:evenVBand="0" w:oddHBand="1" w:evenHBand="0" w:firstRowFirstColumn="0" w:firstRowLastColumn="0" w:lastRowFirstColumn="0" w:lastRowLastColumn="0"/>
            </w:pPr>
            <w:r w:rsidRPr="00FB595B">
              <w:t>(</w:t>
            </w:r>
            <w:proofErr w:type="spellStart"/>
            <w:r w:rsidRPr="00FB595B">
              <w:t>i</w:t>
            </w:r>
            <w:proofErr w:type="spellEnd"/>
            <w:r w:rsidRPr="00FB595B">
              <w:t xml:space="preserve">) </w:t>
            </w:r>
            <w:r w:rsidRPr="00366F84">
              <w:rPr>
                <w:i/>
                <w:iCs/>
              </w:rPr>
              <w:t>BRCA1</w:t>
            </w:r>
            <w:r w:rsidRPr="00FB595B">
              <w:t xml:space="preserve"> and </w:t>
            </w:r>
            <w:r w:rsidRPr="00366F84">
              <w:rPr>
                <w:i/>
                <w:iCs/>
              </w:rPr>
              <w:t>BRCA 2</w:t>
            </w:r>
            <w:r w:rsidRPr="00FB595B">
              <w:t xml:space="preserve"> genes; and</w:t>
            </w:r>
          </w:p>
          <w:p w14:paraId="244866C1" w14:textId="60700EC5" w:rsidR="00E7464B" w:rsidRPr="00FB595B" w:rsidRDefault="00E7464B" w:rsidP="00215CA0">
            <w:pPr>
              <w:pStyle w:val="ListBullet"/>
              <w:numPr>
                <w:ilvl w:val="0"/>
                <w:numId w:val="0"/>
              </w:numPr>
              <w:spacing w:line="240" w:lineRule="auto"/>
              <w:ind w:left="170"/>
              <w:cnfStyle w:val="000000100000" w:firstRow="0" w:lastRow="0" w:firstColumn="0" w:lastColumn="0" w:oddVBand="0" w:evenVBand="0" w:oddHBand="1" w:evenHBand="0" w:firstRowFirstColumn="0" w:firstRowLastColumn="0" w:lastRowFirstColumn="0" w:lastRowLastColumn="0"/>
            </w:pPr>
            <w:r w:rsidRPr="00FB595B">
              <w:t xml:space="preserve">(ii) </w:t>
            </w:r>
            <w:r w:rsidRPr="00D3381A">
              <w:rPr>
                <w:color w:val="A20000"/>
              </w:rPr>
              <w:t xml:space="preserve">one or more </w:t>
            </w:r>
            <w:r w:rsidR="00DE7BB4" w:rsidRPr="00D3381A">
              <w:rPr>
                <w:color w:val="A20000"/>
              </w:rPr>
              <w:t>other relevant</w:t>
            </w:r>
            <w:r w:rsidRPr="00D3381A">
              <w:rPr>
                <w:color w:val="A20000"/>
              </w:rPr>
              <w:t xml:space="preserve"> genes</w:t>
            </w:r>
            <w:r w:rsidRPr="00FB595B">
              <w:t>; and</w:t>
            </w:r>
          </w:p>
          <w:p w14:paraId="089ACF29" w14:textId="77777777" w:rsidR="00E7464B" w:rsidRPr="00FB595B" w:rsidRDefault="00E7464B" w:rsidP="00215CA0">
            <w:pPr>
              <w:pStyle w:val="ListBullet"/>
              <w:numPr>
                <w:ilvl w:val="0"/>
                <w:numId w:val="0"/>
              </w:numPr>
              <w:spacing w:line="240" w:lineRule="auto"/>
              <w:cnfStyle w:val="000000100000" w:firstRow="0" w:lastRow="0" w:firstColumn="0" w:lastColumn="0" w:oddVBand="0" w:evenVBand="0" w:oddHBand="1" w:evenHBand="0" w:firstRowFirstColumn="0" w:firstRowLastColumn="0" w:lastRowFirstColumn="0" w:lastRowLastColumn="0"/>
            </w:pPr>
            <w:r w:rsidRPr="00FB595B">
              <w:t>(b) in a patient:</w:t>
            </w:r>
          </w:p>
          <w:p w14:paraId="264A49F7" w14:textId="77777777" w:rsidR="00DE7BB4" w:rsidRDefault="00E7464B" w:rsidP="00215CA0">
            <w:pPr>
              <w:pStyle w:val="ListBullet"/>
              <w:numPr>
                <w:ilvl w:val="0"/>
                <w:numId w:val="0"/>
              </w:numPr>
              <w:spacing w:line="240" w:lineRule="auto"/>
              <w:ind w:left="170"/>
              <w:cnfStyle w:val="000000100000" w:firstRow="0" w:lastRow="0" w:firstColumn="0" w:lastColumn="0" w:oddVBand="0" w:evenVBand="0" w:oddHBand="1" w:evenHBand="0" w:firstRowFirstColumn="0" w:firstRowLastColumn="0" w:lastRowFirstColumn="0" w:lastRowLastColumn="0"/>
            </w:pPr>
            <w:r w:rsidRPr="00FB595B">
              <w:t>(</w:t>
            </w:r>
            <w:proofErr w:type="spellStart"/>
            <w:r w:rsidRPr="00FB595B">
              <w:t>i</w:t>
            </w:r>
            <w:proofErr w:type="spellEnd"/>
            <w:r w:rsidRPr="00FB595B">
              <w:t>) with breast, ovarian, fallopian tube or primary peritoneal cancer; and</w:t>
            </w:r>
          </w:p>
          <w:p w14:paraId="213F99B4" w14:textId="76475A05" w:rsidR="00FB595B" w:rsidRDefault="00E7464B" w:rsidP="00215CA0">
            <w:pPr>
              <w:pStyle w:val="ListBullet"/>
              <w:numPr>
                <w:ilvl w:val="0"/>
                <w:numId w:val="0"/>
              </w:numPr>
              <w:spacing w:line="240" w:lineRule="auto"/>
              <w:ind w:left="170"/>
              <w:cnfStyle w:val="000000100000" w:firstRow="0" w:lastRow="0" w:firstColumn="0" w:lastColumn="0" w:oddVBand="0" w:evenVBand="0" w:oddHBand="1" w:evenHBand="0" w:firstRowFirstColumn="0" w:firstRowLastColumn="0" w:lastRowFirstColumn="0" w:lastRowLastColumn="0"/>
            </w:pPr>
            <w:r w:rsidRPr="00FB595B">
              <w:t>(ii) for whom clinical and family history criteria place the patient at greater than 10% risk of having a pathogenic or likely pathogenic gene associated with breast, ovarian, fallopian tube or primary peritoneal cancer</w:t>
            </w:r>
          </w:p>
        </w:tc>
      </w:tr>
      <w:tr w:rsidR="00DE7BB4" w14:paraId="4F444EF2" w14:textId="77777777" w:rsidTr="00215CA0">
        <w:tc>
          <w:tcPr>
            <w:cnfStyle w:val="001000000000" w:firstRow="0" w:lastRow="0" w:firstColumn="1" w:lastColumn="0" w:oddVBand="0" w:evenVBand="0" w:oddHBand="0" w:evenHBand="0" w:firstRowFirstColumn="0" w:firstRowLastColumn="0" w:lastRowFirstColumn="0" w:lastRowLastColumn="0"/>
            <w:tcW w:w="846" w:type="dxa"/>
            <w:shd w:val="clear" w:color="auto" w:fill="D0EAED" w:themeFill="accent2" w:themeFillTint="33"/>
          </w:tcPr>
          <w:p w14:paraId="4EF4665E" w14:textId="4E172AEE" w:rsidR="00DE7BB4" w:rsidRDefault="00DE7BB4" w:rsidP="00215CA0">
            <w:pPr>
              <w:pStyle w:val="ListBullet"/>
              <w:numPr>
                <w:ilvl w:val="0"/>
                <w:numId w:val="0"/>
              </w:numPr>
            </w:pPr>
            <w:r>
              <w:t>73297</w:t>
            </w:r>
          </w:p>
        </w:tc>
        <w:tc>
          <w:tcPr>
            <w:tcW w:w="4111" w:type="dxa"/>
          </w:tcPr>
          <w:p w14:paraId="78BAB58B" w14:textId="77777777" w:rsidR="00DE7BB4" w:rsidRPr="00FB595B" w:rsidRDefault="00DE7BB4" w:rsidP="00215CA0">
            <w:pPr>
              <w:pStyle w:val="List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pPr>
            <w:r w:rsidRPr="00FB595B">
              <w:t>Characterisation of germline gene variants, including copy number variation where appropriate, requested by a specialist or consultant physician:</w:t>
            </w:r>
          </w:p>
          <w:p w14:paraId="2DD38584" w14:textId="77777777" w:rsidR="00DE7BB4" w:rsidRPr="00FB595B" w:rsidRDefault="00DE7BB4" w:rsidP="00215CA0">
            <w:pPr>
              <w:pStyle w:val="List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pPr>
            <w:r w:rsidRPr="00FB595B">
              <w:t>(a) in genes associated with breast, ovarian, fallopian tube or primary peritoneal cancer, which may include the following genes:</w:t>
            </w:r>
          </w:p>
          <w:p w14:paraId="26B5E1B6" w14:textId="77777777" w:rsidR="00DE7BB4" w:rsidRPr="00FB595B" w:rsidRDefault="00DE7BB4" w:rsidP="00215CA0">
            <w:pPr>
              <w:pStyle w:val="ListBullet"/>
              <w:numPr>
                <w:ilvl w:val="0"/>
                <w:numId w:val="0"/>
              </w:numPr>
              <w:spacing w:line="240" w:lineRule="auto"/>
              <w:ind w:left="170"/>
              <w:cnfStyle w:val="000000000000" w:firstRow="0" w:lastRow="0" w:firstColumn="0" w:lastColumn="0" w:oddVBand="0" w:evenVBand="0" w:oddHBand="0" w:evenHBand="0" w:firstRowFirstColumn="0" w:firstRowLastColumn="0" w:lastRowFirstColumn="0" w:lastRowLastColumn="0"/>
            </w:pPr>
            <w:r w:rsidRPr="00FB595B">
              <w:t>(</w:t>
            </w:r>
            <w:proofErr w:type="spellStart"/>
            <w:r w:rsidRPr="00FB595B">
              <w:t>i</w:t>
            </w:r>
            <w:proofErr w:type="spellEnd"/>
            <w:r w:rsidRPr="00FB595B">
              <w:t xml:space="preserve">) </w:t>
            </w:r>
            <w:r w:rsidRPr="00366F84">
              <w:rPr>
                <w:i/>
                <w:iCs/>
              </w:rPr>
              <w:t>BRCA1</w:t>
            </w:r>
            <w:r w:rsidRPr="00FB595B">
              <w:t xml:space="preserve"> or </w:t>
            </w:r>
            <w:proofErr w:type="gramStart"/>
            <w:r w:rsidRPr="00366F84">
              <w:rPr>
                <w:i/>
                <w:iCs/>
              </w:rPr>
              <w:t>BRCA2;</w:t>
            </w:r>
            <w:proofErr w:type="gramEnd"/>
          </w:p>
          <w:p w14:paraId="2AA0C4E8" w14:textId="77777777" w:rsidR="00DE7BB4" w:rsidRPr="00FB595B" w:rsidRDefault="00DE7BB4" w:rsidP="00215CA0">
            <w:pPr>
              <w:pStyle w:val="ListBullet"/>
              <w:numPr>
                <w:ilvl w:val="0"/>
                <w:numId w:val="0"/>
              </w:numPr>
              <w:spacing w:line="240" w:lineRule="auto"/>
              <w:ind w:left="170"/>
              <w:cnfStyle w:val="000000000000" w:firstRow="0" w:lastRow="0" w:firstColumn="0" w:lastColumn="0" w:oddVBand="0" w:evenVBand="0" w:oddHBand="0" w:evenHBand="0" w:firstRowFirstColumn="0" w:firstRowLastColumn="0" w:lastRowFirstColumn="0" w:lastRowLastColumn="0"/>
            </w:pPr>
            <w:r w:rsidRPr="00FB595B">
              <w:t xml:space="preserve">(ii) </w:t>
            </w:r>
            <w:r w:rsidRPr="00366F84">
              <w:rPr>
                <w:i/>
                <w:iCs/>
              </w:rPr>
              <w:t>STK11, PTEN, CDH1, PALB2</w:t>
            </w:r>
            <w:r w:rsidRPr="00FB595B">
              <w:t xml:space="preserve"> and </w:t>
            </w:r>
            <w:r w:rsidRPr="00366F84">
              <w:rPr>
                <w:i/>
                <w:iCs/>
              </w:rPr>
              <w:t>TP53</w:t>
            </w:r>
            <w:r w:rsidRPr="00FB595B">
              <w:t>; and</w:t>
            </w:r>
          </w:p>
          <w:p w14:paraId="74AEBE30" w14:textId="77777777" w:rsidR="00DE7BB4" w:rsidRPr="00FB595B" w:rsidRDefault="00DE7BB4" w:rsidP="00215CA0">
            <w:pPr>
              <w:pStyle w:val="List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pPr>
            <w:r w:rsidRPr="00FB595B">
              <w:t>(b) in a patient:</w:t>
            </w:r>
          </w:p>
          <w:p w14:paraId="6EC32355" w14:textId="77777777" w:rsidR="00DE7BB4" w:rsidRPr="00FB595B" w:rsidRDefault="00DE7BB4" w:rsidP="00215CA0">
            <w:pPr>
              <w:pStyle w:val="ListBullet"/>
              <w:numPr>
                <w:ilvl w:val="0"/>
                <w:numId w:val="0"/>
              </w:numPr>
              <w:ind w:left="170"/>
              <w:cnfStyle w:val="000000000000" w:firstRow="0" w:lastRow="0" w:firstColumn="0" w:lastColumn="0" w:oddVBand="0" w:evenVBand="0" w:oddHBand="0" w:evenHBand="0" w:firstRowFirstColumn="0" w:firstRowLastColumn="0" w:lastRowFirstColumn="0" w:lastRowLastColumn="0"/>
            </w:pPr>
            <w:r w:rsidRPr="00FB595B">
              <w:t>(</w:t>
            </w:r>
            <w:proofErr w:type="spellStart"/>
            <w:r w:rsidRPr="00FB595B">
              <w:t>i</w:t>
            </w:r>
            <w:proofErr w:type="spellEnd"/>
            <w:r w:rsidRPr="00FB595B">
              <w:t>) who has a biological relative who has had a pathogenic or likely pathogenic gene variant identified in one or more of the genes mentioned in paragraph (a); or</w:t>
            </w:r>
          </w:p>
          <w:p w14:paraId="161CE41F" w14:textId="2B543D9D" w:rsidR="00DE7BB4" w:rsidRDefault="00DE7BB4" w:rsidP="00215CA0">
            <w:pPr>
              <w:pStyle w:val="ListBullet"/>
              <w:numPr>
                <w:ilvl w:val="0"/>
                <w:numId w:val="0"/>
              </w:numPr>
              <w:ind w:left="170"/>
              <w:cnfStyle w:val="000000000000" w:firstRow="0" w:lastRow="0" w:firstColumn="0" w:lastColumn="0" w:oddVBand="0" w:evenVBand="0" w:oddHBand="0" w:evenHBand="0" w:firstRowFirstColumn="0" w:firstRowLastColumn="0" w:lastRowFirstColumn="0" w:lastRowLastColumn="0"/>
            </w:pPr>
            <w:r w:rsidRPr="00FB595B">
              <w:t>(ii) who has not previously received a service to which item 73295, 73296 or 73302 applies</w:t>
            </w:r>
          </w:p>
        </w:tc>
        <w:tc>
          <w:tcPr>
            <w:tcW w:w="4103" w:type="dxa"/>
          </w:tcPr>
          <w:p w14:paraId="4C5D66F4" w14:textId="77777777" w:rsidR="00DE7BB4" w:rsidRPr="00FB595B" w:rsidRDefault="00DE7BB4" w:rsidP="00215CA0">
            <w:pPr>
              <w:pStyle w:val="List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pPr>
            <w:r w:rsidRPr="00FB595B">
              <w:t>Characterisation of germline gene variants, including copy number variation where appropriate, requested by a specialist or consultant physician:</w:t>
            </w:r>
          </w:p>
          <w:p w14:paraId="36437050" w14:textId="77777777" w:rsidR="00DE7BB4" w:rsidRPr="00FB595B" w:rsidRDefault="00DE7BB4" w:rsidP="00215CA0">
            <w:pPr>
              <w:pStyle w:val="List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pPr>
            <w:r w:rsidRPr="00FB595B">
              <w:t>(a) in genes associated with breast, ovarian, fallopian tube or primary peritoneal cancer, which may include the following genes:</w:t>
            </w:r>
          </w:p>
          <w:p w14:paraId="54388673" w14:textId="77777777" w:rsidR="00DE7BB4" w:rsidRPr="00FB595B" w:rsidRDefault="00DE7BB4" w:rsidP="00215CA0">
            <w:pPr>
              <w:pStyle w:val="ListBullet"/>
              <w:numPr>
                <w:ilvl w:val="0"/>
                <w:numId w:val="0"/>
              </w:numPr>
              <w:spacing w:line="240" w:lineRule="auto"/>
              <w:ind w:left="170"/>
              <w:cnfStyle w:val="000000000000" w:firstRow="0" w:lastRow="0" w:firstColumn="0" w:lastColumn="0" w:oddVBand="0" w:evenVBand="0" w:oddHBand="0" w:evenHBand="0" w:firstRowFirstColumn="0" w:firstRowLastColumn="0" w:lastRowFirstColumn="0" w:lastRowLastColumn="0"/>
            </w:pPr>
            <w:r w:rsidRPr="00FB595B">
              <w:t>(</w:t>
            </w:r>
            <w:proofErr w:type="spellStart"/>
            <w:r w:rsidRPr="00FB595B">
              <w:t>i</w:t>
            </w:r>
            <w:proofErr w:type="spellEnd"/>
            <w:r w:rsidRPr="00FB595B">
              <w:t xml:space="preserve">) </w:t>
            </w:r>
            <w:r w:rsidRPr="00366F84">
              <w:rPr>
                <w:i/>
                <w:iCs/>
              </w:rPr>
              <w:t>BRCA1</w:t>
            </w:r>
            <w:r w:rsidRPr="00FB595B">
              <w:t xml:space="preserve"> or </w:t>
            </w:r>
            <w:proofErr w:type="gramStart"/>
            <w:r w:rsidRPr="00366F84">
              <w:rPr>
                <w:i/>
                <w:iCs/>
              </w:rPr>
              <w:t>BRCA2;</w:t>
            </w:r>
            <w:proofErr w:type="gramEnd"/>
          </w:p>
          <w:p w14:paraId="178ADE5E" w14:textId="654DD345" w:rsidR="00DE7BB4" w:rsidRPr="00FB595B" w:rsidRDefault="00DE7BB4" w:rsidP="00215CA0">
            <w:pPr>
              <w:pStyle w:val="ListBullet"/>
              <w:numPr>
                <w:ilvl w:val="0"/>
                <w:numId w:val="0"/>
              </w:numPr>
              <w:spacing w:line="240" w:lineRule="auto"/>
              <w:ind w:left="170"/>
              <w:cnfStyle w:val="000000000000" w:firstRow="0" w:lastRow="0" w:firstColumn="0" w:lastColumn="0" w:oddVBand="0" w:evenVBand="0" w:oddHBand="0" w:evenHBand="0" w:firstRowFirstColumn="0" w:firstRowLastColumn="0" w:lastRowFirstColumn="0" w:lastRowLastColumn="0"/>
            </w:pPr>
            <w:r w:rsidRPr="00FB595B">
              <w:t xml:space="preserve">(ii) </w:t>
            </w:r>
            <w:r w:rsidRPr="00D3381A">
              <w:rPr>
                <w:color w:val="A20000"/>
              </w:rPr>
              <w:t>one or more other relevant genes</w:t>
            </w:r>
            <w:r w:rsidRPr="00FB595B">
              <w:t>; and</w:t>
            </w:r>
          </w:p>
          <w:p w14:paraId="458187E7" w14:textId="77777777" w:rsidR="00DE7BB4" w:rsidRPr="00FB595B" w:rsidRDefault="00DE7BB4" w:rsidP="00215CA0">
            <w:pPr>
              <w:pStyle w:val="List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pPr>
            <w:r w:rsidRPr="00FB595B">
              <w:t>(b) in a patient:</w:t>
            </w:r>
          </w:p>
          <w:p w14:paraId="2AA652E0" w14:textId="77777777" w:rsidR="00DE7BB4" w:rsidRDefault="00DE7BB4" w:rsidP="00215CA0">
            <w:pPr>
              <w:pStyle w:val="ListBullet"/>
              <w:numPr>
                <w:ilvl w:val="0"/>
                <w:numId w:val="0"/>
              </w:numPr>
              <w:ind w:left="170"/>
              <w:cnfStyle w:val="000000000000" w:firstRow="0" w:lastRow="0" w:firstColumn="0" w:lastColumn="0" w:oddVBand="0" w:evenVBand="0" w:oddHBand="0" w:evenHBand="0" w:firstRowFirstColumn="0" w:firstRowLastColumn="0" w:lastRowFirstColumn="0" w:lastRowLastColumn="0"/>
            </w:pPr>
            <w:r w:rsidRPr="00FB595B">
              <w:t>(</w:t>
            </w:r>
            <w:proofErr w:type="spellStart"/>
            <w:r w:rsidRPr="00FB595B">
              <w:t>i</w:t>
            </w:r>
            <w:proofErr w:type="spellEnd"/>
            <w:r w:rsidRPr="00FB595B">
              <w:t xml:space="preserve">) who has a biological relative who has had a pathogenic or likely pathogenic gene variant identified in one or more of the genes mentioned in paragraph (a); </w:t>
            </w:r>
            <w:r w:rsidRPr="00D3381A">
              <w:rPr>
                <w:color w:val="A20000"/>
              </w:rPr>
              <w:t>and</w:t>
            </w:r>
          </w:p>
          <w:p w14:paraId="6D682445" w14:textId="59CC793D" w:rsidR="00DE7BB4" w:rsidRDefault="00DE7BB4" w:rsidP="00215CA0">
            <w:pPr>
              <w:pStyle w:val="ListBullet"/>
              <w:numPr>
                <w:ilvl w:val="0"/>
                <w:numId w:val="0"/>
              </w:numPr>
              <w:ind w:left="170"/>
              <w:cnfStyle w:val="000000000000" w:firstRow="0" w:lastRow="0" w:firstColumn="0" w:lastColumn="0" w:oddVBand="0" w:evenVBand="0" w:oddHBand="0" w:evenHBand="0" w:firstRowFirstColumn="0" w:firstRowLastColumn="0" w:lastRowFirstColumn="0" w:lastRowLastColumn="0"/>
            </w:pPr>
            <w:r w:rsidRPr="00FB595B">
              <w:t>(ii) who has not previously received a service to which item 73295, 73296 or 73302 applies</w:t>
            </w:r>
          </w:p>
        </w:tc>
      </w:tr>
    </w:tbl>
    <w:p w14:paraId="2244D81B" w14:textId="77777777" w:rsidR="00FB595B" w:rsidRDefault="00FB595B" w:rsidP="00251B76">
      <w:pPr>
        <w:pStyle w:val="ListBullet"/>
        <w:numPr>
          <w:ilvl w:val="0"/>
          <w:numId w:val="0"/>
        </w:numPr>
        <w:spacing w:before="240"/>
      </w:pPr>
    </w:p>
    <w:p w14:paraId="1C2F0804" w14:textId="6BF06C97" w:rsidR="007D2FC9" w:rsidRDefault="007D2FC9" w:rsidP="00251B76">
      <w:pPr>
        <w:pStyle w:val="ListBullet"/>
        <w:numPr>
          <w:ilvl w:val="0"/>
          <w:numId w:val="0"/>
        </w:numPr>
        <w:spacing w:before="240"/>
      </w:pPr>
      <w:r>
        <w:t>For private health insurance purposes, item</w:t>
      </w:r>
      <w:r w:rsidR="00294628">
        <w:t>s</w:t>
      </w:r>
      <w:r>
        <w:t xml:space="preserve"> </w:t>
      </w:r>
      <w:r w:rsidR="009B1AF9">
        <w:t>7329</w:t>
      </w:r>
      <w:r w:rsidR="00294628">
        <w:t>6 and 73297</w:t>
      </w:r>
      <w:r>
        <w:t xml:space="preserve"> will continue to be listed under the following clinical category and procedure type:</w:t>
      </w:r>
    </w:p>
    <w:p w14:paraId="53534710" w14:textId="77777777" w:rsidR="007D2FC9" w:rsidRDefault="007D2FC9" w:rsidP="007D2FC9">
      <w:pPr>
        <w:pStyle w:val="ListBullet"/>
      </w:pPr>
      <w:r>
        <w:t>Clinical category: Support List (pathology)</w:t>
      </w:r>
    </w:p>
    <w:p w14:paraId="3CDA00D6" w14:textId="77777777" w:rsidR="007D2FC9" w:rsidRDefault="007D2FC9" w:rsidP="007D2FC9">
      <w:pPr>
        <w:pStyle w:val="ListBullet"/>
      </w:pPr>
      <w:r>
        <w:t>Procedure type: Type C</w:t>
      </w:r>
    </w:p>
    <w:p w14:paraId="3D58EECC" w14:textId="24DD7DEC" w:rsidR="009C7868" w:rsidRDefault="0019120F" w:rsidP="00E05636">
      <w:pPr>
        <w:pStyle w:val="ListBullet"/>
        <w:numPr>
          <w:ilvl w:val="0"/>
          <w:numId w:val="0"/>
        </w:numPr>
        <w:spacing w:before="240"/>
      </w:pPr>
      <w:r w:rsidRPr="0019120F">
        <w:t>For their patients to be eligible for Medicare benefits</w:t>
      </w:r>
      <w:r w:rsidR="009C7868" w:rsidRPr="009C7868">
        <w:t xml:space="preserve">, </w:t>
      </w:r>
      <w:r w:rsidR="009C7868">
        <w:t>providers</w:t>
      </w:r>
      <w:r w:rsidR="009C7868" w:rsidRPr="009C7868">
        <w:t xml:space="preserve"> providing this service must be accredited according to the pathology accreditation standards specified in the</w:t>
      </w:r>
      <w:r w:rsidR="009C7868" w:rsidRPr="009C7868">
        <w:rPr>
          <w:i/>
          <w:iCs/>
        </w:rPr>
        <w:t xml:space="preserve"> </w:t>
      </w:r>
      <w:hyperlink r:id="rId8" w:history="1">
        <w:r w:rsidR="009C7868" w:rsidRPr="009C7868">
          <w:rPr>
            <w:rStyle w:val="Hyperlink"/>
            <w:i/>
            <w:iCs/>
          </w:rPr>
          <w:t>Health Insurance (Accredited Pathology Laboratories-Approval) Principles 2017</w:t>
        </w:r>
      </w:hyperlink>
      <w:r w:rsidR="009C7868" w:rsidRPr="009C7868">
        <w:t>.</w:t>
      </w:r>
    </w:p>
    <w:p w14:paraId="42BD5171" w14:textId="2A71A285" w:rsidR="00064168" w:rsidRDefault="00064168" w:rsidP="009C7868">
      <w:pPr>
        <w:pStyle w:val="Heading2"/>
      </w:pPr>
      <w:r>
        <w:t>Why are the changes being made?</w:t>
      </w:r>
    </w:p>
    <w:p w14:paraId="419BBDB7" w14:textId="77777777" w:rsidR="007A7699" w:rsidRDefault="00FD7C1F" w:rsidP="00064168">
      <w:pPr>
        <w:rPr>
          <w:szCs w:val="22"/>
        </w:rPr>
      </w:pPr>
      <w:bookmarkStart w:id="1" w:name="_Hlk535386664"/>
      <w:r w:rsidRPr="00FD7C1F">
        <w:rPr>
          <w:szCs w:val="22"/>
        </w:rPr>
        <w:t xml:space="preserve">The Australian Government recognises that </w:t>
      </w:r>
      <w:r w:rsidR="00E70C7D">
        <w:rPr>
          <w:szCs w:val="22"/>
        </w:rPr>
        <w:t>breast</w:t>
      </w:r>
      <w:r w:rsidR="002C2B7C">
        <w:rPr>
          <w:szCs w:val="22"/>
        </w:rPr>
        <w:t xml:space="preserve"> </w:t>
      </w:r>
      <w:r w:rsidRPr="00FD7C1F">
        <w:rPr>
          <w:szCs w:val="22"/>
        </w:rPr>
        <w:t>cancer is a significant health issue for Australian</w:t>
      </w:r>
      <w:r w:rsidR="00E44156">
        <w:rPr>
          <w:szCs w:val="22"/>
        </w:rPr>
        <w:t>s</w:t>
      </w:r>
      <w:r w:rsidRPr="00FD7C1F">
        <w:rPr>
          <w:szCs w:val="22"/>
        </w:rPr>
        <w:t xml:space="preserve"> and is committed to improving the diagnosis and treatment of this disease.</w:t>
      </w:r>
    </w:p>
    <w:p w14:paraId="43334259" w14:textId="5EB8D6A0" w:rsidR="008877BF" w:rsidRPr="00553168" w:rsidRDefault="008877BF" w:rsidP="00064168">
      <w:pPr>
        <w:rPr>
          <w:szCs w:val="22"/>
        </w:rPr>
      </w:pPr>
      <w:r w:rsidRPr="00553168">
        <w:rPr>
          <w:szCs w:val="22"/>
        </w:rPr>
        <w:t>The changes arise from recommendations of the Medical Services Advisory Committee (MSAC) and Pharmaceutical Benefits Advisory Committee (PBAC) under Application 1507.1</w:t>
      </w:r>
      <w:r w:rsidR="00553168" w:rsidRPr="00553168">
        <w:rPr>
          <w:szCs w:val="22"/>
        </w:rPr>
        <w:t>.</w:t>
      </w:r>
    </w:p>
    <w:p w14:paraId="2B2D9DC4" w14:textId="6A9894DF" w:rsidR="00AE32A2" w:rsidRDefault="00E44156" w:rsidP="00064168">
      <w:pPr>
        <w:rPr>
          <w:szCs w:val="22"/>
        </w:rPr>
      </w:pPr>
      <w:r>
        <w:rPr>
          <w:szCs w:val="22"/>
        </w:rPr>
        <w:t>At its A</w:t>
      </w:r>
      <w:r w:rsidR="00EC2734">
        <w:rPr>
          <w:szCs w:val="22"/>
        </w:rPr>
        <w:t>ugust</w:t>
      </w:r>
      <w:r>
        <w:rPr>
          <w:szCs w:val="22"/>
        </w:rPr>
        <w:t xml:space="preserve"> 2024 meeting, </w:t>
      </w:r>
      <w:r w:rsidRPr="00867595">
        <w:rPr>
          <w:szCs w:val="22"/>
        </w:rPr>
        <w:t>the Medical Services Advisory Committee (MSAC)</w:t>
      </w:r>
      <w:r>
        <w:rPr>
          <w:szCs w:val="22"/>
        </w:rPr>
        <w:t xml:space="preserve"> supported the </w:t>
      </w:r>
      <w:r w:rsidR="007610AD">
        <w:rPr>
          <w:szCs w:val="22"/>
        </w:rPr>
        <w:t>amendment</w:t>
      </w:r>
      <w:r w:rsidR="00064168" w:rsidRPr="007610AD">
        <w:rPr>
          <w:szCs w:val="22"/>
        </w:rPr>
        <w:t xml:space="preserve"> of </w:t>
      </w:r>
      <w:r w:rsidR="00251B76" w:rsidRPr="007610AD">
        <w:rPr>
          <w:szCs w:val="22"/>
        </w:rPr>
        <w:t>item</w:t>
      </w:r>
      <w:r w:rsidR="00617766" w:rsidRPr="007610AD">
        <w:rPr>
          <w:szCs w:val="22"/>
        </w:rPr>
        <w:t>s</w:t>
      </w:r>
      <w:r w:rsidR="00251B76" w:rsidRPr="007610AD">
        <w:rPr>
          <w:szCs w:val="22"/>
        </w:rPr>
        <w:t xml:space="preserve"> </w:t>
      </w:r>
      <w:r w:rsidR="00FD7C1F" w:rsidRPr="007610AD">
        <w:rPr>
          <w:szCs w:val="22"/>
        </w:rPr>
        <w:t>73</w:t>
      </w:r>
      <w:r w:rsidR="008877BF" w:rsidRPr="007610AD">
        <w:rPr>
          <w:szCs w:val="22"/>
        </w:rPr>
        <w:t>29</w:t>
      </w:r>
      <w:r w:rsidR="00617766" w:rsidRPr="007610AD">
        <w:rPr>
          <w:szCs w:val="22"/>
        </w:rPr>
        <w:t>6 and</w:t>
      </w:r>
      <w:r w:rsidR="00617766">
        <w:rPr>
          <w:szCs w:val="22"/>
        </w:rPr>
        <w:t xml:space="preserve"> 73297</w:t>
      </w:r>
      <w:r w:rsidR="008877BF">
        <w:rPr>
          <w:szCs w:val="22"/>
        </w:rPr>
        <w:t xml:space="preserve"> </w:t>
      </w:r>
      <w:r w:rsidR="00DF1F91">
        <w:rPr>
          <w:szCs w:val="22"/>
        </w:rPr>
        <w:t>after its assessment of</w:t>
      </w:r>
      <w:hyperlink r:id="rId9" w:history="1">
        <w:r w:rsidR="00EC2734" w:rsidRPr="00FE6A58">
          <w:rPr>
            <w:rStyle w:val="Hyperlink"/>
            <w:u w:val="none"/>
          </w:rPr>
          <w:t xml:space="preserve"> </w:t>
        </w:r>
        <w:r w:rsidR="00EC2734" w:rsidRPr="00FE6A58">
          <w:rPr>
            <w:rStyle w:val="Hyperlink"/>
          </w:rPr>
          <w:t>Application 1507.1</w:t>
        </w:r>
      </w:hyperlink>
      <w:r w:rsidR="00064168" w:rsidRPr="00867595">
        <w:rPr>
          <w:szCs w:val="22"/>
        </w:rPr>
        <w:t xml:space="preserve">. Further details about MSAC applications can be found under </w:t>
      </w:r>
      <w:hyperlink r:id="rId10" w:history="1">
        <w:r w:rsidR="00064168" w:rsidRPr="00867595">
          <w:rPr>
            <w:rStyle w:val="Hyperlink"/>
            <w:szCs w:val="22"/>
          </w:rPr>
          <w:t>MSAC Applications</w:t>
        </w:r>
      </w:hyperlink>
      <w:r w:rsidR="00064168" w:rsidRPr="00867595">
        <w:rPr>
          <w:szCs w:val="22"/>
        </w:rPr>
        <w:t xml:space="preserve"> on the </w:t>
      </w:r>
      <w:hyperlink r:id="rId11" w:history="1">
        <w:r w:rsidR="00064168" w:rsidRPr="00DF1F91">
          <w:rPr>
            <w:rStyle w:val="Hyperlink"/>
            <w:szCs w:val="22"/>
          </w:rPr>
          <w:t>MSAC website</w:t>
        </w:r>
      </w:hyperlink>
      <w:r w:rsidR="00580E45">
        <w:rPr>
          <w:szCs w:val="22"/>
        </w:rPr>
        <w:t>.</w:t>
      </w:r>
    </w:p>
    <w:bookmarkEnd w:id="1"/>
    <w:p w14:paraId="5BD9BE80" w14:textId="74FF626D" w:rsidR="00064168" w:rsidRDefault="00064168" w:rsidP="00064168">
      <w:pPr>
        <w:pStyle w:val="Heading2"/>
      </w:pPr>
      <w:r w:rsidRPr="001A7FB7">
        <w:t>Who was consulted on the changes?</w:t>
      </w:r>
    </w:p>
    <w:p w14:paraId="6EAA4D46" w14:textId="531E6CA4" w:rsidR="009C7868" w:rsidRPr="009C7868" w:rsidRDefault="007A7699" w:rsidP="009C7868">
      <w:r w:rsidRPr="00744638">
        <w:t xml:space="preserve">The Medical Oncology Group of Australia </w:t>
      </w:r>
      <w:r w:rsidR="009C7868" w:rsidRPr="00744638">
        <w:t>provided consultation input during the MSAC process.</w:t>
      </w:r>
      <w:r w:rsidR="009C7868">
        <w:t xml:space="preserve"> </w:t>
      </w:r>
    </w:p>
    <w:p w14:paraId="32E82B19" w14:textId="1C77625A" w:rsidR="00064168" w:rsidRDefault="00064168" w:rsidP="00064168">
      <w:pPr>
        <w:pStyle w:val="Heading2"/>
      </w:pPr>
      <w:r w:rsidRPr="001A7FB7">
        <w:t>How will the changes be monitored</w:t>
      </w:r>
      <w:r>
        <w:t xml:space="preserve"> and reviewed</w:t>
      </w:r>
      <w:r w:rsidRPr="001A7FB7">
        <w:t>?</w:t>
      </w:r>
    </w:p>
    <w:p w14:paraId="7C2F4C84" w14:textId="155B2073" w:rsidR="00E43220" w:rsidRDefault="00E43220" w:rsidP="00E43220">
      <w:r w:rsidRPr="00E43220">
        <w:t>Providers must ensure that Medicare services requested or claimed using their provider number meet all legislative requirements. These services should also be considered acceptable by a general body of their profession.</w:t>
      </w:r>
      <w:r>
        <w:t xml:space="preserve"> </w:t>
      </w:r>
      <w:r>
        <w:rPr>
          <w:rFonts w:cs="Arial"/>
          <w:color w:val="222222"/>
          <w:szCs w:val="22"/>
          <w:shd w:val="clear" w:color="auto" w:fill="FBFBFB"/>
        </w:rPr>
        <w:t>A</w:t>
      </w:r>
      <w:r>
        <w:t>ll Medicare claiming and requesting is subject to compliance checks. Providers or requesters may be required to submit evidence about the services they bill or request and should</w:t>
      </w:r>
      <w:r w:rsidRPr="00ED42D8">
        <w:rPr>
          <w:rFonts w:cs="Arial"/>
          <w:color w:val="222222"/>
          <w:szCs w:val="22"/>
          <w:shd w:val="clear" w:color="auto" w:fill="FBFBFB"/>
        </w:rPr>
        <w:t xml:space="preserve"> </w:t>
      </w:r>
      <w:r>
        <w:rPr>
          <w:rFonts w:cs="Arial"/>
          <w:color w:val="222222"/>
          <w:szCs w:val="22"/>
          <w:shd w:val="clear" w:color="auto" w:fill="FBFBFB"/>
        </w:rPr>
        <w:t>retain</w:t>
      </w:r>
      <w:r w:rsidRPr="00ED42D8">
        <w:rPr>
          <w:rFonts w:cs="Arial"/>
          <w:color w:val="222222"/>
          <w:szCs w:val="22"/>
          <w:shd w:val="clear" w:color="auto" w:fill="FBFBFB"/>
        </w:rPr>
        <w:t xml:space="preserve"> adequate and contemporaneous record</w:t>
      </w:r>
      <w:r>
        <w:rPr>
          <w:rFonts w:cs="Arial"/>
          <w:color w:val="222222"/>
          <w:szCs w:val="22"/>
          <w:shd w:val="clear" w:color="auto" w:fill="FBFBFB"/>
        </w:rPr>
        <w:t>s.</w:t>
      </w:r>
      <w:r>
        <w:t xml:space="preserve"> More information about the </w:t>
      </w:r>
      <w:r w:rsidR="00623F58">
        <w:t>D</w:t>
      </w:r>
      <w:r>
        <w:t>epartment</w:t>
      </w:r>
      <w:r w:rsidR="00623F58">
        <w:t xml:space="preserve"> of Health and Aged Care’s</w:t>
      </w:r>
      <w:r>
        <w:t xml:space="preserve"> </w:t>
      </w:r>
      <w:r w:rsidR="00623F58">
        <w:t xml:space="preserve">(the </w:t>
      </w:r>
      <w:r w:rsidR="00DB573A">
        <w:t>D</w:t>
      </w:r>
      <w:r w:rsidR="00623F58">
        <w:t xml:space="preserve">epartment) </w:t>
      </w:r>
      <w:r>
        <w:t xml:space="preserve">compliance program can be found on its website at </w:t>
      </w:r>
      <w:hyperlink r:id="rId12" w:tgtFrame="_blank" w:tooltip="https://www.health.gov.au/topics/medicare/compliance" w:history="1">
        <w:r w:rsidRPr="243D3449">
          <w:rPr>
            <w:rStyle w:val="Hyperlink"/>
          </w:rPr>
          <w:t>Medicare compliance</w:t>
        </w:r>
      </w:hyperlink>
      <w:r w:rsidRPr="243D3449">
        <w:rPr>
          <w:rStyle w:val="Hyperlink"/>
        </w:rPr>
        <w:t>.</w:t>
      </w:r>
    </w:p>
    <w:p w14:paraId="3C63E237" w14:textId="3C205076" w:rsidR="00064168" w:rsidRDefault="00064168" w:rsidP="00A12D20">
      <w:pPr>
        <w:pStyle w:val="Heading2"/>
      </w:pPr>
      <w:r>
        <w:t>Where can I find more information?</w:t>
      </w:r>
    </w:p>
    <w:p w14:paraId="5EEA2BAC" w14:textId="7C976B03" w:rsidR="00064168" w:rsidRPr="00867595" w:rsidRDefault="00064168" w:rsidP="00064168">
      <w:pPr>
        <w:rPr>
          <w:szCs w:val="22"/>
        </w:rPr>
      </w:pPr>
      <w:r w:rsidRPr="002B7E1D">
        <w:t>The full item descriptor(s) and information</w:t>
      </w:r>
      <w:r w:rsidRPr="00867595">
        <w:rPr>
          <w:szCs w:val="22"/>
        </w:rPr>
        <w:t xml:space="preserve"> on other changes to the MBS can be found on the </w:t>
      </w:r>
      <w:hyperlink r:id="rId13"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4"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21C5F4F5" w:rsidR="00064168" w:rsidRDefault="00064168" w:rsidP="00064168">
      <w:pPr>
        <w:rPr>
          <w:szCs w:val="22"/>
        </w:rPr>
      </w:pPr>
      <w:r w:rsidRPr="00867595">
        <w:rPr>
          <w:szCs w:val="22"/>
        </w:rPr>
        <w:t xml:space="preserve">The </w:t>
      </w:r>
      <w:r w:rsidR="00623F58">
        <w:rPr>
          <w:szCs w:val="22"/>
        </w:rPr>
        <w:t xml:space="preserve">department </w:t>
      </w:r>
      <w:r w:rsidRPr="00867595">
        <w:rPr>
          <w:szCs w:val="22"/>
        </w:rPr>
        <w:t xml:space="preserve">provides an email advice service for providers seeking advice on interpretation of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w:t>
      </w:r>
      <w:r w:rsidRPr="00867595">
        <w:rPr>
          <w:szCs w:val="22"/>
        </w:rPr>
        <w:lastRenderedPageBreak/>
        <w:t xml:space="preserve">regulations. If you have a query relating exclusively to interpretation of the Schedule, you should email </w:t>
      </w:r>
      <w:hyperlink r:id="rId15" w:history="1">
        <w:r w:rsidRPr="00867595">
          <w:rPr>
            <w:rStyle w:val="Hyperlink"/>
            <w:szCs w:val="22"/>
          </w:rPr>
          <w:t>askMBS@health.gov.au</w:t>
        </w:r>
      </w:hyperlink>
      <w:r w:rsidRPr="00867595">
        <w:rPr>
          <w:szCs w:val="22"/>
        </w:rPr>
        <w:t>.</w:t>
      </w:r>
    </w:p>
    <w:p w14:paraId="1D6CA1FB" w14:textId="50325294"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sidR="00DB573A">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31D948C7"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xml:space="preserve">’ on the Services Australia website </w:t>
      </w:r>
      <w:r w:rsidR="00AE32A2">
        <w:t xml:space="preserve">and you will </w:t>
      </w:r>
      <w:r w:rsidRPr="00867595">
        <w:rPr>
          <w:szCs w:val="22"/>
        </w:rPr>
        <w:t>receive regular news highlights.</w:t>
      </w:r>
    </w:p>
    <w:p w14:paraId="01509414" w14:textId="36D39A1A"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w:t>
      </w:r>
      <w:r w:rsidR="00AE32A2">
        <w:t>–</w:t>
      </w:r>
      <w:r w:rsidRPr="00867595">
        <w:rPr>
          <w:szCs w:val="22"/>
        </w:rPr>
        <w:t xml:space="preserve">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21" w:history="1">
        <w:r w:rsidR="00C02732" w:rsidRPr="00C02732">
          <w:rPr>
            <w:rStyle w:val="Hyperlink"/>
            <w:szCs w:val="22"/>
          </w:rPr>
          <w:t>Downloads</w:t>
        </w:r>
      </w:hyperlink>
      <w:r w:rsidRPr="00867595">
        <w:rPr>
          <w:szCs w:val="22"/>
        </w:rPr>
        <w:t xml:space="preserve"> page.</w:t>
      </w:r>
    </w:p>
    <w:p w14:paraId="6C07C720" w14:textId="3918ABD9" w:rsidR="000D33E3" w:rsidRPr="000D33E3" w:rsidRDefault="00BE3ED5" w:rsidP="002A06F1">
      <w:pPr>
        <w:pStyle w:val="Heading2"/>
      </w:pPr>
      <w:r>
        <w:t xml:space="preserve">Amended item descriptors (to take effect </w:t>
      </w:r>
      <w:r w:rsidR="00DE2208">
        <w:t xml:space="preserve">1 </w:t>
      </w:r>
      <w:r w:rsidR="00245CC6">
        <w:t>March</w:t>
      </w:r>
      <w:r w:rsidR="00DE2208">
        <w:t xml:space="preserve"> 2025</w:t>
      </w:r>
      <w:r>
        <w:t>)</w:t>
      </w:r>
    </w:p>
    <w:tbl>
      <w:tblPr>
        <w:tblStyle w:val="GridTable4-Accent2"/>
        <w:tblW w:w="0" w:type="auto"/>
        <w:tblLook w:val="04A0" w:firstRow="1" w:lastRow="0" w:firstColumn="1" w:lastColumn="0" w:noHBand="0" w:noVBand="1"/>
      </w:tblPr>
      <w:tblGrid>
        <w:gridCol w:w="9060"/>
      </w:tblGrid>
      <w:tr w:rsidR="00D04169" w14:paraId="65C36F52" w14:textId="77777777" w:rsidTr="00224F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4DE788D" w14:textId="57BD9086" w:rsidR="00D04169" w:rsidRDefault="00D04169" w:rsidP="00224F0C">
            <w:pPr>
              <w:rPr>
                <w:b w:val="0"/>
                <w:bCs w:val="0"/>
                <w:lang w:eastAsia="en-AU"/>
              </w:rPr>
            </w:pPr>
            <w:r>
              <w:rPr>
                <w:lang w:eastAsia="en-AU"/>
              </w:rPr>
              <w:t>Category</w:t>
            </w:r>
            <w:r w:rsidR="005F6F22">
              <w:rPr>
                <w:lang w:eastAsia="en-AU"/>
              </w:rPr>
              <w:t xml:space="preserve"> 6 – Pathology Services</w:t>
            </w:r>
          </w:p>
        </w:tc>
      </w:tr>
      <w:tr w:rsidR="00D04169" w14:paraId="2FB28697" w14:textId="77777777" w:rsidTr="00224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5927C2D" w14:textId="6AA85775" w:rsidR="00D04169" w:rsidRDefault="00D04169" w:rsidP="00224F0C">
            <w:pPr>
              <w:rPr>
                <w:b w:val="0"/>
                <w:bCs w:val="0"/>
                <w:lang w:eastAsia="en-AU"/>
              </w:rPr>
            </w:pPr>
            <w:r>
              <w:rPr>
                <w:lang w:eastAsia="en-AU"/>
              </w:rPr>
              <w:t>Group</w:t>
            </w:r>
            <w:r w:rsidR="005F6F22">
              <w:rPr>
                <w:lang w:eastAsia="en-AU"/>
              </w:rPr>
              <w:t xml:space="preserve"> 7 – Genetics </w:t>
            </w:r>
          </w:p>
        </w:tc>
      </w:tr>
      <w:tr w:rsidR="00D04169" w:rsidRPr="00642F20" w14:paraId="757983BF" w14:textId="77777777" w:rsidTr="00224F0C">
        <w:tc>
          <w:tcPr>
            <w:cnfStyle w:val="001000000000" w:firstRow="0" w:lastRow="0" w:firstColumn="1" w:lastColumn="0" w:oddVBand="0" w:evenVBand="0" w:oddHBand="0" w:evenHBand="0" w:firstRowFirstColumn="0" w:firstRowLastColumn="0" w:lastRowFirstColumn="0" w:lastRowLastColumn="0"/>
            <w:tcW w:w="9060" w:type="dxa"/>
            <w:hideMark/>
          </w:tcPr>
          <w:p w14:paraId="718D2073" w14:textId="24BE004B" w:rsidR="00FA512E" w:rsidRDefault="00FA512E" w:rsidP="00FA512E">
            <w:r w:rsidRPr="00D04169">
              <w:t>73296</w:t>
            </w:r>
          </w:p>
          <w:p w14:paraId="4E22E1F9" w14:textId="77777777" w:rsidR="00FA512E" w:rsidRDefault="00FA512E" w:rsidP="00FA512E">
            <w:r>
              <w:rPr>
                <w:b w:val="0"/>
                <w:bCs w:val="0"/>
              </w:rPr>
              <w:t>Characterisation of germline gene variants, including copy number variation where appropriate, requested by a specialist or consultant physician:</w:t>
            </w:r>
          </w:p>
          <w:p w14:paraId="2B43F396" w14:textId="77777777" w:rsidR="00FA512E" w:rsidRPr="005F6F22" w:rsidRDefault="00FA512E" w:rsidP="00FA512E">
            <w:pPr>
              <w:pStyle w:val="ListParagraph"/>
              <w:numPr>
                <w:ilvl w:val="0"/>
                <w:numId w:val="40"/>
              </w:numPr>
              <w:rPr>
                <w:b w:val="0"/>
                <w:bCs w:val="0"/>
              </w:rPr>
            </w:pPr>
            <w:r w:rsidRPr="005F6F22">
              <w:rPr>
                <w:b w:val="0"/>
                <w:bCs w:val="0"/>
              </w:rPr>
              <w:t>in genes associated with breast, ovarian, fallopian tube or primary peritoneal cancer, which must include at least:</w:t>
            </w:r>
          </w:p>
          <w:p w14:paraId="68E48B12" w14:textId="77777777" w:rsidR="00FA512E" w:rsidRPr="00366F84" w:rsidRDefault="00FA512E" w:rsidP="00FA512E">
            <w:pPr>
              <w:pStyle w:val="ListParagraph"/>
              <w:numPr>
                <w:ilvl w:val="0"/>
                <w:numId w:val="41"/>
              </w:numPr>
              <w:rPr>
                <w:b w:val="0"/>
                <w:bCs w:val="0"/>
              </w:rPr>
            </w:pPr>
            <w:r w:rsidRPr="00065C10">
              <w:rPr>
                <w:b w:val="0"/>
                <w:bCs w:val="0"/>
                <w:i/>
                <w:iCs/>
              </w:rPr>
              <w:t>BRCA1</w:t>
            </w:r>
            <w:r w:rsidRPr="005F6F22">
              <w:rPr>
                <w:b w:val="0"/>
                <w:bCs w:val="0"/>
              </w:rPr>
              <w:t xml:space="preserve"> and </w:t>
            </w:r>
            <w:r w:rsidRPr="00065C10">
              <w:rPr>
                <w:b w:val="0"/>
                <w:bCs w:val="0"/>
                <w:i/>
                <w:iCs/>
              </w:rPr>
              <w:t>BRCA2</w:t>
            </w:r>
            <w:r w:rsidRPr="005F6F22">
              <w:rPr>
                <w:b w:val="0"/>
                <w:bCs w:val="0"/>
              </w:rPr>
              <w:t xml:space="preserve"> genes; and</w:t>
            </w:r>
          </w:p>
          <w:p w14:paraId="22B8199E" w14:textId="15BD9AD0" w:rsidR="00FA512E" w:rsidRPr="00366F84" w:rsidRDefault="00FA512E" w:rsidP="00FA512E">
            <w:pPr>
              <w:pStyle w:val="ListParagraph"/>
              <w:numPr>
                <w:ilvl w:val="0"/>
                <w:numId w:val="41"/>
              </w:numPr>
              <w:rPr>
                <w:b w:val="0"/>
                <w:bCs w:val="0"/>
              </w:rPr>
            </w:pPr>
            <w:r w:rsidRPr="00366F84">
              <w:rPr>
                <w:b w:val="0"/>
                <w:bCs w:val="0"/>
              </w:rPr>
              <w:t>one or more other relevant gene</w:t>
            </w:r>
            <w:r w:rsidR="002A06F1" w:rsidRPr="00366F84">
              <w:rPr>
                <w:b w:val="0"/>
                <w:bCs w:val="0"/>
              </w:rPr>
              <w:t>s</w:t>
            </w:r>
            <w:r w:rsidRPr="00366F84">
              <w:rPr>
                <w:b w:val="0"/>
                <w:bCs w:val="0"/>
              </w:rPr>
              <w:t xml:space="preserve">; and </w:t>
            </w:r>
          </w:p>
          <w:p w14:paraId="0BBB8157" w14:textId="77777777" w:rsidR="00FA512E" w:rsidRPr="005F6F22" w:rsidRDefault="00FA512E" w:rsidP="00FA512E">
            <w:pPr>
              <w:pStyle w:val="ListParagraph"/>
              <w:numPr>
                <w:ilvl w:val="0"/>
                <w:numId w:val="40"/>
              </w:numPr>
              <w:rPr>
                <w:b w:val="0"/>
                <w:bCs w:val="0"/>
              </w:rPr>
            </w:pPr>
            <w:r w:rsidRPr="005F6F22">
              <w:rPr>
                <w:b w:val="0"/>
                <w:bCs w:val="0"/>
              </w:rPr>
              <w:t xml:space="preserve">in a patient: </w:t>
            </w:r>
          </w:p>
          <w:p w14:paraId="335DB043" w14:textId="77777777" w:rsidR="00FA512E" w:rsidRPr="005F6F22" w:rsidRDefault="00FA512E" w:rsidP="00FA512E">
            <w:pPr>
              <w:pStyle w:val="ListParagraph"/>
              <w:numPr>
                <w:ilvl w:val="0"/>
                <w:numId w:val="42"/>
              </w:numPr>
              <w:rPr>
                <w:b w:val="0"/>
                <w:bCs w:val="0"/>
              </w:rPr>
            </w:pPr>
            <w:r w:rsidRPr="005F6F22">
              <w:rPr>
                <w:b w:val="0"/>
                <w:bCs w:val="0"/>
              </w:rPr>
              <w:t xml:space="preserve">with breast, ovarian, fallopian tube or primary peritoneal cancer; and </w:t>
            </w:r>
          </w:p>
          <w:p w14:paraId="25297800" w14:textId="4D984ADC" w:rsidR="00FA512E" w:rsidRPr="00623BC8" w:rsidRDefault="00FA512E" w:rsidP="00FA512E">
            <w:pPr>
              <w:pStyle w:val="ListParagraph"/>
              <w:numPr>
                <w:ilvl w:val="0"/>
                <w:numId w:val="42"/>
              </w:numPr>
              <w:rPr>
                <w:b w:val="0"/>
                <w:bCs w:val="0"/>
              </w:rPr>
            </w:pPr>
            <w:r w:rsidRPr="005F6F22">
              <w:rPr>
                <w:b w:val="0"/>
                <w:bCs w:val="0"/>
              </w:rPr>
              <w:t xml:space="preserve">for whom clinical and family history criteria place the patient at greater than 10% risk of having a pathogenic or likely pathogenic gene associated with breast, ovarian, fallopian tube or primary peritoneal cancer </w:t>
            </w:r>
          </w:p>
          <w:p w14:paraId="27D69211" w14:textId="59C3E91B" w:rsidR="00FA512E" w:rsidRPr="00623BC8" w:rsidRDefault="00FA512E" w:rsidP="00FA512E">
            <w:pPr>
              <w:rPr>
                <w:b w:val="0"/>
                <w:bCs w:val="0"/>
              </w:rPr>
            </w:pPr>
            <w:r w:rsidRPr="005F6F22">
              <w:rPr>
                <w:b w:val="0"/>
                <w:bCs w:val="0"/>
              </w:rPr>
              <w:t>Once per cancer diagnosis</w:t>
            </w:r>
          </w:p>
          <w:p w14:paraId="368D34C5" w14:textId="77777777" w:rsidR="00D04169" w:rsidRDefault="00FA512E" w:rsidP="00FA512E">
            <w:pPr>
              <w:pStyle w:val="Tabletextleft"/>
              <w:rPr>
                <w:b/>
                <w:bCs w:val="0"/>
              </w:rPr>
            </w:pPr>
            <w:r w:rsidRPr="00FA512E">
              <w:t>Fee: $1,200.00 Benefit: 75% = $900.00 85% = $1,097.60</w:t>
            </w:r>
            <w:r w:rsidR="00623BC8">
              <w:t>*</w:t>
            </w:r>
          </w:p>
          <w:p w14:paraId="56CE6579" w14:textId="77777777" w:rsidR="002A06F1" w:rsidRDefault="002A06F1" w:rsidP="00FA512E">
            <w:pPr>
              <w:pStyle w:val="Tabletextleft"/>
              <w:rPr>
                <w:bCs w:val="0"/>
              </w:rPr>
            </w:pPr>
          </w:p>
          <w:p w14:paraId="6EE22A31" w14:textId="16F0AE34" w:rsidR="0067478F" w:rsidRPr="00642F20" w:rsidRDefault="0067478F" w:rsidP="00FA512E">
            <w:pPr>
              <w:pStyle w:val="Tabletextleft"/>
              <w:rPr>
                <w:b/>
              </w:rPr>
            </w:pPr>
          </w:p>
        </w:tc>
      </w:tr>
    </w:tbl>
    <w:p w14:paraId="40E9623D" w14:textId="77777777" w:rsidR="005D0C5C" w:rsidRDefault="005D0C5C">
      <w:r>
        <w:rPr>
          <w:b/>
          <w:bCs/>
        </w:rPr>
        <w:br w:type="page"/>
      </w:r>
    </w:p>
    <w:tbl>
      <w:tblPr>
        <w:tblStyle w:val="GridTable4-Accent2"/>
        <w:tblW w:w="0" w:type="auto"/>
        <w:tblLook w:val="04A0" w:firstRow="1" w:lastRow="0" w:firstColumn="1" w:lastColumn="0" w:noHBand="0" w:noVBand="1"/>
      </w:tblPr>
      <w:tblGrid>
        <w:gridCol w:w="9060"/>
      </w:tblGrid>
      <w:tr w:rsidR="00D04169" w:rsidRPr="00D63859" w14:paraId="0CB351A8" w14:textId="77777777" w:rsidTr="00366F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hideMark/>
          </w:tcPr>
          <w:p w14:paraId="58146A74" w14:textId="5D3477EB" w:rsidR="00D04169" w:rsidRPr="00623BC8" w:rsidRDefault="00D04169" w:rsidP="00224F0C">
            <w:r w:rsidRPr="00D63859">
              <w:lastRenderedPageBreak/>
              <w:t>7329</w:t>
            </w:r>
            <w:r w:rsidR="000D33E3" w:rsidRPr="00D63859">
              <w:t>7</w:t>
            </w:r>
          </w:p>
          <w:p w14:paraId="55151AF3" w14:textId="0D85C093" w:rsidR="00D04169" w:rsidRPr="00D63859" w:rsidRDefault="00D04169" w:rsidP="00224F0C">
            <w:pPr>
              <w:rPr>
                <w:b w:val="0"/>
                <w:bCs w:val="0"/>
              </w:rPr>
            </w:pPr>
            <w:r w:rsidRPr="00D63859">
              <w:rPr>
                <w:b w:val="0"/>
                <w:bCs w:val="0"/>
              </w:rPr>
              <w:t>Characterisation of germline gene variants, including copy number variation where appropriate, requested by a specialist or consultant physician:</w:t>
            </w:r>
          </w:p>
          <w:p w14:paraId="0EEA21A9" w14:textId="2D696F30" w:rsidR="00D63859" w:rsidRPr="00D63859" w:rsidRDefault="00D04169" w:rsidP="00D63859">
            <w:pPr>
              <w:pStyle w:val="ListParagraph"/>
              <w:numPr>
                <w:ilvl w:val="0"/>
                <w:numId w:val="43"/>
              </w:numPr>
              <w:rPr>
                <w:b w:val="0"/>
                <w:bCs w:val="0"/>
              </w:rPr>
            </w:pPr>
            <w:r w:rsidRPr="00D63859">
              <w:rPr>
                <w:b w:val="0"/>
                <w:bCs w:val="0"/>
              </w:rPr>
              <w:t xml:space="preserve">in genes associated with breast, ovarian, fallopian tube or primary peritoneal cancer, which </w:t>
            </w:r>
            <w:r w:rsidR="003C65FA">
              <w:rPr>
                <w:b w:val="0"/>
                <w:bCs w:val="0"/>
              </w:rPr>
              <w:t>may include the following genes</w:t>
            </w:r>
            <w:r w:rsidRPr="00D63859">
              <w:rPr>
                <w:b w:val="0"/>
                <w:bCs w:val="0"/>
              </w:rPr>
              <w:t>:</w:t>
            </w:r>
          </w:p>
          <w:p w14:paraId="3114BD1F" w14:textId="40DB4301" w:rsidR="00D63859" w:rsidRPr="00D63859" w:rsidRDefault="00D04169" w:rsidP="00D63859">
            <w:pPr>
              <w:pStyle w:val="ListParagraph"/>
              <w:numPr>
                <w:ilvl w:val="0"/>
                <w:numId w:val="44"/>
              </w:numPr>
              <w:rPr>
                <w:b w:val="0"/>
                <w:bCs w:val="0"/>
              </w:rPr>
            </w:pPr>
            <w:r w:rsidRPr="00065C10">
              <w:rPr>
                <w:b w:val="0"/>
                <w:bCs w:val="0"/>
                <w:i/>
                <w:iCs/>
              </w:rPr>
              <w:t>BRCA1</w:t>
            </w:r>
            <w:r w:rsidRPr="00D63859">
              <w:rPr>
                <w:b w:val="0"/>
                <w:bCs w:val="0"/>
              </w:rPr>
              <w:t xml:space="preserve"> </w:t>
            </w:r>
            <w:r w:rsidR="003C65FA">
              <w:rPr>
                <w:b w:val="0"/>
                <w:bCs w:val="0"/>
              </w:rPr>
              <w:t>or</w:t>
            </w:r>
            <w:r w:rsidRPr="00D63859">
              <w:rPr>
                <w:b w:val="0"/>
                <w:bCs w:val="0"/>
              </w:rPr>
              <w:t xml:space="preserve"> </w:t>
            </w:r>
            <w:proofErr w:type="gramStart"/>
            <w:r w:rsidRPr="00065C10">
              <w:rPr>
                <w:b w:val="0"/>
                <w:bCs w:val="0"/>
                <w:i/>
                <w:iCs/>
              </w:rPr>
              <w:t>BRCA2</w:t>
            </w:r>
            <w:r w:rsidRPr="00D63859">
              <w:rPr>
                <w:b w:val="0"/>
                <w:bCs w:val="0"/>
              </w:rPr>
              <w:t>;</w:t>
            </w:r>
            <w:proofErr w:type="gramEnd"/>
            <w:r w:rsidRPr="00D63859">
              <w:rPr>
                <w:b w:val="0"/>
                <w:bCs w:val="0"/>
              </w:rPr>
              <w:t xml:space="preserve"> </w:t>
            </w:r>
          </w:p>
          <w:p w14:paraId="5F44C47A" w14:textId="25E8D4A3" w:rsidR="00D04169" w:rsidRPr="00366F84" w:rsidRDefault="00D04169" w:rsidP="00D63859">
            <w:pPr>
              <w:pStyle w:val="ListParagraph"/>
              <w:numPr>
                <w:ilvl w:val="0"/>
                <w:numId w:val="44"/>
              </w:numPr>
              <w:rPr>
                <w:b w:val="0"/>
                <w:bCs w:val="0"/>
              </w:rPr>
            </w:pPr>
            <w:r w:rsidRPr="00366F84">
              <w:rPr>
                <w:b w:val="0"/>
                <w:bCs w:val="0"/>
              </w:rPr>
              <w:t>one or more other relevant genes</w:t>
            </w:r>
            <w:r w:rsidR="005F6F22" w:rsidRPr="00366F84">
              <w:rPr>
                <w:b w:val="0"/>
                <w:bCs w:val="0"/>
              </w:rPr>
              <w:t xml:space="preserve">; and </w:t>
            </w:r>
          </w:p>
          <w:p w14:paraId="4917C313" w14:textId="6855A8B0" w:rsidR="00D63859" w:rsidRPr="00366F84" w:rsidRDefault="00D63859" w:rsidP="00D63859">
            <w:pPr>
              <w:pStyle w:val="ListParagraph"/>
              <w:numPr>
                <w:ilvl w:val="0"/>
                <w:numId w:val="43"/>
              </w:numPr>
              <w:rPr>
                <w:b w:val="0"/>
                <w:bCs w:val="0"/>
              </w:rPr>
            </w:pPr>
            <w:r w:rsidRPr="00366F84">
              <w:rPr>
                <w:b w:val="0"/>
                <w:bCs w:val="0"/>
              </w:rPr>
              <w:t xml:space="preserve">in </w:t>
            </w:r>
            <w:r w:rsidR="005F6F22" w:rsidRPr="00366F84">
              <w:rPr>
                <w:b w:val="0"/>
                <w:bCs w:val="0"/>
              </w:rPr>
              <w:t xml:space="preserve">a patient: </w:t>
            </w:r>
          </w:p>
          <w:p w14:paraId="7789A517" w14:textId="41F6D10B" w:rsidR="00D63859" w:rsidRPr="00366F84" w:rsidRDefault="00D63859" w:rsidP="00D63859">
            <w:pPr>
              <w:pStyle w:val="ListParagraph"/>
              <w:numPr>
                <w:ilvl w:val="0"/>
                <w:numId w:val="46"/>
              </w:numPr>
              <w:rPr>
                <w:b w:val="0"/>
                <w:bCs w:val="0"/>
              </w:rPr>
            </w:pPr>
            <w:r w:rsidRPr="00366F84">
              <w:rPr>
                <w:b w:val="0"/>
                <w:bCs w:val="0"/>
              </w:rPr>
              <w:t xml:space="preserve">who has a biological relative who has had a pathogenic or likely pathogenic gene variant identified in one or more of the genes mentioned in paragraph (a); </w:t>
            </w:r>
            <w:r w:rsidR="001744FA" w:rsidRPr="00366F84">
              <w:rPr>
                <w:b w:val="0"/>
                <w:bCs w:val="0"/>
              </w:rPr>
              <w:t>and</w:t>
            </w:r>
          </w:p>
          <w:p w14:paraId="3F78F5B5" w14:textId="0741FD54" w:rsidR="005F6F22" w:rsidRPr="00623BC8" w:rsidRDefault="00D63859" w:rsidP="005F6F22">
            <w:pPr>
              <w:pStyle w:val="ListParagraph"/>
              <w:numPr>
                <w:ilvl w:val="0"/>
                <w:numId w:val="46"/>
              </w:numPr>
              <w:rPr>
                <w:b w:val="0"/>
                <w:bCs w:val="0"/>
              </w:rPr>
            </w:pPr>
            <w:r w:rsidRPr="00D63859">
              <w:rPr>
                <w:b w:val="0"/>
                <w:bCs w:val="0"/>
              </w:rPr>
              <w:t>who has not previously received a service to which item 73295, 73296 or 73302 applies</w:t>
            </w:r>
          </w:p>
          <w:p w14:paraId="6C55941A" w14:textId="3B996845" w:rsidR="00623BC8" w:rsidRPr="00623BC8" w:rsidRDefault="005F6F22" w:rsidP="005F6F22">
            <w:r w:rsidRPr="00D63859">
              <w:rPr>
                <w:b w:val="0"/>
                <w:bCs w:val="0"/>
              </w:rPr>
              <w:t xml:space="preserve">Once per </w:t>
            </w:r>
            <w:r w:rsidR="00D63859" w:rsidRPr="00D63859">
              <w:rPr>
                <w:b w:val="0"/>
                <w:bCs w:val="0"/>
              </w:rPr>
              <w:t>variant</w:t>
            </w:r>
            <w:r w:rsidRPr="00D63859">
              <w:rPr>
                <w:b w:val="0"/>
                <w:bCs w:val="0"/>
              </w:rPr>
              <w:t xml:space="preserve"> </w:t>
            </w:r>
          </w:p>
          <w:p w14:paraId="6BA0A3A8" w14:textId="59775A75" w:rsidR="00D04169" w:rsidRPr="00D63859" w:rsidRDefault="005F6F22" w:rsidP="005F6F22">
            <w:pPr>
              <w:rPr>
                <w:b w:val="0"/>
                <w:bCs w:val="0"/>
              </w:rPr>
            </w:pPr>
            <w:r w:rsidRPr="00D63859">
              <w:rPr>
                <w:b w:val="0"/>
                <w:bCs w:val="0"/>
              </w:rPr>
              <w:t>Fee: $</w:t>
            </w:r>
            <w:r w:rsidR="009D36F5">
              <w:rPr>
                <w:b w:val="0"/>
                <w:bCs w:val="0"/>
              </w:rPr>
              <w:t>400</w:t>
            </w:r>
            <w:r w:rsidRPr="00D63859">
              <w:rPr>
                <w:b w:val="0"/>
                <w:bCs w:val="0"/>
              </w:rPr>
              <w:t>.00 Benefit: 75% = $</w:t>
            </w:r>
            <w:r w:rsidR="009D36F5">
              <w:rPr>
                <w:b w:val="0"/>
                <w:bCs w:val="0"/>
              </w:rPr>
              <w:t>3</w:t>
            </w:r>
            <w:r w:rsidRPr="00D63859">
              <w:rPr>
                <w:b w:val="0"/>
                <w:bCs w:val="0"/>
              </w:rPr>
              <w:t>00.00 85% = $</w:t>
            </w:r>
            <w:r w:rsidR="009D36F5">
              <w:rPr>
                <w:b w:val="0"/>
                <w:bCs w:val="0"/>
              </w:rPr>
              <w:t>340.00</w:t>
            </w:r>
          </w:p>
        </w:tc>
      </w:tr>
    </w:tbl>
    <w:p w14:paraId="016F1A95" w14:textId="77777777" w:rsidR="000D33E3" w:rsidRDefault="000D33E3" w:rsidP="000D33E3">
      <w:pPr>
        <w:rPr>
          <w:sz w:val="18"/>
          <w:szCs w:val="20"/>
        </w:rPr>
      </w:pPr>
      <w:r w:rsidRPr="008B0D6B">
        <w:rPr>
          <w:sz w:val="18"/>
          <w:szCs w:val="20"/>
        </w:rPr>
        <w:t xml:space="preserve">*subject to Greatest Permissible Gap. </w:t>
      </w:r>
    </w:p>
    <w:p w14:paraId="2F4BAAA6" w14:textId="77777777" w:rsidR="00D04169" w:rsidRDefault="00D04169" w:rsidP="00BE3ED5">
      <w:pPr>
        <w:rPr>
          <w:sz w:val="18"/>
          <w:szCs w:val="20"/>
        </w:rPr>
      </w:pPr>
    </w:p>
    <w:p w14:paraId="51AD0969" w14:textId="77777777" w:rsidR="008B0D6B" w:rsidRDefault="008B0D6B"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Sect="00B53987">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20B7" w14:textId="77777777" w:rsidR="009B38DD" w:rsidRDefault="009B38DD" w:rsidP="006B56BB">
      <w:r>
        <w:separator/>
      </w:r>
    </w:p>
    <w:p w14:paraId="13B3D251" w14:textId="77777777" w:rsidR="009B38DD" w:rsidRDefault="009B38DD"/>
  </w:endnote>
  <w:endnote w:type="continuationSeparator" w:id="0">
    <w:p w14:paraId="0CDC7C74" w14:textId="77777777" w:rsidR="009B38DD" w:rsidRDefault="009B38DD" w:rsidP="006B56BB">
      <w:r>
        <w:continuationSeparator/>
      </w:r>
    </w:p>
    <w:p w14:paraId="019F2538" w14:textId="77777777" w:rsidR="009B38DD" w:rsidRDefault="009B38DD"/>
  </w:endnote>
  <w:endnote w:type="continuationNotice" w:id="1">
    <w:p w14:paraId="6FAD72AE" w14:textId="77777777" w:rsidR="009B38DD" w:rsidRDefault="009B3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EC625E" w:rsidP="00F51321">
    <w:pPr>
      <w:pStyle w:val="Footer"/>
      <w:jc w:val="left"/>
      <w:rPr>
        <w:szCs w:val="20"/>
      </w:rPr>
    </w:pPr>
    <w:r>
      <w:rPr>
        <w:rStyle w:val="BookTitle"/>
        <w:rFonts w:eastAsiaTheme="minorEastAsia"/>
        <w:noProof/>
      </w:rPr>
      <w:pict w14:anchorId="79578A0C">
        <v:rect id="_x0000_i1060" style="width:523.3pt;height:1.9pt" o:hralign="center" o:hrstd="t" o:hr="t" fillcolor="#a0a0a0" stroked="f"/>
      </w:pict>
    </w:r>
    <w:r w:rsidR="00F51321" w:rsidRPr="00BD1D77">
      <w:rPr>
        <w:szCs w:val="20"/>
      </w:rPr>
      <w:t>Medicare Benefits Schedule</w:t>
    </w:r>
  </w:p>
  <w:p w14:paraId="1EBE15CC" w14:textId="21FC1305" w:rsidR="00F51321" w:rsidRPr="00BD1D77" w:rsidRDefault="00E53B5C" w:rsidP="003D742D">
    <w:pPr>
      <w:pStyle w:val="Footer"/>
      <w:tabs>
        <w:tab w:val="clear" w:pos="9026"/>
        <w:tab w:val="right" w:pos="10466"/>
      </w:tabs>
      <w:jc w:val="left"/>
      <w:rPr>
        <w:szCs w:val="20"/>
      </w:rPr>
    </w:pPr>
    <w:r>
      <w:rPr>
        <w:b/>
        <w:szCs w:val="20"/>
      </w:rPr>
      <w:t>Amendment</w:t>
    </w:r>
    <w:r w:rsidRPr="003D742D">
      <w:rPr>
        <w:b/>
        <w:szCs w:val="20"/>
      </w:rPr>
      <w:t xml:space="preserve"> of MBS item</w:t>
    </w:r>
    <w:r>
      <w:rPr>
        <w:b/>
        <w:szCs w:val="20"/>
      </w:rPr>
      <w:t>s</w:t>
    </w:r>
    <w:r w:rsidRPr="003D742D">
      <w:rPr>
        <w:b/>
        <w:szCs w:val="20"/>
      </w:rPr>
      <w:t xml:space="preserve"> 7329</w:t>
    </w:r>
    <w:r>
      <w:rPr>
        <w:b/>
        <w:szCs w:val="20"/>
      </w:rPr>
      <w:t>6 and 73297</w:t>
    </w:r>
    <w:r w:rsidRPr="003D742D">
      <w:rPr>
        <w:b/>
        <w:szCs w:val="20"/>
      </w:rPr>
      <w:t xml:space="preserve"> for </w:t>
    </w:r>
    <w:r w:rsidRPr="00251B76">
      <w:rPr>
        <w:b/>
        <w:i/>
        <w:iCs/>
        <w:szCs w:val="20"/>
      </w:rPr>
      <w:t>BRCA</w:t>
    </w:r>
    <w:r w:rsidRPr="003D742D">
      <w:rPr>
        <w:b/>
        <w:szCs w:val="20"/>
      </w:rPr>
      <w:t xml:space="preserve"> </w:t>
    </w:r>
    <w:r>
      <w:rPr>
        <w:b/>
        <w:szCs w:val="20"/>
      </w:rPr>
      <w:t xml:space="preserve">and other relevant genetic </w:t>
    </w:r>
    <w:r w:rsidR="00623F58">
      <w:rPr>
        <w:b/>
        <w:szCs w:val="20"/>
      </w:rPr>
      <w:t xml:space="preserve">variant </w:t>
    </w:r>
    <w:r w:rsidRPr="003D742D">
      <w:rPr>
        <w:b/>
        <w:szCs w:val="20"/>
      </w:rPr>
      <w:t xml:space="preserve">testing </w:t>
    </w:r>
    <w:r>
      <w:rPr>
        <w:b/>
        <w:szCs w:val="20"/>
      </w:rPr>
      <w:t xml:space="preserve">in patients at a greater risk of BRCA-related ovarian, fallopian tube, primary peritoneal or breast cancer due to family history </w:t>
    </w:r>
    <w:r w:rsidR="003D742D" w:rsidRPr="003D742D">
      <w:rPr>
        <w:b/>
        <w:szCs w:val="20"/>
      </w:rPr>
      <w:t>–</w:t>
    </w:r>
    <w:r w:rsidR="003D742D" w:rsidRPr="00BD1D77">
      <w:rPr>
        <w:b/>
        <w:szCs w:val="20"/>
      </w:rPr>
      <w:t xml:space="preserve"> Factsheet</w:t>
    </w:r>
    <w:r w:rsidR="003D742D"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1BEFA526" w:rsidR="00CB03B8" w:rsidRPr="00F51321" w:rsidRDefault="00F51321" w:rsidP="00292535">
    <w:pPr>
      <w:pStyle w:val="Footer"/>
      <w:jc w:val="left"/>
    </w:pPr>
    <w:r w:rsidRPr="00BD1D77">
      <w:rPr>
        <w:szCs w:val="20"/>
      </w:rPr>
      <w:t xml:space="preserve">Last updated – </w:t>
    </w:r>
    <w:r w:rsidR="00A76552">
      <w:rPr>
        <w:szCs w:val="20"/>
      </w:rPr>
      <w:t>25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EC625E"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7FCBA0D1" w:rsidR="00064168" w:rsidRPr="00BD1D77" w:rsidRDefault="008A1CF2" w:rsidP="003D742D">
    <w:pPr>
      <w:pStyle w:val="Footer"/>
      <w:tabs>
        <w:tab w:val="clear" w:pos="9026"/>
        <w:tab w:val="right" w:pos="10466"/>
      </w:tabs>
      <w:jc w:val="left"/>
      <w:rPr>
        <w:szCs w:val="20"/>
      </w:rPr>
    </w:pPr>
    <w:r>
      <w:rPr>
        <w:b/>
        <w:szCs w:val="20"/>
      </w:rPr>
      <w:t>Amendment</w:t>
    </w:r>
    <w:r w:rsidR="003D742D" w:rsidRPr="003D742D">
      <w:rPr>
        <w:b/>
        <w:szCs w:val="20"/>
      </w:rPr>
      <w:t xml:space="preserve"> of MBS item</w:t>
    </w:r>
    <w:r>
      <w:rPr>
        <w:b/>
        <w:szCs w:val="20"/>
      </w:rPr>
      <w:t>s</w:t>
    </w:r>
    <w:r w:rsidR="003D742D" w:rsidRPr="003D742D">
      <w:rPr>
        <w:b/>
        <w:szCs w:val="20"/>
      </w:rPr>
      <w:t xml:space="preserve"> 7329</w:t>
    </w:r>
    <w:r w:rsidR="00D25894">
      <w:rPr>
        <w:b/>
        <w:szCs w:val="20"/>
      </w:rPr>
      <w:t>6 and 73297</w:t>
    </w:r>
    <w:r w:rsidR="003D742D" w:rsidRPr="003D742D">
      <w:rPr>
        <w:b/>
        <w:szCs w:val="20"/>
      </w:rPr>
      <w:t xml:space="preserve"> for </w:t>
    </w:r>
    <w:r w:rsidR="003D742D" w:rsidRPr="00251B76">
      <w:rPr>
        <w:b/>
        <w:i/>
        <w:iCs/>
        <w:szCs w:val="20"/>
      </w:rPr>
      <w:t>BRCA</w:t>
    </w:r>
    <w:r w:rsidR="003D742D" w:rsidRPr="003D742D">
      <w:rPr>
        <w:b/>
        <w:szCs w:val="20"/>
      </w:rPr>
      <w:t xml:space="preserve"> </w:t>
    </w:r>
    <w:r>
      <w:rPr>
        <w:b/>
        <w:szCs w:val="20"/>
      </w:rPr>
      <w:t xml:space="preserve">and other relevant genetic </w:t>
    </w:r>
    <w:r w:rsidR="00623BC8">
      <w:rPr>
        <w:b/>
        <w:szCs w:val="20"/>
      </w:rPr>
      <w:t xml:space="preserve">variant </w:t>
    </w:r>
    <w:r w:rsidR="003D742D" w:rsidRPr="003D742D">
      <w:rPr>
        <w:b/>
        <w:szCs w:val="20"/>
      </w:rPr>
      <w:t xml:space="preserve">testing </w:t>
    </w:r>
    <w:r w:rsidR="00E53B5C">
      <w:rPr>
        <w:b/>
        <w:szCs w:val="20"/>
      </w:rPr>
      <w:t>in patients at a greater risk of BRCA-related ovarian, fallopian tube, primary peritoneal or breast cancer due to family history</w:t>
    </w:r>
    <w:r w:rsidR="003D742D">
      <w:rPr>
        <w:b/>
        <w:szCs w:val="20"/>
      </w:rPr>
      <w:t xml:space="preserve"> </w:t>
    </w:r>
    <w:r w:rsidR="003D742D" w:rsidRPr="003D742D">
      <w:rPr>
        <w:b/>
        <w:szCs w:val="20"/>
      </w:rPr>
      <w:t>–</w:t>
    </w:r>
    <w:r w:rsidR="00064168" w:rsidRPr="00BD1D77">
      <w:rPr>
        <w:b/>
        <w:szCs w:val="20"/>
      </w:rPr>
      <w:t xml:space="preserve">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2964AB57" w14:textId="4BF860F6" w:rsidR="00CB03B8" w:rsidRPr="00064168" w:rsidRDefault="00064168" w:rsidP="0011225E">
    <w:pPr>
      <w:pStyle w:val="Footer"/>
      <w:jc w:val="left"/>
    </w:pPr>
    <w:r w:rsidRPr="00BD1D77">
      <w:rPr>
        <w:szCs w:val="20"/>
      </w:rPr>
      <w:t>Last updated –</w:t>
    </w:r>
    <w:r w:rsidR="0011225E">
      <w:rPr>
        <w:szCs w:val="20"/>
      </w:rPr>
      <w:t xml:space="preserve"> </w:t>
    </w:r>
    <w:r w:rsidR="002E07B1" w:rsidRPr="002E07B1">
      <w:rPr>
        <w:szCs w:val="20"/>
      </w:rPr>
      <w:t>25 February</w:t>
    </w:r>
    <w:r w:rsidR="0011225E" w:rsidRPr="002E07B1">
      <w:rPr>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9199" w14:textId="77777777" w:rsidR="009B38DD" w:rsidRDefault="009B38DD" w:rsidP="006B56BB">
      <w:r>
        <w:separator/>
      </w:r>
    </w:p>
    <w:p w14:paraId="46597937" w14:textId="77777777" w:rsidR="009B38DD" w:rsidRDefault="009B38DD"/>
  </w:footnote>
  <w:footnote w:type="continuationSeparator" w:id="0">
    <w:p w14:paraId="27332AAD" w14:textId="77777777" w:rsidR="009B38DD" w:rsidRDefault="009B38DD" w:rsidP="006B56BB">
      <w:r>
        <w:continuationSeparator/>
      </w:r>
    </w:p>
    <w:p w14:paraId="70F8EEC2" w14:textId="77777777" w:rsidR="009B38DD" w:rsidRDefault="009B38DD"/>
  </w:footnote>
  <w:footnote w:type="continuationNotice" w:id="1">
    <w:p w14:paraId="44EB30E4" w14:textId="77777777" w:rsidR="009B38DD" w:rsidRDefault="009B3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2030955604" name="Picture 2030955604"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772"/>
        </w:tabs>
        <w:ind w:left="77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30243F"/>
    <w:multiLevelType w:val="hybridMultilevel"/>
    <w:tmpl w:val="5F2EF7E2"/>
    <w:lvl w:ilvl="0" w:tplc="5218B1D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7536C5"/>
    <w:multiLevelType w:val="hybridMultilevel"/>
    <w:tmpl w:val="2B3E402C"/>
    <w:lvl w:ilvl="0" w:tplc="58F65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FD67BC"/>
    <w:multiLevelType w:val="hybridMultilevel"/>
    <w:tmpl w:val="11F2E764"/>
    <w:lvl w:ilvl="0" w:tplc="40AA4DB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14C48A0"/>
    <w:multiLevelType w:val="hybridMultilevel"/>
    <w:tmpl w:val="8B8A9172"/>
    <w:lvl w:ilvl="0" w:tplc="8BA81CC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E35A91"/>
    <w:multiLevelType w:val="hybridMultilevel"/>
    <w:tmpl w:val="A634C0CC"/>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C23136"/>
    <w:multiLevelType w:val="hybridMultilevel"/>
    <w:tmpl w:val="1B52877C"/>
    <w:lvl w:ilvl="0" w:tplc="A09AA4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0A861AE"/>
    <w:multiLevelType w:val="hybridMultilevel"/>
    <w:tmpl w:val="5902F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72325B"/>
    <w:multiLevelType w:val="hybridMultilevel"/>
    <w:tmpl w:val="212859C4"/>
    <w:lvl w:ilvl="0" w:tplc="5CEEB45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33668DA"/>
    <w:multiLevelType w:val="hybridMultilevel"/>
    <w:tmpl w:val="23EED0A4"/>
    <w:lvl w:ilvl="0" w:tplc="2692F8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C8281C"/>
    <w:multiLevelType w:val="hybridMultilevel"/>
    <w:tmpl w:val="5BA8CFA2"/>
    <w:lvl w:ilvl="0" w:tplc="46E06112">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4F650FC4"/>
    <w:multiLevelType w:val="hybridMultilevel"/>
    <w:tmpl w:val="796248C2"/>
    <w:lvl w:ilvl="0" w:tplc="5042647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0363D0"/>
    <w:multiLevelType w:val="hybridMultilevel"/>
    <w:tmpl w:val="FC222CC4"/>
    <w:lvl w:ilvl="0" w:tplc="28909BC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77D31CB"/>
    <w:multiLevelType w:val="hybridMultilevel"/>
    <w:tmpl w:val="673011F2"/>
    <w:lvl w:ilvl="0" w:tplc="62C22762">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1F0AD9"/>
    <w:multiLevelType w:val="hybridMultilevel"/>
    <w:tmpl w:val="2C18EE3C"/>
    <w:lvl w:ilvl="0" w:tplc="5388D7B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344A36"/>
    <w:multiLevelType w:val="hybridMultilevel"/>
    <w:tmpl w:val="41E2D784"/>
    <w:lvl w:ilvl="0" w:tplc="84C0523C">
      <w:start w:val="2"/>
      <w:numFmt w:val="bullet"/>
      <w:lvlText w:val=""/>
      <w:lvlJc w:val="left"/>
      <w:pPr>
        <w:ind w:left="1080" w:hanging="720"/>
      </w:pPr>
      <w:rPr>
        <w:rFonts w:ascii="Symbol" w:eastAsiaTheme="majorEastAsia" w:hAnsi="Symbol"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7F2D41F2"/>
    <w:multiLevelType w:val="hybridMultilevel"/>
    <w:tmpl w:val="439627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144784398">
    <w:abstractNumId w:val="7"/>
  </w:num>
  <w:num w:numId="2" w16cid:durableId="320935821">
    <w:abstractNumId w:val="28"/>
  </w:num>
  <w:num w:numId="3" w16cid:durableId="1161390217">
    <w:abstractNumId w:val="33"/>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25"/>
  </w:num>
  <w:num w:numId="8" w16cid:durableId="565603559">
    <w:abstractNumId w:val="3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35"/>
  </w:num>
  <w:num w:numId="17" w16cid:durableId="2113471318">
    <w:abstractNumId w:val="15"/>
  </w:num>
  <w:num w:numId="18" w16cid:durableId="828592903">
    <w:abstractNumId w:val="17"/>
  </w:num>
  <w:num w:numId="19" w16cid:durableId="1273391997">
    <w:abstractNumId w:val="24"/>
  </w:num>
  <w:num w:numId="20" w16cid:durableId="2041469188">
    <w:abstractNumId w:val="15"/>
  </w:num>
  <w:num w:numId="21" w16cid:durableId="120997448">
    <w:abstractNumId w:val="24"/>
  </w:num>
  <w:num w:numId="22" w16cid:durableId="1088427743">
    <w:abstractNumId w:val="35"/>
  </w:num>
  <w:num w:numId="23" w16cid:durableId="111368400">
    <w:abstractNumId w:val="28"/>
  </w:num>
  <w:num w:numId="24" w16cid:durableId="815339056">
    <w:abstractNumId w:val="33"/>
  </w:num>
  <w:num w:numId="25" w16cid:durableId="743180995">
    <w:abstractNumId w:val="8"/>
  </w:num>
  <w:num w:numId="26" w16cid:durableId="320358050">
    <w:abstractNumId w:val="27"/>
  </w:num>
  <w:num w:numId="27" w16cid:durableId="508569404">
    <w:abstractNumId w:val="16"/>
  </w:num>
  <w:num w:numId="28" w16cid:durableId="1416364898">
    <w:abstractNumId w:val="19"/>
  </w:num>
  <w:num w:numId="29" w16cid:durableId="100344043">
    <w:abstractNumId w:val="12"/>
  </w:num>
  <w:num w:numId="30" w16cid:durableId="1575821124">
    <w:abstractNumId w:val="16"/>
  </w:num>
  <w:num w:numId="31" w16cid:durableId="355278724">
    <w:abstractNumId w:val="36"/>
  </w:num>
  <w:num w:numId="32" w16cid:durableId="540748062">
    <w:abstractNumId w:val="20"/>
  </w:num>
  <w:num w:numId="33" w16cid:durableId="668485137">
    <w:abstractNumId w:val="16"/>
  </w:num>
  <w:num w:numId="34" w16cid:durableId="1052383561">
    <w:abstractNumId w:val="34"/>
  </w:num>
  <w:num w:numId="35" w16cid:durableId="32004599">
    <w:abstractNumId w:val="23"/>
  </w:num>
  <w:num w:numId="36" w16cid:durableId="1375736903">
    <w:abstractNumId w:val="31"/>
  </w:num>
  <w:num w:numId="37" w16cid:durableId="2094354210">
    <w:abstractNumId w:val="29"/>
  </w:num>
  <w:num w:numId="38" w16cid:durableId="324208575">
    <w:abstractNumId w:val="18"/>
  </w:num>
  <w:num w:numId="39" w16cid:durableId="108282851">
    <w:abstractNumId w:val="21"/>
  </w:num>
  <w:num w:numId="40" w16cid:durableId="727849635">
    <w:abstractNumId w:val="22"/>
  </w:num>
  <w:num w:numId="41" w16cid:durableId="554505794">
    <w:abstractNumId w:val="13"/>
  </w:num>
  <w:num w:numId="42" w16cid:durableId="1153447013">
    <w:abstractNumId w:val="14"/>
  </w:num>
  <w:num w:numId="43" w16cid:durableId="983703778">
    <w:abstractNumId w:val="11"/>
  </w:num>
  <w:num w:numId="44" w16cid:durableId="809711530">
    <w:abstractNumId w:val="26"/>
  </w:num>
  <w:num w:numId="45" w16cid:durableId="565607309">
    <w:abstractNumId w:val="30"/>
  </w:num>
  <w:num w:numId="46" w16cid:durableId="1251620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3E7E"/>
    <w:rsid w:val="000047B4"/>
    <w:rsid w:val="00005712"/>
    <w:rsid w:val="00007FD8"/>
    <w:rsid w:val="000117F8"/>
    <w:rsid w:val="0001460F"/>
    <w:rsid w:val="000154AB"/>
    <w:rsid w:val="00021E1C"/>
    <w:rsid w:val="00022629"/>
    <w:rsid w:val="00024509"/>
    <w:rsid w:val="00024DFE"/>
    <w:rsid w:val="00026139"/>
    <w:rsid w:val="00026BA7"/>
    <w:rsid w:val="00027601"/>
    <w:rsid w:val="0002783F"/>
    <w:rsid w:val="00033321"/>
    <w:rsid w:val="000338E5"/>
    <w:rsid w:val="00033ECC"/>
    <w:rsid w:val="0003422F"/>
    <w:rsid w:val="0004576E"/>
    <w:rsid w:val="00046FF0"/>
    <w:rsid w:val="00050176"/>
    <w:rsid w:val="00050342"/>
    <w:rsid w:val="00056A81"/>
    <w:rsid w:val="00057844"/>
    <w:rsid w:val="00060FB7"/>
    <w:rsid w:val="00063B0D"/>
    <w:rsid w:val="00064168"/>
    <w:rsid w:val="00065C10"/>
    <w:rsid w:val="00067456"/>
    <w:rsid w:val="00071506"/>
    <w:rsid w:val="0007154F"/>
    <w:rsid w:val="00071662"/>
    <w:rsid w:val="00071DA7"/>
    <w:rsid w:val="00080BAC"/>
    <w:rsid w:val="00081AB1"/>
    <w:rsid w:val="00084BE4"/>
    <w:rsid w:val="00086146"/>
    <w:rsid w:val="00087D74"/>
    <w:rsid w:val="00090316"/>
    <w:rsid w:val="00093981"/>
    <w:rsid w:val="00096006"/>
    <w:rsid w:val="000A27FA"/>
    <w:rsid w:val="000A48F1"/>
    <w:rsid w:val="000A4D58"/>
    <w:rsid w:val="000A524A"/>
    <w:rsid w:val="000A7397"/>
    <w:rsid w:val="000B067A"/>
    <w:rsid w:val="000B1540"/>
    <w:rsid w:val="000B1E53"/>
    <w:rsid w:val="000B2849"/>
    <w:rsid w:val="000B3173"/>
    <w:rsid w:val="000B33FD"/>
    <w:rsid w:val="000B4ABA"/>
    <w:rsid w:val="000C0475"/>
    <w:rsid w:val="000C4B16"/>
    <w:rsid w:val="000C50C3"/>
    <w:rsid w:val="000C5E14"/>
    <w:rsid w:val="000D1078"/>
    <w:rsid w:val="000D21F6"/>
    <w:rsid w:val="000D33E3"/>
    <w:rsid w:val="000D4500"/>
    <w:rsid w:val="000D7AEA"/>
    <w:rsid w:val="000E12DE"/>
    <w:rsid w:val="000E2C66"/>
    <w:rsid w:val="000E31EA"/>
    <w:rsid w:val="000E689D"/>
    <w:rsid w:val="000F123C"/>
    <w:rsid w:val="000F2FED"/>
    <w:rsid w:val="000F7DA8"/>
    <w:rsid w:val="0010616D"/>
    <w:rsid w:val="00110478"/>
    <w:rsid w:val="00111901"/>
    <w:rsid w:val="0011225E"/>
    <w:rsid w:val="00113481"/>
    <w:rsid w:val="0011711B"/>
    <w:rsid w:val="00117F8A"/>
    <w:rsid w:val="001210F8"/>
    <w:rsid w:val="00121B9B"/>
    <w:rsid w:val="00122ADC"/>
    <w:rsid w:val="001245EF"/>
    <w:rsid w:val="00130E53"/>
    <w:rsid w:val="00130F59"/>
    <w:rsid w:val="00133EC0"/>
    <w:rsid w:val="00141CE5"/>
    <w:rsid w:val="00144908"/>
    <w:rsid w:val="00146DCA"/>
    <w:rsid w:val="001477D8"/>
    <w:rsid w:val="00156D96"/>
    <w:rsid w:val="001571C7"/>
    <w:rsid w:val="00161094"/>
    <w:rsid w:val="00161152"/>
    <w:rsid w:val="001622C2"/>
    <w:rsid w:val="001740FB"/>
    <w:rsid w:val="001744FA"/>
    <w:rsid w:val="0017665C"/>
    <w:rsid w:val="00177AD2"/>
    <w:rsid w:val="00177E40"/>
    <w:rsid w:val="001815A8"/>
    <w:rsid w:val="001840FA"/>
    <w:rsid w:val="00190079"/>
    <w:rsid w:val="0019120F"/>
    <w:rsid w:val="0019622E"/>
    <w:rsid w:val="001966A7"/>
    <w:rsid w:val="0019761F"/>
    <w:rsid w:val="001A0687"/>
    <w:rsid w:val="001A2646"/>
    <w:rsid w:val="001A4627"/>
    <w:rsid w:val="001A4979"/>
    <w:rsid w:val="001A599A"/>
    <w:rsid w:val="001A6909"/>
    <w:rsid w:val="001B1496"/>
    <w:rsid w:val="001B15D3"/>
    <w:rsid w:val="001B331F"/>
    <w:rsid w:val="001B3443"/>
    <w:rsid w:val="001B6163"/>
    <w:rsid w:val="001C0326"/>
    <w:rsid w:val="001C192F"/>
    <w:rsid w:val="001C3127"/>
    <w:rsid w:val="001C3C42"/>
    <w:rsid w:val="001C6AA6"/>
    <w:rsid w:val="001D2B6B"/>
    <w:rsid w:val="001D7869"/>
    <w:rsid w:val="001F4E08"/>
    <w:rsid w:val="00201318"/>
    <w:rsid w:val="002026CD"/>
    <w:rsid w:val="00202BE2"/>
    <w:rsid w:val="002033FC"/>
    <w:rsid w:val="002044BB"/>
    <w:rsid w:val="00210B09"/>
    <w:rsid w:val="00210C9E"/>
    <w:rsid w:val="00211840"/>
    <w:rsid w:val="002143F8"/>
    <w:rsid w:val="00215CA0"/>
    <w:rsid w:val="00217A0E"/>
    <w:rsid w:val="00220E5F"/>
    <w:rsid w:val="002212B5"/>
    <w:rsid w:val="00224EEF"/>
    <w:rsid w:val="0022628D"/>
    <w:rsid w:val="00226668"/>
    <w:rsid w:val="0023049D"/>
    <w:rsid w:val="00231A99"/>
    <w:rsid w:val="00233809"/>
    <w:rsid w:val="00237A42"/>
    <w:rsid w:val="00240046"/>
    <w:rsid w:val="00242D68"/>
    <w:rsid w:val="00244850"/>
    <w:rsid w:val="00245CC6"/>
    <w:rsid w:val="0024650C"/>
    <w:rsid w:val="0024797F"/>
    <w:rsid w:val="0025119E"/>
    <w:rsid w:val="00251269"/>
    <w:rsid w:val="002518C9"/>
    <w:rsid w:val="00251B76"/>
    <w:rsid w:val="002535C0"/>
    <w:rsid w:val="002579FE"/>
    <w:rsid w:val="00260552"/>
    <w:rsid w:val="00260C82"/>
    <w:rsid w:val="0026285A"/>
    <w:rsid w:val="0026311C"/>
    <w:rsid w:val="0026668C"/>
    <w:rsid w:val="00266AC1"/>
    <w:rsid w:val="0027178C"/>
    <w:rsid w:val="00271954"/>
    <w:rsid w:val="002719FA"/>
    <w:rsid w:val="00272668"/>
    <w:rsid w:val="0027330B"/>
    <w:rsid w:val="00275990"/>
    <w:rsid w:val="00275B58"/>
    <w:rsid w:val="00276CB4"/>
    <w:rsid w:val="002803AD"/>
    <w:rsid w:val="00282052"/>
    <w:rsid w:val="002831A3"/>
    <w:rsid w:val="0028519E"/>
    <w:rsid w:val="002856A5"/>
    <w:rsid w:val="002872ED"/>
    <w:rsid w:val="00290055"/>
    <w:rsid w:val="002905C2"/>
    <w:rsid w:val="002915C8"/>
    <w:rsid w:val="00292535"/>
    <w:rsid w:val="00294628"/>
    <w:rsid w:val="00295AF2"/>
    <w:rsid w:val="00295C91"/>
    <w:rsid w:val="00297151"/>
    <w:rsid w:val="002A06F1"/>
    <w:rsid w:val="002A49D4"/>
    <w:rsid w:val="002B20E6"/>
    <w:rsid w:val="002B42A3"/>
    <w:rsid w:val="002B7E1D"/>
    <w:rsid w:val="002C0CDD"/>
    <w:rsid w:val="002C2B7C"/>
    <w:rsid w:val="002C38C4"/>
    <w:rsid w:val="002C46AA"/>
    <w:rsid w:val="002C5A02"/>
    <w:rsid w:val="002D65A2"/>
    <w:rsid w:val="002E07B1"/>
    <w:rsid w:val="002E1A1D"/>
    <w:rsid w:val="002E35D9"/>
    <w:rsid w:val="002E4081"/>
    <w:rsid w:val="002E5B78"/>
    <w:rsid w:val="002F0209"/>
    <w:rsid w:val="002F3AE3"/>
    <w:rsid w:val="002F45E1"/>
    <w:rsid w:val="00303809"/>
    <w:rsid w:val="003038EF"/>
    <w:rsid w:val="00303BC5"/>
    <w:rsid w:val="0030464B"/>
    <w:rsid w:val="0030786C"/>
    <w:rsid w:val="00317B29"/>
    <w:rsid w:val="003233DE"/>
    <w:rsid w:val="00323828"/>
    <w:rsid w:val="00324442"/>
    <w:rsid w:val="0032466B"/>
    <w:rsid w:val="003330EB"/>
    <w:rsid w:val="00333C73"/>
    <w:rsid w:val="003379D0"/>
    <w:rsid w:val="003415FD"/>
    <w:rsid w:val="003429F0"/>
    <w:rsid w:val="00342C6B"/>
    <w:rsid w:val="00345A82"/>
    <w:rsid w:val="003476C8"/>
    <w:rsid w:val="0035097A"/>
    <w:rsid w:val="003540A4"/>
    <w:rsid w:val="00357BCC"/>
    <w:rsid w:val="00360E4E"/>
    <w:rsid w:val="00366F84"/>
    <w:rsid w:val="00370AAA"/>
    <w:rsid w:val="00375F77"/>
    <w:rsid w:val="00381BBE"/>
    <w:rsid w:val="00382903"/>
    <w:rsid w:val="003832F8"/>
    <w:rsid w:val="003846FF"/>
    <w:rsid w:val="003857D4"/>
    <w:rsid w:val="00385A17"/>
    <w:rsid w:val="00385AD4"/>
    <w:rsid w:val="00385C01"/>
    <w:rsid w:val="00387924"/>
    <w:rsid w:val="0039384D"/>
    <w:rsid w:val="003949F7"/>
    <w:rsid w:val="00395C23"/>
    <w:rsid w:val="003A0F04"/>
    <w:rsid w:val="003A2E4F"/>
    <w:rsid w:val="003A4438"/>
    <w:rsid w:val="003A5013"/>
    <w:rsid w:val="003A5078"/>
    <w:rsid w:val="003A62DD"/>
    <w:rsid w:val="003A775A"/>
    <w:rsid w:val="003B213A"/>
    <w:rsid w:val="003B4037"/>
    <w:rsid w:val="003B43AD"/>
    <w:rsid w:val="003B64E9"/>
    <w:rsid w:val="003C0FEC"/>
    <w:rsid w:val="003C1D3F"/>
    <w:rsid w:val="003C2AC8"/>
    <w:rsid w:val="003C65FA"/>
    <w:rsid w:val="003D033A"/>
    <w:rsid w:val="003D17F9"/>
    <w:rsid w:val="003D2D88"/>
    <w:rsid w:val="003D419D"/>
    <w:rsid w:val="003D41EA"/>
    <w:rsid w:val="003D4850"/>
    <w:rsid w:val="003D535A"/>
    <w:rsid w:val="003D742D"/>
    <w:rsid w:val="003E5265"/>
    <w:rsid w:val="003E599B"/>
    <w:rsid w:val="003F0955"/>
    <w:rsid w:val="003F0F91"/>
    <w:rsid w:val="003F5F4D"/>
    <w:rsid w:val="003F646F"/>
    <w:rsid w:val="004004E2"/>
    <w:rsid w:val="00400F00"/>
    <w:rsid w:val="00404F8B"/>
    <w:rsid w:val="00405256"/>
    <w:rsid w:val="00405ADD"/>
    <w:rsid w:val="00410031"/>
    <w:rsid w:val="00415C81"/>
    <w:rsid w:val="00416007"/>
    <w:rsid w:val="004165A0"/>
    <w:rsid w:val="00421022"/>
    <w:rsid w:val="004233A0"/>
    <w:rsid w:val="00432378"/>
    <w:rsid w:val="00434BAF"/>
    <w:rsid w:val="00440D65"/>
    <w:rsid w:val="004435E6"/>
    <w:rsid w:val="004447C0"/>
    <w:rsid w:val="00447E31"/>
    <w:rsid w:val="00453923"/>
    <w:rsid w:val="00454B9B"/>
    <w:rsid w:val="00457858"/>
    <w:rsid w:val="00460907"/>
    <w:rsid w:val="00460B0B"/>
    <w:rsid w:val="00461023"/>
    <w:rsid w:val="00462FAC"/>
    <w:rsid w:val="00464631"/>
    <w:rsid w:val="00464B79"/>
    <w:rsid w:val="00467BBF"/>
    <w:rsid w:val="00470B82"/>
    <w:rsid w:val="0048227F"/>
    <w:rsid w:val="00483D2A"/>
    <w:rsid w:val="0048593C"/>
    <w:rsid w:val="004867E2"/>
    <w:rsid w:val="00490FFF"/>
    <w:rsid w:val="004929A9"/>
    <w:rsid w:val="004A23A7"/>
    <w:rsid w:val="004A78D9"/>
    <w:rsid w:val="004A7B93"/>
    <w:rsid w:val="004B6C5E"/>
    <w:rsid w:val="004C168E"/>
    <w:rsid w:val="004C1BCD"/>
    <w:rsid w:val="004C6BCF"/>
    <w:rsid w:val="004D58BF"/>
    <w:rsid w:val="004D5E3F"/>
    <w:rsid w:val="004D7439"/>
    <w:rsid w:val="004E2DD7"/>
    <w:rsid w:val="004E4335"/>
    <w:rsid w:val="004E5226"/>
    <w:rsid w:val="004F13EE"/>
    <w:rsid w:val="004F2022"/>
    <w:rsid w:val="004F34BB"/>
    <w:rsid w:val="004F624F"/>
    <w:rsid w:val="004F7C05"/>
    <w:rsid w:val="00501C94"/>
    <w:rsid w:val="00506432"/>
    <w:rsid w:val="00506E82"/>
    <w:rsid w:val="005110B8"/>
    <w:rsid w:val="00515E12"/>
    <w:rsid w:val="0052051D"/>
    <w:rsid w:val="00520780"/>
    <w:rsid w:val="00525479"/>
    <w:rsid w:val="005272C3"/>
    <w:rsid w:val="0053222C"/>
    <w:rsid w:val="0053267D"/>
    <w:rsid w:val="005403EB"/>
    <w:rsid w:val="00545EE6"/>
    <w:rsid w:val="00553168"/>
    <w:rsid w:val="005550E7"/>
    <w:rsid w:val="005564FB"/>
    <w:rsid w:val="0055705C"/>
    <w:rsid w:val="0055706A"/>
    <w:rsid w:val="005572C7"/>
    <w:rsid w:val="00563FEA"/>
    <w:rsid w:val="00564721"/>
    <w:rsid w:val="005650ED"/>
    <w:rsid w:val="00566B81"/>
    <w:rsid w:val="00575754"/>
    <w:rsid w:val="00580E45"/>
    <w:rsid w:val="00581FBA"/>
    <w:rsid w:val="005858A4"/>
    <w:rsid w:val="00591E20"/>
    <w:rsid w:val="005920E7"/>
    <w:rsid w:val="00593DE3"/>
    <w:rsid w:val="00595408"/>
    <w:rsid w:val="00595E84"/>
    <w:rsid w:val="005A07D2"/>
    <w:rsid w:val="005A0C59"/>
    <w:rsid w:val="005A1E27"/>
    <w:rsid w:val="005A48EB"/>
    <w:rsid w:val="005A5076"/>
    <w:rsid w:val="005A6CFB"/>
    <w:rsid w:val="005B6865"/>
    <w:rsid w:val="005C5AEB"/>
    <w:rsid w:val="005C6295"/>
    <w:rsid w:val="005D0C5C"/>
    <w:rsid w:val="005D0FBA"/>
    <w:rsid w:val="005D5F4E"/>
    <w:rsid w:val="005E0A3F"/>
    <w:rsid w:val="005E15EE"/>
    <w:rsid w:val="005E1AF9"/>
    <w:rsid w:val="005E25C3"/>
    <w:rsid w:val="005E2D76"/>
    <w:rsid w:val="005E659D"/>
    <w:rsid w:val="005E6883"/>
    <w:rsid w:val="005E772F"/>
    <w:rsid w:val="005F4ECA"/>
    <w:rsid w:val="005F6F22"/>
    <w:rsid w:val="0060256A"/>
    <w:rsid w:val="006041BE"/>
    <w:rsid w:val="006043C7"/>
    <w:rsid w:val="00604A64"/>
    <w:rsid w:val="00605160"/>
    <w:rsid w:val="006063BC"/>
    <w:rsid w:val="00617766"/>
    <w:rsid w:val="00621241"/>
    <w:rsid w:val="00623BC8"/>
    <w:rsid w:val="00623F58"/>
    <w:rsid w:val="00624B52"/>
    <w:rsid w:val="00630794"/>
    <w:rsid w:val="00631DF4"/>
    <w:rsid w:val="00634175"/>
    <w:rsid w:val="00634607"/>
    <w:rsid w:val="0063574E"/>
    <w:rsid w:val="006408AC"/>
    <w:rsid w:val="00642F20"/>
    <w:rsid w:val="006511B6"/>
    <w:rsid w:val="00651534"/>
    <w:rsid w:val="00657FF8"/>
    <w:rsid w:val="0066067C"/>
    <w:rsid w:val="006616B6"/>
    <w:rsid w:val="00663CAF"/>
    <w:rsid w:val="0066598A"/>
    <w:rsid w:val="00670D99"/>
    <w:rsid w:val="00670E2B"/>
    <w:rsid w:val="0067278D"/>
    <w:rsid w:val="006732F7"/>
    <w:rsid w:val="006734BB"/>
    <w:rsid w:val="0067478F"/>
    <w:rsid w:val="0067697A"/>
    <w:rsid w:val="006821EB"/>
    <w:rsid w:val="006831C5"/>
    <w:rsid w:val="00683D86"/>
    <w:rsid w:val="00693A51"/>
    <w:rsid w:val="00696EE5"/>
    <w:rsid w:val="006A0CD7"/>
    <w:rsid w:val="006A1168"/>
    <w:rsid w:val="006B2286"/>
    <w:rsid w:val="006B404E"/>
    <w:rsid w:val="006B56BB"/>
    <w:rsid w:val="006C085B"/>
    <w:rsid w:val="006C0AB8"/>
    <w:rsid w:val="006C446B"/>
    <w:rsid w:val="006C77A8"/>
    <w:rsid w:val="006D22A7"/>
    <w:rsid w:val="006D4098"/>
    <w:rsid w:val="006D5FF4"/>
    <w:rsid w:val="006D67F4"/>
    <w:rsid w:val="006D7681"/>
    <w:rsid w:val="006D7B2E"/>
    <w:rsid w:val="006E02EA"/>
    <w:rsid w:val="006E0968"/>
    <w:rsid w:val="006E2AF6"/>
    <w:rsid w:val="006E34F3"/>
    <w:rsid w:val="006F1510"/>
    <w:rsid w:val="006F5073"/>
    <w:rsid w:val="00700590"/>
    <w:rsid w:val="00701275"/>
    <w:rsid w:val="00707F56"/>
    <w:rsid w:val="00710A0F"/>
    <w:rsid w:val="00710C85"/>
    <w:rsid w:val="00713558"/>
    <w:rsid w:val="0071776D"/>
    <w:rsid w:val="00720D08"/>
    <w:rsid w:val="0072111F"/>
    <w:rsid w:val="007236E4"/>
    <w:rsid w:val="007263B9"/>
    <w:rsid w:val="007334F8"/>
    <w:rsid w:val="007339CD"/>
    <w:rsid w:val="007359D8"/>
    <w:rsid w:val="007362D4"/>
    <w:rsid w:val="00743FEA"/>
    <w:rsid w:val="00744638"/>
    <w:rsid w:val="00744B30"/>
    <w:rsid w:val="00746C16"/>
    <w:rsid w:val="00751DE5"/>
    <w:rsid w:val="00752123"/>
    <w:rsid w:val="00753801"/>
    <w:rsid w:val="0075507E"/>
    <w:rsid w:val="007566D6"/>
    <w:rsid w:val="007610AD"/>
    <w:rsid w:val="00761648"/>
    <w:rsid w:val="00762AF1"/>
    <w:rsid w:val="0076672A"/>
    <w:rsid w:val="00771DCB"/>
    <w:rsid w:val="00775E45"/>
    <w:rsid w:val="00776E74"/>
    <w:rsid w:val="00785169"/>
    <w:rsid w:val="007954AB"/>
    <w:rsid w:val="00796823"/>
    <w:rsid w:val="007A03C6"/>
    <w:rsid w:val="007A14A7"/>
    <w:rsid w:val="007A14C5"/>
    <w:rsid w:val="007A4A10"/>
    <w:rsid w:val="007A7699"/>
    <w:rsid w:val="007B1750"/>
    <w:rsid w:val="007B1760"/>
    <w:rsid w:val="007C1FDC"/>
    <w:rsid w:val="007C2CEC"/>
    <w:rsid w:val="007C31DD"/>
    <w:rsid w:val="007C32D9"/>
    <w:rsid w:val="007C343D"/>
    <w:rsid w:val="007C6D9C"/>
    <w:rsid w:val="007C7DDB"/>
    <w:rsid w:val="007D0984"/>
    <w:rsid w:val="007D2CC7"/>
    <w:rsid w:val="007D2FC9"/>
    <w:rsid w:val="007D343F"/>
    <w:rsid w:val="007D40CE"/>
    <w:rsid w:val="007D673D"/>
    <w:rsid w:val="007D7FEC"/>
    <w:rsid w:val="007E0068"/>
    <w:rsid w:val="007E0FB8"/>
    <w:rsid w:val="007E16A4"/>
    <w:rsid w:val="007E4D09"/>
    <w:rsid w:val="007E5FFD"/>
    <w:rsid w:val="007F2220"/>
    <w:rsid w:val="007F4B3E"/>
    <w:rsid w:val="007F6806"/>
    <w:rsid w:val="0080492E"/>
    <w:rsid w:val="008127AF"/>
    <w:rsid w:val="00812A26"/>
    <w:rsid w:val="00812B46"/>
    <w:rsid w:val="00813124"/>
    <w:rsid w:val="00815700"/>
    <w:rsid w:val="0082246B"/>
    <w:rsid w:val="00823944"/>
    <w:rsid w:val="008264EB"/>
    <w:rsid w:val="00826B8F"/>
    <w:rsid w:val="00831E8A"/>
    <w:rsid w:val="0083595B"/>
    <w:rsid w:val="00835C76"/>
    <w:rsid w:val="008376E2"/>
    <w:rsid w:val="00843049"/>
    <w:rsid w:val="008437CA"/>
    <w:rsid w:val="008475F7"/>
    <w:rsid w:val="00850D3D"/>
    <w:rsid w:val="0085209B"/>
    <w:rsid w:val="00856B66"/>
    <w:rsid w:val="00857EE5"/>
    <w:rsid w:val="008601AC"/>
    <w:rsid w:val="00861A5F"/>
    <w:rsid w:val="008644AD"/>
    <w:rsid w:val="00865735"/>
    <w:rsid w:val="00865DDB"/>
    <w:rsid w:val="00867538"/>
    <w:rsid w:val="0087341E"/>
    <w:rsid w:val="00873D90"/>
    <w:rsid w:val="00873FC8"/>
    <w:rsid w:val="00884C63"/>
    <w:rsid w:val="00885908"/>
    <w:rsid w:val="00885B08"/>
    <w:rsid w:val="008864B7"/>
    <w:rsid w:val="008877BF"/>
    <w:rsid w:val="0089677E"/>
    <w:rsid w:val="008A1CF2"/>
    <w:rsid w:val="008A6F92"/>
    <w:rsid w:val="008A7438"/>
    <w:rsid w:val="008B0D6B"/>
    <w:rsid w:val="008B1334"/>
    <w:rsid w:val="008B25C7"/>
    <w:rsid w:val="008B33C8"/>
    <w:rsid w:val="008C0278"/>
    <w:rsid w:val="008C1AC1"/>
    <w:rsid w:val="008C24E9"/>
    <w:rsid w:val="008C46FC"/>
    <w:rsid w:val="008D0533"/>
    <w:rsid w:val="008D2DC1"/>
    <w:rsid w:val="008D38BC"/>
    <w:rsid w:val="008D42CB"/>
    <w:rsid w:val="008D48C9"/>
    <w:rsid w:val="008D6381"/>
    <w:rsid w:val="008D64D0"/>
    <w:rsid w:val="008E0C77"/>
    <w:rsid w:val="008E625F"/>
    <w:rsid w:val="008F264D"/>
    <w:rsid w:val="008F708A"/>
    <w:rsid w:val="009040E9"/>
    <w:rsid w:val="009074E1"/>
    <w:rsid w:val="009112F7"/>
    <w:rsid w:val="009122AF"/>
    <w:rsid w:val="00912D54"/>
    <w:rsid w:val="0091389F"/>
    <w:rsid w:val="009208F7"/>
    <w:rsid w:val="00921649"/>
    <w:rsid w:val="00922517"/>
    <w:rsid w:val="00922722"/>
    <w:rsid w:val="009261E6"/>
    <w:rsid w:val="009265DD"/>
    <w:rsid w:val="009268E1"/>
    <w:rsid w:val="009271EE"/>
    <w:rsid w:val="009300E0"/>
    <w:rsid w:val="0093226A"/>
    <w:rsid w:val="009330F2"/>
    <w:rsid w:val="009344AE"/>
    <w:rsid w:val="009344DE"/>
    <w:rsid w:val="00936116"/>
    <w:rsid w:val="00937FC4"/>
    <w:rsid w:val="00945AA0"/>
    <w:rsid w:val="00945E7F"/>
    <w:rsid w:val="009518C7"/>
    <w:rsid w:val="00953DFF"/>
    <w:rsid w:val="009557C1"/>
    <w:rsid w:val="00960D6E"/>
    <w:rsid w:val="009739D1"/>
    <w:rsid w:val="00974B59"/>
    <w:rsid w:val="0098166B"/>
    <w:rsid w:val="0098340B"/>
    <w:rsid w:val="00986830"/>
    <w:rsid w:val="009924C3"/>
    <w:rsid w:val="00993102"/>
    <w:rsid w:val="009B1570"/>
    <w:rsid w:val="009B1AF9"/>
    <w:rsid w:val="009B38DD"/>
    <w:rsid w:val="009C5BE1"/>
    <w:rsid w:val="009C6F10"/>
    <w:rsid w:val="009C7868"/>
    <w:rsid w:val="009D148F"/>
    <w:rsid w:val="009D36F5"/>
    <w:rsid w:val="009D3D70"/>
    <w:rsid w:val="009D62D0"/>
    <w:rsid w:val="009E5AC6"/>
    <w:rsid w:val="009E6F7E"/>
    <w:rsid w:val="009E7A57"/>
    <w:rsid w:val="009F4803"/>
    <w:rsid w:val="009F4F6A"/>
    <w:rsid w:val="009F5046"/>
    <w:rsid w:val="00A027D1"/>
    <w:rsid w:val="00A0456B"/>
    <w:rsid w:val="00A053DD"/>
    <w:rsid w:val="00A07430"/>
    <w:rsid w:val="00A12D20"/>
    <w:rsid w:val="00A13EB5"/>
    <w:rsid w:val="00A14492"/>
    <w:rsid w:val="00A16E36"/>
    <w:rsid w:val="00A22678"/>
    <w:rsid w:val="00A23012"/>
    <w:rsid w:val="00A24961"/>
    <w:rsid w:val="00A24B10"/>
    <w:rsid w:val="00A277EF"/>
    <w:rsid w:val="00A30E9B"/>
    <w:rsid w:val="00A34BD0"/>
    <w:rsid w:val="00A3537C"/>
    <w:rsid w:val="00A367EA"/>
    <w:rsid w:val="00A4512D"/>
    <w:rsid w:val="00A50244"/>
    <w:rsid w:val="00A54A88"/>
    <w:rsid w:val="00A627D7"/>
    <w:rsid w:val="00A656C7"/>
    <w:rsid w:val="00A705AF"/>
    <w:rsid w:val="00A71373"/>
    <w:rsid w:val="00A719F6"/>
    <w:rsid w:val="00A72454"/>
    <w:rsid w:val="00A76552"/>
    <w:rsid w:val="00A77696"/>
    <w:rsid w:val="00A80557"/>
    <w:rsid w:val="00A81D33"/>
    <w:rsid w:val="00A8341C"/>
    <w:rsid w:val="00A86566"/>
    <w:rsid w:val="00A8695F"/>
    <w:rsid w:val="00A930AE"/>
    <w:rsid w:val="00A93976"/>
    <w:rsid w:val="00A94DC8"/>
    <w:rsid w:val="00AA1A95"/>
    <w:rsid w:val="00AA260F"/>
    <w:rsid w:val="00AB1EE7"/>
    <w:rsid w:val="00AB22B4"/>
    <w:rsid w:val="00AB2B2E"/>
    <w:rsid w:val="00AB4B37"/>
    <w:rsid w:val="00AB5762"/>
    <w:rsid w:val="00AB5989"/>
    <w:rsid w:val="00AC01F6"/>
    <w:rsid w:val="00AC2679"/>
    <w:rsid w:val="00AC2A58"/>
    <w:rsid w:val="00AC4BE4"/>
    <w:rsid w:val="00AC6513"/>
    <w:rsid w:val="00AC7B78"/>
    <w:rsid w:val="00AD05E6"/>
    <w:rsid w:val="00AD0D3F"/>
    <w:rsid w:val="00AE18D9"/>
    <w:rsid w:val="00AE1D7D"/>
    <w:rsid w:val="00AE2A8B"/>
    <w:rsid w:val="00AE32A2"/>
    <w:rsid w:val="00AE3F64"/>
    <w:rsid w:val="00AE4487"/>
    <w:rsid w:val="00AF0275"/>
    <w:rsid w:val="00AF7386"/>
    <w:rsid w:val="00AF7934"/>
    <w:rsid w:val="00B00B81"/>
    <w:rsid w:val="00B028A0"/>
    <w:rsid w:val="00B02BB5"/>
    <w:rsid w:val="00B04580"/>
    <w:rsid w:val="00B04B09"/>
    <w:rsid w:val="00B04F82"/>
    <w:rsid w:val="00B150A1"/>
    <w:rsid w:val="00B16A51"/>
    <w:rsid w:val="00B2515F"/>
    <w:rsid w:val="00B27A99"/>
    <w:rsid w:val="00B32222"/>
    <w:rsid w:val="00B32567"/>
    <w:rsid w:val="00B3618D"/>
    <w:rsid w:val="00B36233"/>
    <w:rsid w:val="00B42851"/>
    <w:rsid w:val="00B43401"/>
    <w:rsid w:val="00B45350"/>
    <w:rsid w:val="00B45AC7"/>
    <w:rsid w:val="00B45FA9"/>
    <w:rsid w:val="00B465D7"/>
    <w:rsid w:val="00B52A04"/>
    <w:rsid w:val="00B5372F"/>
    <w:rsid w:val="00B53987"/>
    <w:rsid w:val="00B61129"/>
    <w:rsid w:val="00B65BCA"/>
    <w:rsid w:val="00B65D77"/>
    <w:rsid w:val="00B669C0"/>
    <w:rsid w:val="00B67E7F"/>
    <w:rsid w:val="00B75070"/>
    <w:rsid w:val="00B76DB3"/>
    <w:rsid w:val="00B839B2"/>
    <w:rsid w:val="00B873A0"/>
    <w:rsid w:val="00B94252"/>
    <w:rsid w:val="00B96EE8"/>
    <w:rsid w:val="00B9715A"/>
    <w:rsid w:val="00BA14BE"/>
    <w:rsid w:val="00BA25D5"/>
    <w:rsid w:val="00BA2732"/>
    <w:rsid w:val="00BA293D"/>
    <w:rsid w:val="00BA4918"/>
    <w:rsid w:val="00BA49BC"/>
    <w:rsid w:val="00BA56B7"/>
    <w:rsid w:val="00BA7A1E"/>
    <w:rsid w:val="00BB0CE5"/>
    <w:rsid w:val="00BB187D"/>
    <w:rsid w:val="00BB1D84"/>
    <w:rsid w:val="00BB24AE"/>
    <w:rsid w:val="00BB2F6C"/>
    <w:rsid w:val="00BB3875"/>
    <w:rsid w:val="00BB5860"/>
    <w:rsid w:val="00BB6AAD"/>
    <w:rsid w:val="00BC4A19"/>
    <w:rsid w:val="00BC4E6D"/>
    <w:rsid w:val="00BD0617"/>
    <w:rsid w:val="00BD0A9E"/>
    <w:rsid w:val="00BD1D77"/>
    <w:rsid w:val="00BD2E9B"/>
    <w:rsid w:val="00BD50C6"/>
    <w:rsid w:val="00BD77C9"/>
    <w:rsid w:val="00BD7FB2"/>
    <w:rsid w:val="00BE3ED5"/>
    <w:rsid w:val="00BE42C7"/>
    <w:rsid w:val="00BE70AE"/>
    <w:rsid w:val="00BE7272"/>
    <w:rsid w:val="00BE7487"/>
    <w:rsid w:val="00BF25F2"/>
    <w:rsid w:val="00C00930"/>
    <w:rsid w:val="00C01D53"/>
    <w:rsid w:val="00C02732"/>
    <w:rsid w:val="00C03D8D"/>
    <w:rsid w:val="00C045E6"/>
    <w:rsid w:val="00C060AD"/>
    <w:rsid w:val="00C113BF"/>
    <w:rsid w:val="00C146D7"/>
    <w:rsid w:val="00C2176E"/>
    <w:rsid w:val="00C23430"/>
    <w:rsid w:val="00C27D67"/>
    <w:rsid w:val="00C31C3C"/>
    <w:rsid w:val="00C329CE"/>
    <w:rsid w:val="00C40A0E"/>
    <w:rsid w:val="00C42C96"/>
    <w:rsid w:val="00C435AF"/>
    <w:rsid w:val="00C461B3"/>
    <w:rsid w:val="00C4631F"/>
    <w:rsid w:val="00C465AC"/>
    <w:rsid w:val="00C47CDE"/>
    <w:rsid w:val="00C50E16"/>
    <w:rsid w:val="00C528F1"/>
    <w:rsid w:val="00C55258"/>
    <w:rsid w:val="00C669AC"/>
    <w:rsid w:val="00C71A8A"/>
    <w:rsid w:val="00C74345"/>
    <w:rsid w:val="00C7575A"/>
    <w:rsid w:val="00C75FA3"/>
    <w:rsid w:val="00C80032"/>
    <w:rsid w:val="00C815AD"/>
    <w:rsid w:val="00C81B11"/>
    <w:rsid w:val="00C81FEC"/>
    <w:rsid w:val="00C82EEB"/>
    <w:rsid w:val="00C971DC"/>
    <w:rsid w:val="00CA16B7"/>
    <w:rsid w:val="00CA45AA"/>
    <w:rsid w:val="00CA5FFA"/>
    <w:rsid w:val="00CA607F"/>
    <w:rsid w:val="00CA62AE"/>
    <w:rsid w:val="00CA70AB"/>
    <w:rsid w:val="00CB03B8"/>
    <w:rsid w:val="00CB11F6"/>
    <w:rsid w:val="00CB5B1A"/>
    <w:rsid w:val="00CC220B"/>
    <w:rsid w:val="00CC5851"/>
    <w:rsid w:val="00CC5C43"/>
    <w:rsid w:val="00CC5CBC"/>
    <w:rsid w:val="00CD02AE"/>
    <w:rsid w:val="00CD2A4F"/>
    <w:rsid w:val="00CD41E4"/>
    <w:rsid w:val="00CE03CA"/>
    <w:rsid w:val="00CE1AEB"/>
    <w:rsid w:val="00CE22F1"/>
    <w:rsid w:val="00CE3899"/>
    <w:rsid w:val="00CE4980"/>
    <w:rsid w:val="00CE50F2"/>
    <w:rsid w:val="00CE6502"/>
    <w:rsid w:val="00CF1633"/>
    <w:rsid w:val="00CF3B83"/>
    <w:rsid w:val="00CF7D3C"/>
    <w:rsid w:val="00D01F09"/>
    <w:rsid w:val="00D03527"/>
    <w:rsid w:val="00D04169"/>
    <w:rsid w:val="00D1158B"/>
    <w:rsid w:val="00D147EB"/>
    <w:rsid w:val="00D21BB3"/>
    <w:rsid w:val="00D256F2"/>
    <w:rsid w:val="00D25894"/>
    <w:rsid w:val="00D27E71"/>
    <w:rsid w:val="00D3381A"/>
    <w:rsid w:val="00D33CB6"/>
    <w:rsid w:val="00D34667"/>
    <w:rsid w:val="00D34ADB"/>
    <w:rsid w:val="00D401E1"/>
    <w:rsid w:val="00D408B4"/>
    <w:rsid w:val="00D41784"/>
    <w:rsid w:val="00D44330"/>
    <w:rsid w:val="00D524C8"/>
    <w:rsid w:val="00D57B3B"/>
    <w:rsid w:val="00D631BC"/>
    <w:rsid w:val="00D63859"/>
    <w:rsid w:val="00D639B7"/>
    <w:rsid w:val="00D656C6"/>
    <w:rsid w:val="00D70E24"/>
    <w:rsid w:val="00D72B61"/>
    <w:rsid w:val="00D76BBE"/>
    <w:rsid w:val="00D838C6"/>
    <w:rsid w:val="00DA23D1"/>
    <w:rsid w:val="00DA3D1D"/>
    <w:rsid w:val="00DA726C"/>
    <w:rsid w:val="00DB4F28"/>
    <w:rsid w:val="00DB573A"/>
    <w:rsid w:val="00DB6286"/>
    <w:rsid w:val="00DB645F"/>
    <w:rsid w:val="00DB76E9"/>
    <w:rsid w:val="00DC0A67"/>
    <w:rsid w:val="00DC1D5E"/>
    <w:rsid w:val="00DC2498"/>
    <w:rsid w:val="00DC414E"/>
    <w:rsid w:val="00DC5220"/>
    <w:rsid w:val="00DC6006"/>
    <w:rsid w:val="00DD2061"/>
    <w:rsid w:val="00DD31B6"/>
    <w:rsid w:val="00DD4683"/>
    <w:rsid w:val="00DD70D6"/>
    <w:rsid w:val="00DD7DAB"/>
    <w:rsid w:val="00DE2208"/>
    <w:rsid w:val="00DE3355"/>
    <w:rsid w:val="00DE47CC"/>
    <w:rsid w:val="00DE7BB4"/>
    <w:rsid w:val="00DF0C60"/>
    <w:rsid w:val="00DF1F91"/>
    <w:rsid w:val="00DF486F"/>
    <w:rsid w:val="00DF5B5B"/>
    <w:rsid w:val="00DF7604"/>
    <w:rsid w:val="00DF7619"/>
    <w:rsid w:val="00E0049F"/>
    <w:rsid w:val="00E010E4"/>
    <w:rsid w:val="00E042D8"/>
    <w:rsid w:val="00E05636"/>
    <w:rsid w:val="00E07EE7"/>
    <w:rsid w:val="00E1103B"/>
    <w:rsid w:val="00E17B44"/>
    <w:rsid w:val="00E203C9"/>
    <w:rsid w:val="00E20F27"/>
    <w:rsid w:val="00E22443"/>
    <w:rsid w:val="00E23B3E"/>
    <w:rsid w:val="00E25B1F"/>
    <w:rsid w:val="00E27FEA"/>
    <w:rsid w:val="00E32619"/>
    <w:rsid w:val="00E35B07"/>
    <w:rsid w:val="00E37C62"/>
    <w:rsid w:val="00E4086F"/>
    <w:rsid w:val="00E43220"/>
    <w:rsid w:val="00E43B3C"/>
    <w:rsid w:val="00E44156"/>
    <w:rsid w:val="00E50188"/>
    <w:rsid w:val="00E501E4"/>
    <w:rsid w:val="00E50BB3"/>
    <w:rsid w:val="00E515CB"/>
    <w:rsid w:val="00E52260"/>
    <w:rsid w:val="00E527DF"/>
    <w:rsid w:val="00E538AE"/>
    <w:rsid w:val="00E53B5C"/>
    <w:rsid w:val="00E54BA5"/>
    <w:rsid w:val="00E54D66"/>
    <w:rsid w:val="00E639B6"/>
    <w:rsid w:val="00E6434B"/>
    <w:rsid w:val="00E6463D"/>
    <w:rsid w:val="00E70C7D"/>
    <w:rsid w:val="00E71492"/>
    <w:rsid w:val="00E72213"/>
    <w:rsid w:val="00E72E9B"/>
    <w:rsid w:val="00E7383A"/>
    <w:rsid w:val="00E7464B"/>
    <w:rsid w:val="00E82C34"/>
    <w:rsid w:val="00E850C3"/>
    <w:rsid w:val="00E87DF2"/>
    <w:rsid w:val="00E92249"/>
    <w:rsid w:val="00E923BE"/>
    <w:rsid w:val="00E9462E"/>
    <w:rsid w:val="00E9619F"/>
    <w:rsid w:val="00E96CAF"/>
    <w:rsid w:val="00EA470E"/>
    <w:rsid w:val="00EA47A7"/>
    <w:rsid w:val="00EA57EB"/>
    <w:rsid w:val="00EB3226"/>
    <w:rsid w:val="00EC0A51"/>
    <w:rsid w:val="00EC213A"/>
    <w:rsid w:val="00EC2734"/>
    <w:rsid w:val="00EC5662"/>
    <w:rsid w:val="00EC625E"/>
    <w:rsid w:val="00EC7744"/>
    <w:rsid w:val="00ED0DAD"/>
    <w:rsid w:val="00ED0F46"/>
    <w:rsid w:val="00ED2373"/>
    <w:rsid w:val="00ED24F9"/>
    <w:rsid w:val="00ED2E38"/>
    <w:rsid w:val="00ED3454"/>
    <w:rsid w:val="00ED3A00"/>
    <w:rsid w:val="00ED7897"/>
    <w:rsid w:val="00EE3E8A"/>
    <w:rsid w:val="00EF4641"/>
    <w:rsid w:val="00EF58B8"/>
    <w:rsid w:val="00EF6020"/>
    <w:rsid w:val="00EF6ECA"/>
    <w:rsid w:val="00F02469"/>
    <w:rsid w:val="00F024E1"/>
    <w:rsid w:val="00F055DD"/>
    <w:rsid w:val="00F06C10"/>
    <w:rsid w:val="00F1096F"/>
    <w:rsid w:val="00F12589"/>
    <w:rsid w:val="00F12595"/>
    <w:rsid w:val="00F134D9"/>
    <w:rsid w:val="00F1403D"/>
    <w:rsid w:val="00F1463F"/>
    <w:rsid w:val="00F20479"/>
    <w:rsid w:val="00F21302"/>
    <w:rsid w:val="00F2430D"/>
    <w:rsid w:val="00F321DE"/>
    <w:rsid w:val="00F33777"/>
    <w:rsid w:val="00F33F26"/>
    <w:rsid w:val="00F40648"/>
    <w:rsid w:val="00F411E3"/>
    <w:rsid w:val="00F46967"/>
    <w:rsid w:val="00F47DA2"/>
    <w:rsid w:val="00F51321"/>
    <w:rsid w:val="00F519FC"/>
    <w:rsid w:val="00F61596"/>
    <w:rsid w:val="00F6239D"/>
    <w:rsid w:val="00F67890"/>
    <w:rsid w:val="00F715D2"/>
    <w:rsid w:val="00F7274F"/>
    <w:rsid w:val="00F74AC9"/>
    <w:rsid w:val="00F74E84"/>
    <w:rsid w:val="00F7615B"/>
    <w:rsid w:val="00F76FA8"/>
    <w:rsid w:val="00F773C2"/>
    <w:rsid w:val="00F85AFE"/>
    <w:rsid w:val="00F86E7E"/>
    <w:rsid w:val="00F93F08"/>
    <w:rsid w:val="00F9424D"/>
    <w:rsid w:val="00F94CED"/>
    <w:rsid w:val="00FA02BB"/>
    <w:rsid w:val="00FA2CEE"/>
    <w:rsid w:val="00FA318C"/>
    <w:rsid w:val="00FA512E"/>
    <w:rsid w:val="00FA6087"/>
    <w:rsid w:val="00FA7137"/>
    <w:rsid w:val="00FB0B45"/>
    <w:rsid w:val="00FB3661"/>
    <w:rsid w:val="00FB595B"/>
    <w:rsid w:val="00FB6452"/>
    <w:rsid w:val="00FB6F92"/>
    <w:rsid w:val="00FC026E"/>
    <w:rsid w:val="00FC5124"/>
    <w:rsid w:val="00FD0155"/>
    <w:rsid w:val="00FD16EF"/>
    <w:rsid w:val="00FD2B08"/>
    <w:rsid w:val="00FD4731"/>
    <w:rsid w:val="00FD6768"/>
    <w:rsid w:val="00FD7C1F"/>
    <w:rsid w:val="00FE4C45"/>
    <w:rsid w:val="00FE6A58"/>
    <w:rsid w:val="00FF0AB0"/>
    <w:rsid w:val="00FF28AC"/>
    <w:rsid w:val="00FF4062"/>
    <w:rsid w:val="00FF430F"/>
    <w:rsid w:val="00FF6A9F"/>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link w:val="Heading5Char"/>
    <w:uiPriority w:val="9"/>
    <w:qFormat/>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Heading5Char">
    <w:name w:val="Heading 5 Char"/>
    <w:link w:val="Heading5"/>
    <w:uiPriority w:val="9"/>
    <w:rsid w:val="009C7868"/>
    <w:rPr>
      <w:rFonts w:ascii="Arial" w:hAnsi="Arial"/>
      <w:b/>
      <w:bCs/>
      <w:iCs/>
      <w:color w:val="358189" w:themeColor="accent2"/>
      <w:sz w:val="24"/>
      <w:szCs w:val="26"/>
      <w:lang w:eastAsia="en-US"/>
    </w:rPr>
  </w:style>
  <w:style w:type="table" w:styleId="ListTable3-Accent2">
    <w:name w:val="List Table 3 Accent 2"/>
    <w:basedOn w:val="TableNormal"/>
    <w:uiPriority w:val="48"/>
    <w:rsid w:val="00215CA0"/>
    <w:tblPr>
      <w:tblStyleRowBandSize w:val="1"/>
      <w:tblStyleColBandSize w:val="1"/>
      <w:tblBorders>
        <w:top w:val="single" w:sz="4" w:space="0" w:color="358189" w:themeColor="accent2"/>
        <w:left w:val="single" w:sz="4" w:space="0" w:color="358189" w:themeColor="accent2"/>
        <w:bottom w:val="single" w:sz="4" w:space="0" w:color="358189" w:themeColor="accent2"/>
        <w:right w:val="single" w:sz="4" w:space="0" w:color="358189" w:themeColor="accent2"/>
      </w:tblBorders>
    </w:tblPr>
    <w:tblStylePr w:type="firstRow">
      <w:rPr>
        <w:b/>
        <w:bCs/>
        <w:color w:val="FFFFFF" w:themeColor="background1"/>
      </w:rPr>
      <w:tblPr/>
      <w:tcPr>
        <w:shd w:val="clear" w:color="auto" w:fill="358189" w:themeFill="accent2"/>
      </w:tcPr>
    </w:tblStylePr>
    <w:tblStylePr w:type="lastRow">
      <w:rPr>
        <w:b/>
        <w:bCs/>
      </w:rPr>
      <w:tblPr/>
      <w:tcPr>
        <w:tcBorders>
          <w:top w:val="double" w:sz="4" w:space="0" w:color="3581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8189" w:themeColor="accent2"/>
          <w:right w:val="single" w:sz="4" w:space="0" w:color="358189" w:themeColor="accent2"/>
        </w:tcBorders>
      </w:tcPr>
    </w:tblStylePr>
    <w:tblStylePr w:type="band1Horz">
      <w:tblPr/>
      <w:tcPr>
        <w:tcBorders>
          <w:top w:val="single" w:sz="4" w:space="0" w:color="358189" w:themeColor="accent2"/>
          <w:bottom w:val="single" w:sz="4" w:space="0" w:color="3581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8189" w:themeColor="accent2"/>
          <w:left w:val="nil"/>
        </w:tcBorders>
      </w:tcPr>
    </w:tblStylePr>
    <w:tblStylePr w:type="swCell">
      <w:tblPr/>
      <w:tcPr>
        <w:tcBorders>
          <w:top w:val="double" w:sz="4" w:space="0" w:color="358189"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10604">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5242744">
      <w:bodyDiv w:val="1"/>
      <w:marLeft w:val="0"/>
      <w:marRight w:val="0"/>
      <w:marTop w:val="0"/>
      <w:marBottom w:val="0"/>
      <w:divBdr>
        <w:top w:val="none" w:sz="0" w:space="0" w:color="auto"/>
        <w:left w:val="none" w:sz="0" w:space="0" w:color="auto"/>
        <w:bottom w:val="none" w:sz="0" w:space="0" w:color="auto"/>
        <w:right w:val="none" w:sz="0" w:space="0" w:color="auto"/>
      </w:divBdr>
    </w:div>
    <w:div w:id="499275036">
      <w:bodyDiv w:val="1"/>
      <w:marLeft w:val="0"/>
      <w:marRight w:val="0"/>
      <w:marTop w:val="0"/>
      <w:marBottom w:val="0"/>
      <w:divBdr>
        <w:top w:val="none" w:sz="0" w:space="0" w:color="auto"/>
        <w:left w:val="none" w:sz="0" w:space="0" w:color="auto"/>
        <w:bottom w:val="none" w:sz="0" w:space="0" w:color="auto"/>
        <w:right w:val="none" w:sz="0" w:space="0" w:color="auto"/>
      </w:divBdr>
    </w:div>
    <w:div w:id="535434549">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1031688">
      <w:bodyDiv w:val="1"/>
      <w:marLeft w:val="0"/>
      <w:marRight w:val="0"/>
      <w:marTop w:val="0"/>
      <w:marBottom w:val="0"/>
      <w:divBdr>
        <w:top w:val="none" w:sz="0" w:space="0" w:color="auto"/>
        <w:left w:val="none" w:sz="0" w:space="0" w:color="auto"/>
        <w:bottom w:val="none" w:sz="0" w:space="0" w:color="auto"/>
        <w:right w:val="none" w:sz="0" w:space="0" w:color="auto"/>
      </w:divBdr>
    </w:div>
    <w:div w:id="781925644">
      <w:bodyDiv w:val="1"/>
      <w:marLeft w:val="0"/>
      <w:marRight w:val="0"/>
      <w:marTop w:val="0"/>
      <w:marBottom w:val="0"/>
      <w:divBdr>
        <w:top w:val="none" w:sz="0" w:space="0" w:color="auto"/>
        <w:left w:val="none" w:sz="0" w:space="0" w:color="auto"/>
        <w:bottom w:val="none" w:sz="0" w:space="0" w:color="auto"/>
        <w:right w:val="none" w:sz="0" w:space="0" w:color="auto"/>
      </w:divBdr>
    </w:div>
    <w:div w:id="1131437272">
      <w:bodyDiv w:val="1"/>
      <w:marLeft w:val="0"/>
      <w:marRight w:val="0"/>
      <w:marTop w:val="0"/>
      <w:marBottom w:val="0"/>
      <w:divBdr>
        <w:top w:val="none" w:sz="0" w:space="0" w:color="auto"/>
        <w:left w:val="none" w:sz="0" w:space="0" w:color="auto"/>
        <w:bottom w:val="none" w:sz="0" w:space="0" w:color="auto"/>
        <w:right w:val="none" w:sz="0" w:space="0" w:color="auto"/>
      </w:divBdr>
    </w:div>
    <w:div w:id="120594408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3026703">
      <w:bodyDiv w:val="1"/>
      <w:marLeft w:val="0"/>
      <w:marRight w:val="0"/>
      <w:marTop w:val="0"/>
      <w:marBottom w:val="0"/>
      <w:divBdr>
        <w:top w:val="none" w:sz="0" w:space="0" w:color="auto"/>
        <w:left w:val="none" w:sz="0" w:space="0" w:color="auto"/>
        <w:bottom w:val="none" w:sz="0" w:space="0" w:color="auto"/>
        <w:right w:val="none" w:sz="0" w:space="0" w:color="auto"/>
      </w:divBdr>
    </w:div>
    <w:div w:id="1265114526">
      <w:bodyDiv w:val="1"/>
      <w:marLeft w:val="0"/>
      <w:marRight w:val="0"/>
      <w:marTop w:val="0"/>
      <w:marBottom w:val="0"/>
      <w:divBdr>
        <w:top w:val="none" w:sz="0" w:space="0" w:color="auto"/>
        <w:left w:val="none" w:sz="0" w:space="0" w:color="auto"/>
        <w:bottom w:val="none" w:sz="0" w:space="0" w:color="auto"/>
        <w:right w:val="none" w:sz="0" w:space="0" w:color="auto"/>
      </w:divBdr>
    </w:div>
    <w:div w:id="1355113772">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47647121">
      <w:bodyDiv w:val="1"/>
      <w:marLeft w:val="0"/>
      <w:marRight w:val="0"/>
      <w:marTop w:val="0"/>
      <w:marBottom w:val="0"/>
      <w:divBdr>
        <w:top w:val="none" w:sz="0" w:space="0" w:color="auto"/>
        <w:left w:val="none" w:sz="0" w:space="0" w:color="auto"/>
        <w:bottom w:val="none" w:sz="0" w:space="0" w:color="auto"/>
        <w:right w:val="none" w:sz="0" w:space="0" w:color="auto"/>
      </w:divBdr>
    </w:div>
    <w:div w:id="1593902505">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938320576">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7974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F2017L01291" TargetMode="External"/><Relationship Id="rId13" Type="http://schemas.openxmlformats.org/officeDocument/2006/relationships/hyperlink" Target="https://www.mbsonline.gov.au/" TargetMode="External"/><Relationship Id="rId18" Type="http://schemas.openxmlformats.org/officeDocument/2006/relationships/hyperlink" Target="https://www.legislation.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s://www.health.gov.au/topics/medicare/compliance" TargetMode="External"/><Relationship Id="rId17" Type="http://schemas.openxmlformats.org/officeDocument/2006/relationships/hyperlink" Target="https://www.health.gov.au/resources/collections/private-health-insurance-clinical-category-and-procedure-typ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ac.gov.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header" Target="header1.xml"/><Relationship Id="rId10" Type="http://schemas.openxmlformats.org/officeDocument/2006/relationships/hyperlink" Target="http://www.msac.gov.au/internet/msac/publishing.nsf/Content/application-page"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s://www.msac.gov.au/applications/1507-1" TargetMode="External"/><Relationship Id="rId14" Type="http://schemas.openxmlformats.org/officeDocument/2006/relationships/hyperlink" Target="https://www9.health.gov.au/mbs/subscribe.cf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1650</Words>
  <Characters>9376</Characters>
  <Application>Microsoft Office Word</Application>
  <DocSecurity>0</DocSecurity>
  <Lines>275</Lines>
  <Paragraphs>118</Paragraphs>
  <ScaleCrop>false</ScaleCrop>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2025-02-25T00:55:00Z</dcterms:created>
  <dcterms:modified xsi:type="dcterms:W3CDTF">2025-02-25T00:55:00Z</dcterms:modified>
</cp:coreProperties>
</file>