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44862" w14:textId="77777777" w:rsidR="00AD0FCB" w:rsidRPr="00F81B1F" w:rsidRDefault="00414DDC" w:rsidP="00AD0FCB">
      <w:pPr>
        <w:rPr>
          <w:rFonts w:eastAsiaTheme="majorEastAsia" w:cs="Arial"/>
          <w:b/>
          <w:bCs/>
          <w:sz w:val="40"/>
          <w:szCs w:val="32"/>
        </w:rPr>
      </w:pPr>
      <w:bookmarkStart w:id="0" w:name="_Ref394501517"/>
      <w:r>
        <w:rPr>
          <w:rFonts w:eastAsiaTheme="majorEastAsia" w:cs="Arial"/>
          <w:b/>
          <w:bCs/>
          <w:sz w:val="40"/>
          <w:szCs w:val="32"/>
        </w:rPr>
        <w:t xml:space="preserve">New MBS items for </w:t>
      </w:r>
      <w:sdt>
        <w:sdtPr>
          <w:rPr>
            <w:rFonts w:eastAsiaTheme="majorEastAsia" w:cs="Arial"/>
            <w:b/>
            <w:bCs/>
            <w:sz w:val="40"/>
            <w:szCs w:val="32"/>
          </w:rPr>
          <w:id w:val="1432932862"/>
          <w:placeholder>
            <w:docPart w:val="FCF10BE4D16047149C0C9ED53879D435"/>
          </w:placeholder>
          <w:text/>
        </w:sdtPr>
        <w:sdtEndPr/>
        <w:sdtContent>
          <w:r w:rsidR="008E3C66">
            <w:rPr>
              <w:rFonts w:eastAsiaTheme="majorEastAsia" w:cs="Arial"/>
              <w:b/>
              <w:bCs/>
              <w:sz w:val="40"/>
              <w:szCs w:val="32"/>
            </w:rPr>
            <w:t>Heart Health Check</w:t>
          </w:r>
        </w:sdtContent>
      </w:sdt>
      <w:bookmarkEnd w:id="0"/>
    </w:p>
    <w:p w14:paraId="7FB9D4A7" w14:textId="3EEDFB53" w:rsidR="00AD0FCB" w:rsidRDefault="00AD0FCB" w:rsidP="00AD0FCB">
      <w:pPr>
        <w:pStyle w:val="Footnote"/>
      </w:pPr>
      <w:r w:rsidRPr="00990076">
        <w:t xml:space="preserve">Last updated: </w:t>
      </w:r>
      <w:sdt>
        <w:sdtPr>
          <w:id w:val="1114713637"/>
          <w:placeholder>
            <w:docPart w:val="80CABA3C65C6430E8ED11DBB133F1C30"/>
          </w:placeholder>
          <w:date w:fullDate="2019-03-27T00:00:00Z">
            <w:dateFormat w:val="d/MM/yyyy"/>
            <w:lid w:val="en-AU"/>
            <w:storeMappedDataAs w:val="dateTime"/>
            <w:calendar w:val="gregorian"/>
          </w:date>
        </w:sdtPr>
        <w:sdtEndPr/>
        <w:sdtContent>
          <w:r w:rsidR="008E3C66">
            <w:t>2</w:t>
          </w:r>
          <w:r w:rsidR="00EB2B2F">
            <w:t>7</w:t>
          </w:r>
          <w:r w:rsidR="008E3C66">
            <w:t>/03/2019</w:t>
          </w:r>
        </w:sdtContent>
      </w:sdt>
    </w:p>
    <w:p w14:paraId="17201104" w14:textId="77777777" w:rsidR="00AD0FCB" w:rsidRPr="002B6AF6" w:rsidRDefault="00AD0FCB" w:rsidP="00AD0FCB">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What are the changes?</w:t>
      </w:r>
    </w:p>
    <w:p w14:paraId="6DD025B3" w14:textId="60A0CAC9" w:rsidR="00A73AC1" w:rsidRDefault="008E3C66" w:rsidP="008E3C66">
      <w:r>
        <w:t>Fro</w:t>
      </w:r>
      <w:r w:rsidR="00A73AC1">
        <w:t xml:space="preserve">m 1 April 2019, two </w:t>
      </w:r>
      <w:r>
        <w:t>new interim item</w:t>
      </w:r>
      <w:r w:rsidR="00A73AC1">
        <w:t>s</w:t>
      </w:r>
      <w:r>
        <w:t xml:space="preserve"> </w:t>
      </w:r>
      <w:r w:rsidR="00A73AC1">
        <w:t xml:space="preserve">(699 and 177) </w:t>
      </w:r>
      <w:r>
        <w:t>will be introduced to allow GPs</w:t>
      </w:r>
      <w:r w:rsidR="00A73AC1">
        <w:t xml:space="preserve"> and medical practitioners (other than a specialist of consultant physicians) </w:t>
      </w:r>
      <w:r>
        <w:t xml:space="preserve"> to conduct a heart health check that lasts at least 20 minutes, in consulting rooms. </w:t>
      </w:r>
    </w:p>
    <w:p w14:paraId="6FF583DE" w14:textId="5759BDF7" w:rsidR="008E3C66" w:rsidRDefault="008E3C66" w:rsidP="00A73AC1">
      <w:pPr>
        <w:rPr>
          <w:szCs w:val="22"/>
        </w:rPr>
      </w:pPr>
      <w:r>
        <w:t>Eligible patients will now be able to receive a Medicare rebate for having a specific heart health check conducted by a GP.</w:t>
      </w:r>
      <w:r w:rsidR="00A73AC1" w:rsidRPr="00A73AC1">
        <w:rPr>
          <w:rFonts w:asciiTheme="minorHAnsi" w:hAnsiTheme="minorHAnsi" w:cstheme="minorHAnsi"/>
        </w:rPr>
        <w:t xml:space="preserve"> </w:t>
      </w:r>
    </w:p>
    <w:p w14:paraId="38D0C479" w14:textId="77777777" w:rsidR="00D74D75" w:rsidRDefault="008A72DA" w:rsidP="002E6FFF">
      <w:pPr>
        <w:keepNext/>
        <w:keepLines/>
        <w:spacing w:before="240" w:after="0"/>
        <w:outlineLvl w:val="0"/>
        <w:rPr>
          <w:rFonts w:eastAsiaTheme="majorEastAsia" w:cs="Arial"/>
          <w:bCs/>
          <w:color w:val="117254"/>
          <w:sz w:val="28"/>
          <w:szCs w:val="28"/>
        </w:rPr>
      </w:pPr>
      <w:r w:rsidRPr="002B6AF6">
        <w:rPr>
          <w:rFonts w:eastAsiaTheme="majorEastAsia" w:cs="Arial"/>
          <w:bCs/>
          <w:color w:val="117254"/>
          <w:sz w:val="28"/>
          <w:szCs w:val="28"/>
        </w:rPr>
        <w:t xml:space="preserve">Why are the changes being made? </w:t>
      </w:r>
    </w:p>
    <w:p w14:paraId="3C0E344B" w14:textId="77777777" w:rsidR="008E3C66" w:rsidRDefault="008E3C66" w:rsidP="008E3C66">
      <w:pPr>
        <w:rPr>
          <w:rFonts w:ascii="Calibri" w:hAnsi="Calibri"/>
          <w:sz w:val="21"/>
          <w:szCs w:val="21"/>
        </w:rPr>
      </w:pPr>
      <w:r>
        <w:t>Heart disease and stroke are responsible for almost 30 per cent of all deaths and 15 per cent of Australia’s total disease burden.</w:t>
      </w:r>
    </w:p>
    <w:p w14:paraId="07F8EF07" w14:textId="77777777" w:rsidR="008E3C66" w:rsidRDefault="008E3C66" w:rsidP="008E3C66">
      <w:pPr>
        <w:rPr>
          <w:szCs w:val="22"/>
        </w:rPr>
      </w:pPr>
      <w:r>
        <w:t>This item supports the prevention and treatment of heart disease which remains a major focus of the Government, and complements significant funding through the MBS and the Pharmaceutical Benefits Scheme (PBS).</w:t>
      </w:r>
    </w:p>
    <w:p w14:paraId="73F6817C" w14:textId="77777777" w:rsidR="008E3C66" w:rsidRDefault="008E3C66" w:rsidP="008E3C66">
      <w:r>
        <w:t>The heart health check complements the range of MBS items that support rebates for people to discuss their risk of heart disease with their GP, including time-based consultations for preventive health, health assessments, and Chronic Disease Management items.</w:t>
      </w:r>
    </w:p>
    <w:p w14:paraId="52D256C0" w14:textId="77777777" w:rsidR="00AD0FCB" w:rsidRDefault="005D0626" w:rsidP="002E6FFF">
      <w:pPr>
        <w:keepNext/>
        <w:keepLines/>
        <w:spacing w:before="240" w:after="0"/>
        <w:outlineLvl w:val="0"/>
        <w:rPr>
          <w:rFonts w:eastAsiaTheme="majorEastAsia" w:cs="Arial"/>
          <w:bCs/>
          <w:color w:val="117254"/>
          <w:sz w:val="28"/>
          <w:szCs w:val="28"/>
        </w:rPr>
      </w:pPr>
      <w:r>
        <w:rPr>
          <w:rFonts w:eastAsiaTheme="majorEastAsia" w:cs="Arial"/>
          <w:bCs/>
          <w:color w:val="117254"/>
          <w:sz w:val="28"/>
          <w:szCs w:val="28"/>
        </w:rPr>
        <w:t xml:space="preserve">What does this mean for </w:t>
      </w:r>
      <w:r w:rsidR="008A72DA">
        <w:rPr>
          <w:rFonts w:eastAsiaTheme="majorEastAsia" w:cs="Arial"/>
          <w:bCs/>
          <w:color w:val="117254"/>
          <w:sz w:val="28"/>
          <w:szCs w:val="28"/>
        </w:rPr>
        <w:t>providers?</w:t>
      </w:r>
    </w:p>
    <w:p w14:paraId="6A56E262" w14:textId="77777777" w:rsidR="008E3C66" w:rsidRDefault="008E3C66" w:rsidP="008E3C66">
      <w:pPr>
        <w:rPr>
          <w:rFonts w:ascii="Calibri" w:hAnsi="Calibri"/>
          <w:sz w:val="21"/>
          <w:szCs w:val="21"/>
        </w:rPr>
      </w:pPr>
      <w:r>
        <w:t>GPs will benefit from having access to an MBS item that is specifically for assessing the cardiovascular risk of patients.</w:t>
      </w:r>
    </w:p>
    <w:p w14:paraId="2237B341" w14:textId="77777777" w:rsidR="008E3C66" w:rsidRDefault="008E3C66" w:rsidP="008E3C66">
      <w:pPr>
        <w:rPr>
          <w:szCs w:val="22"/>
        </w:rPr>
      </w:pPr>
      <w:r>
        <w:t>GPs will still be able to undertake broader, more complex health assessments where this would be more appropriate.</w:t>
      </w:r>
    </w:p>
    <w:p w14:paraId="4DE47C6F" w14:textId="77777777" w:rsidR="00AD0FCB" w:rsidRPr="002B6AF6" w:rsidRDefault="00AD0FCB" w:rsidP="00AD0FCB">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t xml:space="preserve">What </w:t>
      </w:r>
      <w:r w:rsidR="008A72DA">
        <w:rPr>
          <w:rFonts w:eastAsiaTheme="majorEastAsia" w:cs="Arial"/>
          <w:bCs/>
          <w:color w:val="117254"/>
          <w:sz w:val="28"/>
          <w:szCs w:val="28"/>
        </w:rPr>
        <w:t>does this mean for patients</w:t>
      </w:r>
      <w:r w:rsidRPr="002B6AF6">
        <w:rPr>
          <w:rFonts w:eastAsiaTheme="majorEastAsia" w:cs="Arial"/>
          <w:bCs/>
          <w:color w:val="117254"/>
          <w:sz w:val="28"/>
          <w:szCs w:val="28"/>
        </w:rPr>
        <w:t xml:space="preserve">? </w:t>
      </w:r>
    </w:p>
    <w:p w14:paraId="51869487" w14:textId="77777777" w:rsidR="008E3C66" w:rsidRDefault="00D74D75" w:rsidP="008E3C66">
      <w:pPr>
        <w:rPr>
          <w:rFonts w:ascii="Calibri" w:hAnsi="Calibri"/>
          <w:sz w:val="21"/>
          <w:szCs w:val="21"/>
        </w:rPr>
      </w:pPr>
      <w:r w:rsidRPr="00D74D75">
        <w:rPr>
          <w:rFonts w:eastAsiaTheme="minorEastAsia"/>
          <w:szCs w:val="22"/>
        </w:rPr>
        <w:t xml:space="preserve">As of 1 </w:t>
      </w:r>
      <w:r w:rsidR="008E3C66">
        <w:rPr>
          <w:rFonts w:eastAsiaTheme="minorEastAsia"/>
          <w:szCs w:val="22"/>
        </w:rPr>
        <w:t>April</w:t>
      </w:r>
      <w:r w:rsidRPr="00D74D75">
        <w:rPr>
          <w:rFonts w:eastAsiaTheme="minorEastAsia"/>
          <w:szCs w:val="22"/>
        </w:rPr>
        <w:t xml:space="preserve">, </w:t>
      </w:r>
      <w:r w:rsidR="008E3C66">
        <w:t>patients will benefit from the introduction of this item through potentially earlier identification of cardiovascular disease and more timely and appropriate medical intervention to support improved outcomes.</w:t>
      </w:r>
    </w:p>
    <w:p w14:paraId="32FCCF98" w14:textId="77777777" w:rsidR="00AD0FCB" w:rsidRPr="00A73AC1" w:rsidRDefault="00AD0FCB" w:rsidP="00A73AC1">
      <w:pPr>
        <w:keepNext/>
        <w:keepLines/>
        <w:spacing w:before="240" w:after="40"/>
        <w:outlineLvl w:val="0"/>
        <w:rPr>
          <w:rFonts w:eastAsiaTheme="majorEastAsia" w:cs="Arial"/>
          <w:bCs/>
          <w:color w:val="117254"/>
          <w:sz w:val="28"/>
          <w:szCs w:val="28"/>
        </w:rPr>
      </w:pPr>
      <w:r w:rsidRPr="00A73AC1">
        <w:rPr>
          <w:rFonts w:eastAsiaTheme="majorEastAsia" w:cs="Arial"/>
          <w:bCs/>
          <w:color w:val="117254"/>
          <w:sz w:val="28"/>
          <w:szCs w:val="28"/>
        </w:rPr>
        <w:t>When will this change be reviewed?</w:t>
      </w:r>
    </w:p>
    <w:p w14:paraId="4FD78AAD" w14:textId="77777777" w:rsidR="00A73AC1" w:rsidRPr="00A73AC1" w:rsidRDefault="00A73AC1" w:rsidP="00A73AC1">
      <w:r w:rsidRPr="00A73AC1">
        <w:t>These new items will be reviewed and evaluated over the next two years, in consultation with the profession, to help inform their effectiveness and any future improvements.</w:t>
      </w:r>
    </w:p>
    <w:p w14:paraId="27B4B7D0" w14:textId="001F2A03" w:rsidR="008F48C9" w:rsidRPr="00A73AC1" w:rsidRDefault="00A73AC1" w:rsidP="008F48C9">
      <w:r w:rsidRPr="00A73AC1">
        <w:t>In addition to the evaluation of the new items, t</w:t>
      </w:r>
      <w:r w:rsidR="008F48C9" w:rsidRPr="00A73AC1">
        <w:t xml:space="preserve">he Department of Health regularly reviews the usage of new and amended MBS items in consultation with the profession. </w:t>
      </w:r>
    </w:p>
    <w:p w14:paraId="5AFC65E0" w14:textId="77777777" w:rsidR="008F48C9" w:rsidRPr="00A73AC1" w:rsidRDefault="008F48C9" w:rsidP="008F48C9">
      <w:r w:rsidRPr="00A73AC1">
        <w:t xml:space="preserve">All MBS items may be subject to compliance processes and activities, including random and targeted audits which may require a provider to submit information about the services claimed. </w:t>
      </w:r>
    </w:p>
    <w:p w14:paraId="1FDD2EE0" w14:textId="77777777" w:rsidR="008F48C9" w:rsidRPr="00A73AC1" w:rsidRDefault="008F48C9" w:rsidP="008F48C9">
      <w:r w:rsidRPr="00A73AC1">
        <w:t>Significant variation from forecasted expenditure may warrant review and amendment of fees, and incorrect use of MBS items can result in penalties including the health professional being asked to repay monies that have been incorrectly received.</w:t>
      </w:r>
    </w:p>
    <w:p w14:paraId="035BFB74" w14:textId="77777777" w:rsidR="00AD0FCB" w:rsidRPr="002B6AF6" w:rsidRDefault="00AD0FCB" w:rsidP="00AD0FCB">
      <w:pPr>
        <w:keepNext/>
        <w:keepLines/>
        <w:spacing w:before="240" w:after="40"/>
        <w:outlineLvl w:val="0"/>
        <w:rPr>
          <w:rFonts w:eastAsiaTheme="majorEastAsia" w:cs="Arial"/>
          <w:bCs/>
          <w:color w:val="117254"/>
          <w:sz w:val="28"/>
          <w:szCs w:val="28"/>
        </w:rPr>
      </w:pPr>
      <w:r w:rsidRPr="002B6AF6">
        <w:rPr>
          <w:rFonts w:eastAsiaTheme="majorEastAsia" w:cs="Arial"/>
          <w:bCs/>
          <w:color w:val="117254"/>
          <w:sz w:val="28"/>
          <w:szCs w:val="28"/>
        </w:rPr>
        <w:lastRenderedPageBreak/>
        <w:t>Where can I find more information?</w:t>
      </w:r>
    </w:p>
    <w:p w14:paraId="7ACA4DD4" w14:textId="77777777" w:rsidR="008F48C9" w:rsidRDefault="008F48C9" w:rsidP="008F48C9">
      <w:r>
        <w:t>The full item descriptor and</w:t>
      </w:r>
      <w:r w:rsidRPr="007E14C4">
        <w:t xml:space="preserve"> information on other changes to the MBS</w:t>
      </w:r>
      <w:r>
        <w:t xml:space="preserve"> can be found at the </w:t>
      </w:r>
      <w:hyperlink r:id="rId7" w:history="1">
        <w:r w:rsidRPr="00E50D29">
          <w:rPr>
            <w:rStyle w:val="Hyperlink"/>
          </w:rPr>
          <w:t>MBS Online website</w:t>
        </w:r>
      </w:hyperlink>
      <w:r>
        <w:t xml:space="preserve"> or by calling the Department of Human Services on 132 150. </w:t>
      </w:r>
    </w:p>
    <w:p w14:paraId="3E18C32A" w14:textId="77777777" w:rsidR="000E105B" w:rsidRPr="00614299" w:rsidRDefault="008F48C9" w:rsidP="00AD0FCB">
      <w:pPr>
        <w:rPr>
          <w:rFonts w:eastAsiaTheme="majorEastAsia" w:cs="Arial"/>
          <w:bCs/>
          <w:sz w:val="28"/>
          <w:szCs w:val="28"/>
        </w:rPr>
      </w:pPr>
      <w:r w:rsidRPr="00614299">
        <w:rPr>
          <w:rFonts w:eastAsiaTheme="majorEastAsia" w:cs="Arial"/>
          <w:bCs/>
          <w:sz w:val="28"/>
          <w:szCs w:val="28"/>
        </w:rPr>
        <w:t>New</w:t>
      </w:r>
      <w:r w:rsidR="000E105B" w:rsidRPr="00614299">
        <w:rPr>
          <w:rFonts w:eastAsiaTheme="majorEastAsia" w:cs="Arial"/>
          <w:bCs/>
          <w:sz w:val="28"/>
          <w:szCs w:val="28"/>
        </w:rPr>
        <w:t xml:space="preserve"> items</w:t>
      </w:r>
    </w:p>
    <w:p w14:paraId="5703F38E" w14:textId="77777777" w:rsidR="008F48C9" w:rsidRPr="00614299" w:rsidRDefault="00EE0BAA" w:rsidP="00AD0FCB">
      <w:pPr>
        <w:rPr>
          <w:lang w:eastAsia="en-AU"/>
        </w:rPr>
      </w:pPr>
      <w:r w:rsidRPr="00614299">
        <w:t>(Draft wording of items to be finalised through regulatory amendments)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614299" w:rsidRPr="00614299" w14:paraId="115FC9F8" w14:textId="77777777" w:rsidTr="00D74D75">
        <w:trPr>
          <w:trHeight w:val="416"/>
        </w:trPr>
        <w:tc>
          <w:tcPr>
            <w:tcW w:w="9134" w:type="dxa"/>
            <w:shd w:val="clear" w:color="auto" w:fill="auto"/>
            <w:vAlign w:val="center"/>
          </w:tcPr>
          <w:p w14:paraId="4DA36B7F" w14:textId="5A10B6BB" w:rsidR="00D74D75" w:rsidRPr="00614299" w:rsidRDefault="00D74D75" w:rsidP="00D74D75">
            <w:pPr>
              <w:rPr>
                <w:rStyle w:val="Strong"/>
              </w:rPr>
            </w:pPr>
            <w:r w:rsidRPr="00614299">
              <w:rPr>
                <w:rStyle w:val="Strong"/>
              </w:rPr>
              <w:t xml:space="preserve">MBS item </w:t>
            </w:r>
            <w:r w:rsidR="00996520" w:rsidRPr="00614299">
              <w:rPr>
                <w:rStyle w:val="Strong"/>
              </w:rPr>
              <w:t>699</w:t>
            </w:r>
          </w:p>
        </w:tc>
      </w:tr>
      <w:tr w:rsidR="00614299" w:rsidRPr="00614299" w14:paraId="4DA2E8D0" w14:textId="77777777" w:rsidTr="000D0DDA">
        <w:trPr>
          <w:trHeight w:val="2897"/>
        </w:trPr>
        <w:tc>
          <w:tcPr>
            <w:tcW w:w="9134" w:type="dxa"/>
            <w:shd w:val="clear" w:color="auto" w:fill="auto"/>
          </w:tcPr>
          <w:p w14:paraId="68139D7B" w14:textId="2532AD0E" w:rsidR="004F4553" w:rsidRDefault="004F4553" w:rsidP="002F2445">
            <w:pPr>
              <w:pStyle w:val="NormalWeb"/>
              <w:spacing w:before="0" w:beforeAutospacing="0" w:after="0" w:afterAutospacing="0"/>
            </w:pPr>
            <w:r w:rsidRPr="00614299">
              <w:t>Professional attendance for a heart health assessment by a general practitioner at consulting rooms lasting at least 20 minutes and must include:</w:t>
            </w:r>
          </w:p>
          <w:p w14:paraId="2425ADCE" w14:textId="77777777" w:rsidR="00EB2B2F" w:rsidRPr="00614299" w:rsidRDefault="00EB2B2F" w:rsidP="002F2445">
            <w:pPr>
              <w:pStyle w:val="NormalWeb"/>
              <w:spacing w:before="0" w:beforeAutospacing="0" w:after="0" w:afterAutospacing="0"/>
            </w:pPr>
          </w:p>
          <w:p w14:paraId="73F60A06" w14:textId="57FC0B20" w:rsidR="002F2445" w:rsidRPr="00614299" w:rsidRDefault="004F4553" w:rsidP="002F2445">
            <w:pPr>
              <w:pStyle w:val="NormalWeb"/>
              <w:spacing w:before="0" w:beforeAutospacing="0" w:after="0" w:afterAutospacing="0"/>
              <w:ind w:left="720"/>
            </w:pPr>
            <w:r w:rsidRPr="00614299">
              <w:t>(a) collection of relevant information, including taking a patient history that is aimed at identifying cardiovascular disease risk factors, including diabetes status, alcohol intake,  smoki</w:t>
            </w:r>
            <w:r w:rsidR="002F2445" w:rsidRPr="00614299">
              <w:t>ng status, cholesterol status (</w:t>
            </w:r>
            <w:r w:rsidRPr="00614299">
              <w:t>if not performed within the last 12</w:t>
            </w:r>
            <w:r w:rsidR="002F2445" w:rsidRPr="00614299">
              <w:t xml:space="preserve"> </w:t>
            </w:r>
            <w:r w:rsidRPr="00614299">
              <w:t xml:space="preserve">months) and blood glucose; </w:t>
            </w:r>
          </w:p>
          <w:p w14:paraId="0049285A" w14:textId="33D7AC34" w:rsidR="004F4553" w:rsidRPr="00614299" w:rsidRDefault="004F4553" w:rsidP="002F2445">
            <w:pPr>
              <w:pStyle w:val="NormalWeb"/>
              <w:spacing w:before="0" w:beforeAutospacing="0" w:after="0" w:afterAutospacing="0"/>
              <w:ind w:left="720"/>
            </w:pPr>
            <w:r w:rsidRPr="00614299">
              <w:t>(b) a physical examination, which must include recording of blood pressure;</w:t>
            </w:r>
          </w:p>
          <w:p w14:paraId="103C157C" w14:textId="350AF441" w:rsidR="004F4553" w:rsidRPr="00614299" w:rsidRDefault="004F4553" w:rsidP="002F2445">
            <w:pPr>
              <w:pStyle w:val="NormalWeb"/>
              <w:spacing w:before="0" w:beforeAutospacing="0" w:after="0" w:afterAutospacing="0"/>
              <w:ind w:left="720"/>
            </w:pPr>
            <w:r w:rsidRPr="00614299">
              <w:t xml:space="preserve">(c) initiating interventions and referrals to address the identified risk factors; </w:t>
            </w:r>
            <w:r w:rsidRPr="00614299">
              <w:br/>
              <w:t xml:space="preserve">(d) implementing a management plan for appropriate treatment of identified risk factors; </w:t>
            </w:r>
            <w:r w:rsidRPr="00614299">
              <w:br/>
              <w:t>(e) providing the patient with preventative health care advice and information, including modifiable lifestyle factors;</w:t>
            </w:r>
          </w:p>
          <w:p w14:paraId="4E8B72DD" w14:textId="77777777" w:rsidR="00EB2B2F" w:rsidRDefault="00EB2B2F" w:rsidP="00614299">
            <w:pPr>
              <w:pStyle w:val="NormalWeb"/>
              <w:spacing w:before="0" w:beforeAutospacing="0" w:after="0" w:afterAutospacing="0"/>
            </w:pPr>
          </w:p>
          <w:p w14:paraId="59A12509" w14:textId="569934CD" w:rsidR="00D74D75" w:rsidRDefault="004F4553" w:rsidP="00614299">
            <w:pPr>
              <w:pStyle w:val="NormalWeb"/>
              <w:spacing w:before="0" w:beforeAutospacing="0" w:after="0" w:afterAutospacing="0"/>
            </w:pPr>
            <w:r w:rsidRPr="00614299">
              <w:t>with appropriate documentation.</w:t>
            </w:r>
          </w:p>
          <w:p w14:paraId="3903460B" w14:textId="4384D30B" w:rsidR="00EB2B2F" w:rsidRPr="00614299" w:rsidRDefault="00EB2B2F" w:rsidP="00614299">
            <w:pPr>
              <w:pStyle w:val="NormalWeb"/>
              <w:spacing w:before="0" w:beforeAutospacing="0" w:after="0" w:afterAutospacing="0"/>
            </w:pPr>
          </w:p>
        </w:tc>
      </w:tr>
      <w:tr w:rsidR="00614299" w:rsidRPr="00614299" w14:paraId="58949139" w14:textId="77777777" w:rsidTr="00D74D75">
        <w:trPr>
          <w:trHeight w:val="414"/>
        </w:trPr>
        <w:tc>
          <w:tcPr>
            <w:tcW w:w="9134" w:type="dxa"/>
            <w:shd w:val="clear" w:color="auto" w:fill="auto"/>
            <w:vAlign w:val="center"/>
          </w:tcPr>
          <w:p w14:paraId="7DCA6513" w14:textId="77777777" w:rsidR="00D74D75" w:rsidRPr="00614299" w:rsidRDefault="00D74D75" w:rsidP="000D0DDA">
            <w:pPr>
              <w:pStyle w:val="Tabletext"/>
              <w:rPr>
                <w:rFonts w:ascii="Arial" w:hAnsi="Arial" w:cs="Arial"/>
                <w:sz w:val="22"/>
                <w:szCs w:val="22"/>
              </w:rPr>
            </w:pPr>
            <w:r w:rsidRPr="00614299">
              <w:rPr>
                <w:rFonts w:ascii="Arial" w:hAnsi="Arial" w:cs="Arial"/>
                <w:b/>
                <w:sz w:val="22"/>
                <w:szCs w:val="22"/>
              </w:rPr>
              <w:t>Fee:</w:t>
            </w:r>
            <w:r w:rsidR="000D0DDA" w:rsidRPr="00614299">
              <w:rPr>
                <w:rFonts w:ascii="Arial" w:hAnsi="Arial" w:cs="Arial"/>
                <w:sz w:val="22"/>
                <w:szCs w:val="22"/>
              </w:rPr>
              <w:t xml:space="preserve"> $85.60</w:t>
            </w:r>
            <w:r w:rsidRPr="00614299">
              <w:rPr>
                <w:rFonts w:ascii="Arial" w:hAnsi="Arial" w:cs="Arial"/>
                <w:sz w:val="22"/>
                <w:szCs w:val="22"/>
              </w:rPr>
              <w:t xml:space="preserve">   </w:t>
            </w:r>
            <w:r w:rsidRPr="00614299">
              <w:rPr>
                <w:rFonts w:ascii="Arial" w:hAnsi="Arial" w:cs="Arial"/>
                <w:b/>
                <w:sz w:val="22"/>
                <w:szCs w:val="22"/>
              </w:rPr>
              <w:t>MBS benefit:</w:t>
            </w:r>
            <w:r w:rsidRPr="00614299">
              <w:rPr>
                <w:rFonts w:ascii="Arial" w:hAnsi="Arial" w:cs="Arial"/>
                <w:sz w:val="22"/>
                <w:szCs w:val="22"/>
              </w:rPr>
              <w:t xml:space="preserve">  85%  =  $</w:t>
            </w:r>
            <w:r w:rsidR="000D0DDA" w:rsidRPr="00614299">
              <w:rPr>
                <w:rFonts w:ascii="Arial" w:hAnsi="Arial" w:cs="Arial"/>
                <w:sz w:val="22"/>
                <w:szCs w:val="22"/>
              </w:rPr>
              <w:t>72.80</w:t>
            </w:r>
          </w:p>
        </w:tc>
      </w:tr>
      <w:tr w:rsidR="00614299" w:rsidRPr="00614299" w14:paraId="09B6F66E" w14:textId="77777777" w:rsidTr="00D74D75">
        <w:trPr>
          <w:trHeight w:val="414"/>
        </w:trPr>
        <w:tc>
          <w:tcPr>
            <w:tcW w:w="9134" w:type="dxa"/>
            <w:shd w:val="clear" w:color="auto" w:fill="auto"/>
            <w:vAlign w:val="center"/>
          </w:tcPr>
          <w:p w14:paraId="56941358" w14:textId="77777777" w:rsidR="00D74D75" w:rsidRPr="00614299" w:rsidRDefault="00D74D75" w:rsidP="00D74D75">
            <w:pPr>
              <w:rPr>
                <w:rStyle w:val="Strong"/>
              </w:rPr>
            </w:pPr>
            <w:r w:rsidRPr="00614299">
              <w:rPr>
                <w:rStyle w:val="Strong"/>
              </w:rPr>
              <w:t xml:space="preserve">MBS item </w:t>
            </w:r>
            <w:r w:rsidR="008E3C66" w:rsidRPr="00614299">
              <w:rPr>
                <w:rStyle w:val="Strong"/>
              </w:rPr>
              <w:t>177</w:t>
            </w:r>
          </w:p>
        </w:tc>
      </w:tr>
      <w:tr w:rsidR="00614299" w:rsidRPr="00614299" w14:paraId="18DA26DA" w14:textId="77777777" w:rsidTr="00DE6012">
        <w:trPr>
          <w:trHeight w:val="3453"/>
        </w:trPr>
        <w:tc>
          <w:tcPr>
            <w:tcW w:w="9134" w:type="dxa"/>
            <w:shd w:val="clear" w:color="auto" w:fill="auto"/>
            <w:vAlign w:val="center"/>
          </w:tcPr>
          <w:p w14:paraId="34B887A1" w14:textId="77777777" w:rsidR="004F4553" w:rsidRPr="00614299" w:rsidRDefault="004F4553" w:rsidP="002F2445">
            <w:pPr>
              <w:pStyle w:val="NormalWeb"/>
              <w:spacing w:before="0" w:beforeAutospacing="0" w:after="0" w:afterAutospacing="0"/>
            </w:pPr>
            <w:r w:rsidRPr="00614299">
              <w:t>Professional attendance for a heart health assessment by a medical practitioner (other than a specialist or consultant physician) at consulting rooms lasting at least 20 minutes and must include:</w:t>
            </w:r>
            <w:r w:rsidRPr="00614299">
              <w:br/>
            </w:r>
          </w:p>
          <w:p w14:paraId="2637FF43" w14:textId="40B2057E" w:rsidR="004F4553" w:rsidRPr="00614299" w:rsidRDefault="004F4553" w:rsidP="002F2445">
            <w:pPr>
              <w:pStyle w:val="NormalWeb"/>
              <w:spacing w:before="0" w:beforeAutospacing="0" w:after="0" w:afterAutospacing="0"/>
              <w:ind w:left="720"/>
            </w:pPr>
            <w:r w:rsidRPr="00614299">
              <w:t>(a) collection of relevant information, including taking a patient history that is aimed at identifying cardiovascular disease risk factors, including diabetes status, alcohol intake, smoki</w:t>
            </w:r>
            <w:r w:rsidR="002F2445" w:rsidRPr="00614299">
              <w:t>ng status, cholesterol status (</w:t>
            </w:r>
            <w:r w:rsidRPr="00614299">
              <w:t>if not performed within the last 12</w:t>
            </w:r>
            <w:r w:rsidR="002F2445" w:rsidRPr="00614299">
              <w:t xml:space="preserve"> </w:t>
            </w:r>
            <w:r w:rsidRPr="00614299">
              <w:t xml:space="preserve">months) and blood glucose; </w:t>
            </w:r>
          </w:p>
          <w:p w14:paraId="4D4863AA" w14:textId="77777777" w:rsidR="004F4553" w:rsidRPr="00614299" w:rsidRDefault="004F4553" w:rsidP="002F2445">
            <w:pPr>
              <w:pStyle w:val="NormalWeb"/>
              <w:spacing w:before="0" w:beforeAutospacing="0" w:after="0" w:afterAutospacing="0"/>
              <w:ind w:left="720"/>
            </w:pPr>
            <w:r w:rsidRPr="00614299">
              <w:t>(b) a physical examination, which must include recording of blood pressure;</w:t>
            </w:r>
          </w:p>
          <w:p w14:paraId="6D243EAE" w14:textId="0559A5D3" w:rsidR="004F4553" w:rsidRPr="00614299" w:rsidRDefault="00EB2B2F" w:rsidP="002F2445">
            <w:pPr>
              <w:pStyle w:val="NormalWeb"/>
              <w:spacing w:before="0" w:beforeAutospacing="0" w:after="0" w:afterAutospacing="0"/>
              <w:ind w:left="720"/>
            </w:pPr>
            <w:r>
              <w:t>(</w:t>
            </w:r>
            <w:r w:rsidR="004F4553" w:rsidRPr="00614299">
              <w:t xml:space="preserve">c) initiating interventions and referrals to address the identified risk factors; </w:t>
            </w:r>
            <w:r w:rsidR="004F4553" w:rsidRPr="00614299">
              <w:br/>
              <w:t xml:space="preserve">(d) implementing a management plan for appropriate treatment of identified risk factors; </w:t>
            </w:r>
            <w:r w:rsidR="004F4553" w:rsidRPr="00614299">
              <w:br/>
              <w:t>(e) providing the patient with preventative health care advice and information, including modifiable lifestyle factors;</w:t>
            </w:r>
          </w:p>
          <w:p w14:paraId="39102319" w14:textId="77777777" w:rsidR="00EB2B2F" w:rsidRDefault="00EB2B2F" w:rsidP="002F2445">
            <w:pPr>
              <w:pStyle w:val="NormalWeb"/>
              <w:spacing w:before="0" w:beforeAutospacing="0" w:after="0" w:afterAutospacing="0"/>
            </w:pPr>
          </w:p>
          <w:p w14:paraId="01230725" w14:textId="1211344D" w:rsidR="004F4553" w:rsidRPr="00614299" w:rsidRDefault="004F4553" w:rsidP="002F2445">
            <w:pPr>
              <w:pStyle w:val="NormalWeb"/>
              <w:spacing w:before="0" w:beforeAutospacing="0" w:after="0" w:afterAutospacing="0"/>
            </w:pPr>
            <w:r w:rsidRPr="00614299">
              <w:t>with appropriate documentation.</w:t>
            </w:r>
          </w:p>
          <w:p w14:paraId="0A527834" w14:textId="6800CD13" w:rsidR="00D74D75" w:rsidRPr="00614299" w:rsidRDefault="00D74D75" w:rsidP="002F2445">
            <w:pPr>
              <w:pStyle w:val="NormalWeb"/>
              <w:spacing w:before="0" w:beforeAutospacing="0" w:after="0" w:afterAutospacing="0"/>
            </w:pPr>
          </w:p>
        </w:tc>
      </w:tr>
      <w:tr w:rsidR="00614299" w:rsidRPr="00614299" w14:paraId="263882A0" w14:textId="77777777" w:rsidTr="00D74D75">
        <w:trPr>
          <w:trHeight w:val="414"/>
        </w:trPr>
        <w:tc>
          <w:tcPr>
            <w:tcW w:w="9134" w:type="dxa"/>
            <w:shd w:val="clear" w:color="auto" w:fill="auto"/>
            <w:vAlign w:val="center"/>
          </w:tcPr>
          <w:p w14:paraId="0411495F" w14:textId="77777777" w:rsidR="00D74D75" w:rsidRPr="00614299" w:rsidRDefault="009A7B10" w:rsidP="000D0DDA">
            <w:pPr>
              <w:pStyle w:val="Tabletext"/>
              <w:rPr>
                <w:rFonts w:ascii="Arial" w:hAnsi="Arial" w:cs="Arial"/>
                <w:sz w:val="22"/>
                <w:szCs w:val="22"/>
              </w:rPr>
            </w:pPr>
            <w:r w:rsidRPr="00614299">
              <w:rPr>
                <w:rFonts w:ascii="Arial" w:hAnsi="Arial" w:cs="Arial"/>
                <w:b/>
                <w:sz w:val="22"/>
                <w:szCs w:val="22"/>
              </w:rPr>
              <w:t>Fee:</w:t>
            </w:r>
            <w:r w:rsidRPr="00614299">
              <w:rPr>
                <w:rFonts w:ascii="Arial" w:hAnsi="Arial" w:cs="Arial"/>
                <w:sz w:val="22"/>
                <w:szCs w:val="22"/>
              </w:rPr>
              <w:t xml:space="preserve"> $</w:t>
            </w:r>
            <w:r w:rsidR="000D0DDA" w:rsidRPr="00614299">
              <w:rPr>
                <w:rFonts w:ascii="Arial" w:hAnsi="Arial" w:cs="Arial"/>
                <w:sz w:val="22"/>
                <w:szCs w:val="22"/>
              </w:rPr>
              <w:t>68.50</w:t>
            </w:r>
            <w:r w:rsidRPr="00614299">
              <w:rPr>
                <w:rFonts w:ascii="Arial" w:hAnsi="Arial" w:cs="Arial"/>
                <w:sz w:val="22"/>
                <w:szCs w:val="22"/>
              </w:rPr>
              <w:t xml:space="preserve">   </w:t>
            </w:r>
            <w:r w:rsidRPr="00614299">
              <w:rPr>
                <w:rFonts w:ascii="Arial" w:hAnsi="Arial" w:cs="Arial"/>
                <w:b/>
                <w:sz w:val="22"/>
                <w:szCs w:val="22"/>
              </w:rPr>
              <w:t>MBS benefit:</w:t>
            </w:r>
            <w:r w:rsidRPr="00614299">
              <w:rPr>
                <w:rFonts w:ascii="Arial" w:hAnsi="Arial" w:cs="Arial"/>
                <w:sz w:val="22"/>
                <w:szCs w:val="22"/>
              </w:rPr>
              <w:t xml:space="preserve">  85%  =  $</w:t>
            </w:r>
            <w:r w:rsidR="000D0DDA" w:rsidRPr="00614299">
              <w:rPr>
                <w:rFonts w:ascii="Arial" w:hAnsi="Arial" w:cs="Arial"/>
                <w:sz w:val="22"/>
                <w:szCs w:val="22"/>
              </w:rPr>
              <w:t>58.20</w:t>
            </w:r>
          </w:p>
        </w:tc>
      </w:tr>
    </w:tbl>
    <w:p w14:paraId="2B4327E5" w14:textId="77777777" w:rsidR="00AC06BC" w:rsidRDefault="00AC06BC"/>
    <w:sectPr w:rsidR="00AC06BC" w:rsidSect="00AD0FCB">
      <w:headerReference w:type="even" r:id="rId8"/>
      <w:headerReference w:type="default" r:id="rId9"/>
      <w:footerReference w:type="even" r:id="rId10"/>
      <w:footerReference w:type="default" r:id="rId11"/>
      <w:headerReference w:type="first" r:id="rId12"/>
      <w:footerReference w:type="first" r:id="rId13"/>
      <w:pgSz w:w="11906" w:h="16838" w:code="9"/>
      <w:pgMar w:top="856" w:right="1440" w:bottom="1134" w:left="1440"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2DF22" w14:textId="77777777" w:rsidR="00834E7E" w:rsidRDefault="00834E7E">
      <w:pPr>
        <w:spacing w:before="0" w:after="0"/>
      </w:pPr>
      <w:r>
        <w:separator/>
      </w:r>
    </w:p>
  </w:endnote>
  <w:endnote w:type="continuationSeparator" w:id="0">
    <w:p w14:paraId="3292AC24" w14:textId="77777777" w:rsidR="00834E7E" w:rsidRDefault="00834E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46E7" w14:textId="77777777" w:rsidR="00990076" w:rsidRDefault="00B56AF1" w:rsidP="00743091"/>
  <w:p w14:paraId="2010F8F1" w14:textId="77777777" w:rsidR="00A87435" w:rsidRDefault="00B56AF1" w:rsidP="007430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3F012" w14:textId="23D3507F" w:rsidR="00690C0B" w:rsidRPr="00A563EC" w:rsidRDefault="004F57DA" w:rsidP="00743091">
    <w:pPr>
      <w:pStyle w:val="Footnote"/>
      <w:pBdr>
        <w:top w:val="single" w:sz="12" w:space="1" w:color="117254"/>
      </w:pBdr>
      <w:tabs>
        <w:tab w:val="right" w:pos="9026"/>
      </w:tabs>
    </w:pPr>
    <w:r w:rsidRPr="00475405">
      <w:rPr>
        <w:rStyle w:val="Strong"/>
      </w:rPr>
      <w:t>Medicare Benefits Schedule</w:t>
    </w:r>
    <w:r>
      <w:rPr>
        <w:rStyle w:val="Strong"/>
      </w:rPr>
      <w:t xml:space="preserve"> </w:t>
    </w:r>
    <w:r>
      <w:rPr>
        <w:rStyle w:val="Strong"/>
      </w:rPr>
      <w:br/>
    </w:r>
    <w:r w:rsidRPr="00475405">
      <w:rPr>
        <w:rStyle w:val="Strong"/>
      </w:rPr>
      <w:t>Fact Sheet</w:t>
    </w:r>
    <w:r>
      <w:rPr>
        <w:rStyle w:val="Strong"/>
      </w:rPr>
      <w:t xml:space="preserve">: </w:t>
    </w:r>
    <w:r w:rsidRPr="00743091">
      <w:rPr>
        <w:rStyle w:val="Strong"/>
        <w:b w:val="0"/>
      </w:rPr>
      <w:fldChar w:fldCharType="begin"/>
    </w:r>
    <w:r w:rsidRPr="00743091">
      <w:rPr>
        <w:rStyle w:val="Strong"/>
      </w:rPr>
      <w:instrText xml:space="preserve"> REF _Ref394501517 </w:instrText>
    </w:r>
    <w:r>
      <w:rPr>
        <w:rStyle w:val="Strong"/>
      </w:rPr>
      <w:instrText xml:space="preserve"> \* MERGEFORMAT </w:instrText>
    </w:r>
    <w:r w:rsidRPr="00743091">
      <w:rPr>
        <w:rStyle w:val="Strong"/>
        <w:b w:val="0"/>
      </w:rPr>
      <w:fldChar w:fldCharType="separate"/>
    </w:r>
    <w:sdt>
      <w:sdtPr>
        <w:rPr>
          <w:b/>
        </w:rPr>
        <w:id w:val="-887884301"/>
        <w:placeholder>
          <w:docPart w:val="B6028F23F583439A81AC9242CD74EC9E"/>
        </w:placeholder>
        <w:text/>
      </w:sdtPr>
      <w:sdtEndPr/>
      <w:sdtContent>
        <w:r w:rsidR="002F2445">
          <w:rPr>
            <w:b/>
          </w:rPr>
          <w:t>New MBS items for Heart Health Check</w:t>
        </w:r>
        <w:r w:rsidR="00361778" w:rsidRPr="00361778">
          <w:rPr>
            <w:b/>
          </w:rPr>
          <w:t xml:space="preserve"> </w:t>
        </w:r>
      </w:sdtContent>
    </w:sdt>
    <w:r w:rsidRPr="00743091">
      <w:rPr>
        <w:rStyle w:val="Strong"/>
        <w:b w:val="0"/>
      </w:rPr>
      <w:fldChar w:fldCharType="end"/>
    </w:r>
    <w:r w:rsidRPr="00A563EC">
      <w:tab/>
    </w:r>
    <w:sdt>
      <w:sdtPr>
        <w:id w:val="-1088460485"/>
        <w:docPartObj>
          <w:docPartGallery w:val="Page Numbers (Bottom of Page)"/>
          <w:docPartUnique/>
        </w:docPartObj>
      </w:sdtPr>
      <w:sdtEndPr/>
      <w:sdtContent>
        <w:r w:rsidRPr="00A563EC">
          <w:t xml:space="preserve">Page </w:t>
        </w:r>
        <w:r w:rsidRPr="00A563EC">
          <w:fldChar w:fldCharType="begin"/>
        </w:r>
        <w:r w:rsidRPr="00A563EC">
          <w:instrText xml:space="preserve"> PAGE  \* Arabic  \* MERGEFORMAT </w:instrText>
        </w:r>
        <w:r w:rsidRPr="00A563EC">
          <w:fldChar w:fldCharType="separate"/>
        </w:r>
        <w:r w:rsidR="00EB2B2F">
          <w:rPr>
            <w:noProof/>
          </w:rPr>
          <w:t>2</w:t>
        </w:r>
        <w:r w:rsidRPr="00A563EC">
          <w:fldChar w:fldCharType="end"/>
        </w:r>
        <w:r w:rsidRPr="00A563EC">
          <w:t xml:space="preserve"> of </w:t>
        </w:r>
        <w:r>
          <w:rPr>
            <w:noProof/>
          </w:rPr>
          <w:fldChar w:fldCharType="begin"/>
        </w:r>
        <w:r>
          <w:rPr>
            <w:noProof/>
          </w:rPr>
          <w:instrText xml:space="preserve"> NUMPAGES  \* Arabic  \* MERGEFORMAT </w:instrText>
        </w:r>
        <w:r>
          <w:rPr>
            <w:noProof/>
          </w:rPr>
          <w:fldChar w:fldCharType="separate"/>
        </w:r>
        <w:r w:rsidR="00EB2B2F">
          <w:rPr>
            <w:noProof/>
          </w:rPr>
          <w:t>2</w:t>
        </w:r>
        <w:r>
          <w:rPr>
            <w:noProof/>
          </w:rPr>
          <w:fldChar w:fldCharType="end"/>
        </w:r>
      </w:sdtContent>
    </w:sdt>
    <w:r>
      <w:br/>
    </w:r>
    <w:hyperlink r:id="rId1" w:history="1">
      <w:proofErr w:type="spellStart"/>
      <w:r w:rsidRPr="006F4D33">
        <w:rPr>
          <w:rStyle w:val="Hyperlink"/>
        </w:rPr>
        <w:t>MBSOnline</w:t>
      </w:r>
      <w:proofErr w:type="spellEnd"/>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DEC87" w14:textId="77777777" w:rsidR="0091062C" w:rsidRDefault="00B56AF1">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123EC" w14:textId="77777777" w:rsidR="00834E7E" w:rsidRDefault="00834E7E">
      <w:pPr>
        <w:spacing w:before="0" w:after="0"/>
      </w:pPr>
      <w:r>
        <w:separator/>
      </w:r>
    </w:p>
  </w:footnote>
  <w:footnote w:type="continuationSeparator" w:id="0">
    <w:p w14:paraId="58812AF0" w14:textId="77777777" w:rsidR="00834E7E" w:rsidRDefault="00834E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FDE1" w14:textId="77777777" w:rsidR="00990076" w:rsidRDefault="00B56AF1" w:rsidP="00743091"/>
  <w:p w14:paraId="617C79AD" w14:textId="77777777" w:rsidR="00A87435" w:rsidRDefault="00B56AF1" w:rsidP="0074309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1863" w14:textId="77777777" w:rsidR="00A563EC" w:rsidRDefault="00B56AF1" w:rsidP="00743091"/>
  <w:p w14:paraId="4DC77E22" w14:textId="77777777" w:rsidR="00A87435" w:rsidRDefault="004F57DA" w:rsidP="00743091">
    <w:pPr>
      <w:pBdr>
        <w:bottom w:val="single" w:sz="12" w:space="12" w:color="117254"/>
      </w:pBdr>
    </w:pPr>
    <w:r>
      <w:rPr>
        <w:noProof/>
        <w:lang w:eastAsia="en-AU"/>
      </w:rPr>
      <w:drawing>
        <wp:inline distT="0" distB="0" distL="0" distR="0" wp14:anchorId="7E2F56CF" wp14:editId="79223B9B">
          <wp:extent cx="2590800" cy="619125"/>
          <wp:effectExtent l="0" t="0" r="0" b="9525"/>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49ED3" w14:textId="77777777" w:rsidR="0091062C" w:rsidRDefault="00B56AF1">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F2789"/>
    <w:multiLevelType w:val="hybridMultilevel"/>
    <w:tmpl w:val="FD509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CB"/>
    <w:rsid w:val="000763F9"/>
    <w:rsid w:val="00076B37"/>
    <w:rsid w:val="000D0DDA"/>
    <w:rsid w:val="000E105B"/>
    <w:rsid w:val="00137AE9"/>
    <w:rsid w:val="00156DE5"/>
    <w:rsid w:val="00187213"/>
    <w:rsid w:val="001B4D22"/>
    <w:rsid w:val="001D58B1"/>
    <w:rsid w:val="001E41BF"/>
    <w:rsid w:val="0024744D"/>
    <w:rsid w:val="002E6FFF"/>
    <w:rsid w:val="002F2445"/>
    <w:rsid w:val="00361778"/>
    <w:rsid w:val="0040116B"/>
    <w:rsid w:val="00414DDC"/>
    <w:rsid w:val="004F4553"/>
    <w:rsid w:val="004F57DA"/>
    <w:rsid w:val="0051685A"/>
    <w:rsid w:val="005650C7"/>
    <w:rsid w:val="005D0626"/>
    <w:rsid w:val="00614299"/>
    <w:rsid w:val="00644040"/>
    <w:rsid w:val="00695DAB"/>
    <w:rsid w:val="006B5FFC"/>
    <w:rsid w:val="006C3AA5"/>
    <w:rsid w:val="006D04D5"/>
    <w:rsid w:val="007207E4"/>
    <w:rsid w:val="007B329E"/>
    <w:rsid w:val="008129EB"/>
    <w:rsid w:val="008336A9"/>
    <w:rsid w:val="00834E7E"/>
    <w:rsid w:val="008A72DA"/>
    <w:rsid w:val="008C0F00"/>
    <w:rsid w:val="008E3C66"/>
    <w:rsid w:val="008F07E4"/>
    <w:rsid w:val="008F48C9"/>
    <w:rsid w:val="00946EAB"/>
    <w:rsid w:val="00975DAD"/>
    <w:rsid w:val="00996520"/>
    <w:rsid w:val="009A7B10"/>
    <w:rsid w:val="009B1BC3"/>
    <w:rsid w:val="00A42785"/>
    <w:rsid w:val="00A67F16"/>
    <w:rsid w:val="00A73AC1"/>
    <w:rsid w:val="00AC06BC"/>
    <w:rsid w:val="00AD0FCB"/>
    <w:rsid w:val="00B56AF1"/>
    <w:rsid w:val="00BB2051"/>
    <w:rsid w:val="00C07A7F"/>
    <w:rsid w:val="00C1236B"/>
    <w:rsid w:val="00CC72C1"/>
    <w:rsid w:val="00CD39FC"/>
    <w:rsid w:val="00D43A9E"/>
    <w:rsid w:val="00D5603C"/>
    <w:rsid w:val="00D74D75"/>
    <w:rsid w:val="00DE6012"/>
    <w:rsid w:val="00E00E5E"/>
    <w:rsid w:val="00E276D5"/>
    <w:rsid w:val="00E809FA"/>
    <w:rsid w:val="00EB2B2F"/>
    <w:rsid w:val="00EC2327"/>
    <w:rsid w:val="00EC6B83"/>
    <w:rsid w:val="00EE0BAA"/>
    <w:rsid w:val="00F77AA3"/>
    <w:rsid w:val="00F81B1F"/>
    <w:rsid w:val="00FE63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5F10"/>
  <w15:docId w15:val="{DE6468D2-4FD5-44DC-A216-9672FB87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FCB"/>
    <w:pPr>
      <w:spacing w:before="120" w:after="120" w:line="240" w:lineRule="auto"/>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
    <w:name w:val="Footnote"/>
    <w:basedOn w:val="Normal"/>
    <w:next w:val="Normal"/>
    <w:uiPriority w:val="20"/>
    <w:qFormat/>
    <w:rsid w:val="00AD0FCB"/>
    <w:rPr>
      <w:sz w:val="18"/>
    </w:rPr>
  </w:style>
  <w:style w:type="character" w:styleId="Strong">
    <w:name w:val="Strong"/>
    <w:basedOn w:val="DefaultParagraphFont"/>
    <w:uiPriority w:val="22"/>
    <w:qFormat/>
    <w:rsid w:val="00AD0FCB"/>
    <w:rPr>
      <w:b/>
      <w:bCs/>
    </w:rPr>
  </w:style>
  <w:style w:type="character" w:styleId="Hyperlink">
    <w:name w:val="Hyperlink"/>
    <w:basedOn w:val="DefaultParagraphFont"/>
    <w:uiPriority w:val="99"/>
    <w:unhideWhenUsed/>
    <w:rsid w:val="00AD0FCB"/>
    <w:rPr>
      <w:color w:val="0000FF" w:themeColor="hyperlink"/>
      <w:u w:val="single"/>
    </w:rPr>
  </w:style>
  <w:style w:type="paragraph" w:styleId="BalloonText">
    <w:name w:val="Balloon Text"/>
    <w:basedOn w:val="Normal"/>
    <w:link w:val="BalloonTextChar"/>
    <w:uiPriority w:val="99"/>
    <w:semiHidden/>
    <w:unhideWhenUsed/>
    <w:rsid w:val="00AD0FC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FCB"/>
    <w:rPr>
      <w:rFonts w:ascii="Tahoma" w:hAnsi="Tahoma" w:cs="Tahoma"/>
      <w:sz w:val="16"/>
      <w:szCs w:val="16"/>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rsid w:val="008336A9"/>
    <w:pPr>
      <w:ind w:left="720"/>
      <w:contextualSpacing/>
    </w:pPr>
  </w:style>
  <w:style w:type="paragraph" w:customStyle="1" w:styleId="Tablea">
    <w:name w:val="Table(a)"/>
    <w:aliases w:val="ta"/>
    <w:basedOn w:val="Normal"/>
    <w:rsid w:val="00A67F16"/>
    <w:pPr>
      <w:spacing w:before="60" w:after="0"/>
      <w:ind w:left="284" w:hanging="284"/>
    </w:pPr>
    <w:rPr>
      <w:rFonts w:ascii="Times New Roman" w:eastAsia="Times New Roman" w:hAnsi="Times New Roman" w:cs="Times New Roman"/>
      <w:sz w:val="20"/>
      <w:szCs w:val="20"/>
      <w:lang w:eastAsia="en-AU"/>
    </w:rPr>
  </w:style>
  <w:style w:type="paragraph" w:customStyle="1" w:styleId="Tabletext">
    <w:name w:val="Tabletext"/>
    <w:aliases w:val="tt"/>
    <w:basedOn w:val="Normal"/>
    <w:rsid w:val="00A67F16"/>
    <w:pPr>
      <w:spacing w:before="60" w:after="0" w:line="240" w:lineRule="atLeast"/>
    </w:pPr>
    <w:rPr>
      <w:rFonts w:ascii="Times New Roman" w:eastAsia="Times New Roman" w:hAnsi="Times New Roman" w:cs="Times New Roman"/>
      <w:sz w:val="20"/>
      <w:szCs w:val="20"/>
      <w:lang w:eastAsia="en-AU"/>
    </w:r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8A72DA"/>
    <w:rPr>
      <w:rFonts w:ascii="Arial" w:hAnsi="Arial"/>
      <w:szCs w:val="24"/>
    </w:rPr>
  </w:style>
  <w:style w:type="character" w:styleId="CommentReference">
    <w:name w:val="annotation reference"/>
    <w:basedOn w:val="DefaultParagraphFont"/>
    <w:uiPriority w:val="99"/>
    <w:semiHidden/>
    <w:unhideWhenUsed/>
    <w:rsid w:val="008E3C66"/>
    <w:rPr>
      <w:sz w:val="16"/>
      <w:szCs w:val="16"/>
    </w:rPr>
  </w:style>
  <w:style w:type="paragraph" w:styleId="CommentText">
    <w:name w:val="annotation text"/>
    <w:basedOn w:val="Normal"/>
    <w:link w:val="CommentTextChar"/>
    <w:uiPriority w:val="99"/>
    <w:semiHidden/>
    <w:unhideWhenUsed/>
    <w:rsid w:val="008E3C66"/>
    <w:rPr>
      <w:sz w:val="20"/>
      <w:szCs w:val="20"/>
    </w:rPr>
  </w:style>
  <w:style w:type="character" w:customStyle="1" w:styleId="CommentTextChar">
    <w:name w:val="Comment Text Char"/>
    <w:basedOn w:val="DefaultParagraphFont"/>
    <w:link w:val="CommentText"/>
    <w:uiPriority w:val="99"/>
    <w:semiHidden/>
    <w:rsid w:val="008E3C6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E3C66"/>
    <w:rPr>
      <w:b/>
      <w:bCs/>
    </w:rPr>
  </w:style>
  <w:style w:type="character" w:customStyle="1" w:styleId="CommentSubjectChar">
    <w:name w:val="Comment Subject Char"/>
    <w:basedOn w:val="CommentTextChar"/>
    <w:link w:val="CommentSubject"/>
    <w:uiPriority w:val="99"/>
    <w:semiHidden/>
    <w:rsid w:val="008E3C66"/>
    <w:rPr>
      <w:rFonts w:ascii="Arial" w:hAnsi="Arial"/>
      <w:b/>
      <w:bCs/>
      <w:sz w:val="20"/>
      <w:szCs w:val="20"/>
    </w:rPr>
  </w:style>
  <w:style w:type="paragraph" w:styleId="NormalWeb">
    <w:name w:val="Normal (Web)"/>
    <w:basedOn w:val="Normal"/>
    <w:uiPriority w:val="99"/>
    <w:unhideWhenUsed/>
    <w:rsid w:val="000D0DDA"/>
    <w:pPr>
      <w:spacing w:before="100" w:beforeAutospacing="1" w:after="100" w:afterAutospacing="1"/>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5802">
      <w:bodyDiv w:val="1"/>
      <w:marLeft w:val="0"/>
      <w:marRight w:val="0"/>
      <w:marTop w:val="0"/>
      <w:marBottom w:val="0"/>
      <w:divBdr>
        <w:top w:val="none" w:sz="0" w:space="0" w:color="auto"/>
        <w:left w:val="none" w:sz="0" w:space="0" w:color="auto"/>
        <w:bottom w:val="none" w:sz="0" w:space="0" w:color="auto"/>
        <w:right w:val="none" w:sz="0" w:space="0" w:color="auto"/>
      </w:divBdr>
    </w:div>
    <w:div w:id="999697622">
      <w:bodyDiv w:val="1"/>
      <w:marLeft w:val="0"/>
      <w:marRight w:val="0"/>
      <w:marTop w:val="0"/>
      <w:marBottom w:val="0"/>
      <w:divBdr>
        <w:top w:val="none" w:sz="0" w:space="0" w:color="auto"/>
        <w:left w:val="none" w:sz="0" w:space="0" w:color="auto"/>
        <w:bottom w:val="none" w:sz="0" w:space="0" w:color="auto"/>
        <w:right w:val="none" w:sz="0" w:space="0" w:color="auto"/>
      </w:divBdr>
      <w:divsChild>
        <w:div w:id="1529219895">
          <w:marLeft w:val="0"/>
          <w:marRight w:val="0"/>
          <w:marTop w:val="0"/>
          <w:marBottom w:val="0"/>
          <w:divBdr>
            <w:top w:val="none" w:sz="0" w:space="0" w:color="auto"/>
            <w:left w:val="none" w:sz="0" w:space="0" w:color="auto"/>
            <w:bottom w:val="none" w:sz="0" w:space="0" w:color="auto"/>
            <w:right w:val="none" w:sz="0" w:space="0" w:color="auto"/>
          </w:divBdr>
          <w:divsChild>
            <w:div w:id="2124567757">
              <w:marLeft w:val="0"/>
              <w:marRight w:val="0"/>
              <w:marTop w:val="0"/>
              <w:marBottom w:val="0"/>
              <w:divBdr>
                <w:top w:val="none" w:sz="0" w:space="0" w:color="auto"/>
                <w:left w:val="none" w:sz="0" w:space="0" w:color="auto"/>
                <w:bottom w:val="none" w:sz="0" w:space="0" w:color="auto"/>
                <w:right w:val="none" w:sz="0" w:space="0" w:color="auto"/>
              </w:divBdr>
              <w:divsChild>
                <w:div w:id="1485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97878">
      <w:bodyDiv w:val="1"/>
      <w:marLeft w:val="0"/>
      <w:marRight w:val="0"/>
      <w:marTop w:val="0"/>
      <w:marBottom w:val="0"/>
      <w:divBdr>
        <w:top w:val="none" w:sz="0" w:space="0" w:color="auto"/>
        <w:left w:val="none" w:sz="0" w:space="0" w:color="auto"/>
        <w:bottom w:val="none" w:sz="0" w:space="0" w:color="auto"/>
        <w:right w:val="none" w:sz="0" w:space="0" w:color="auto"/>
      </w:divBdr>
    </w:div>
    <w:div w:id="1332489975">
      <w:bodyDiv w:val="1"/>
      <w:marLeft w:val="0"/>
      <w:marRight w:val="0"/>
      <w:marTop w:val="0"/>
      <w:marBottom w:val="0"/>
      <w:divBdr>
        <w:top w:val="none" w:sz="0" w:space="0" w:color="auto"/>
        <w:left w:val="none" w:sz="0" w:space="0" w:color="auto"/>
        <w:bottom w:val="none" w:sz="0" w:space="0" w:color="auto"/>
        <w:right w:val="none" w:sz="0" w:space="0" w:color="auto"/>
      </w:divBdr>
    </w:div>
    <w:div w:id="1732921541">
      <w:bodyDiv w:val="1"/>
      <w:marLeft w:val="0"/>
      <w:marRight w:val="0"/>
      <w:marTop w:val="0"/>
      <w:marBottom w:val="0"/>
      <w:divBdr>
        <w:top w:val="none" w:sz="0" w:space="0" w:color="auto"/>
        <w:left w:val="none" w:sz="0" w:space="0" w:color="auto"/>
        <w:bottom w:val="none" w:sz="0" w:space="0" w:color="auto"/>
        <w:right w:val="none" w:sz="0" w:space="0" w:color="auto"/>
      </w:divBdr>
    </w:div>
    <w:div w:id="1925409156">
      <w:bodyDiv w:val="1"/>
      <w:marLeft w:val="0"/>
      <w:marRight w:val="0"/>
      <w:marTop w:val="0"/>
      <w:marBottom w:val="0"/>
      <w:divBdr>
        <w:top w:val="none" w:sz="0" w:space="0" w:color="auto"/>
        <w:left w:val="none" w:sz="0" w:space="0" w:color="auto"/>
        <w:bottom w:val="none" w:sz="0" w:space="0" w:color="auto"/>
        <w:right w:val="none" w:sz="0" w:space="0" w:color="auto"/>
      </w:divBdr>
    </w:div>
    <w:div w:id="2009820383">
      <w:bodyDiv w:val="1"/>
      <w:marLeft w:val="0"/>
      <w:marRight w:val="0"/>
      <w:marTop w:val="0"/>
      <w:marBottom w:val="0"/>
      <w:divBdr>
        <w:top w:val="none" w:sz="0" w:space="0" w:color="auto"/>
        <w:left w:val="none" w:sz="0" w:space="0" w:color="auto"/>
        <w:bottom w:val="none" w:sz="0" w:space="0" w:color="auto"/>
        <w:right w:val="none" w:sz="0" w:space="0" w:color="auto"/>
      </w:divBdr>
      <w:divsChild>
        <w:div w:id="458494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mbsonline.gov.a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F10BE4D16047149C0C9ED53879D435"/>
        <w:category>
          <w:name w:val="General"/>
          <w:gallery w:val="placeholder"/>
        </w:category>
        <w:types>
          <w:type w:val="bbPlcHdr"/>
        </w:types>
        <w:behaviors>
          <w:behavior w:val="content"/>
        </w:behaviors>
        <w:guid w:val="{7FE5CC3B-3837-421E-A631-17921090F9E5}"/>
      </w:docPartPr>
      <w:docPartBody>
        <w:p w:rsidR="005B4E16" w:rsidRDefault="00134032" w:rsidP="00134032">
          <w:pPr>
            <w:pStyle w:val="FCF10BE4D16047149C0C9ED53879D435"/>
          </w:pPr>
          <w:r>
            <w:t>Click here to enter the title</w:t>
          </w:r>
        </w:p>
      </w:docPartBody>
    </w:docPart>
    <w:docPart>
      <w:docPartPr>
        <w:name w:val="80CABA3C65C6430E8ED11DBB133F1C30"/>
        <w:category>
          <w:name w:val="General"/>
          <w:gallery w:val="placeholder"/>
        </w:category>
        <w:types>
          <w:type w:val="bbPlcHdr"/>
        </w:types>
        <w:behaviors>
          <w:behavior w:val="content"/>
        </w:behaviors>
        <w:guid w:val="{D3D593FD-92FD-40B4-AAFD-51CA1CBB2DBA}"/>
      </w:docPartPr>
      <w:docPartBody>
        <w:p w:rsidR="005B4E16" w:rsidRDefault="00134032" w:rsidP="00134032">
          <w:pPr>
            <w:pStyle w:val="80CABA3C65C6430E8ED11DBB133F1C30"/>
          </w:pPr>
          <w:r w:rsidRPr="0031142C">
            <w:t>Click here to enter a date.</w:t>
          </w:r>
        </w:p>
      </w:docPartBody>
    </w:docPart>
    <w:docPart>
      <w:docPartPr>
        <w:name w:val="B6028F23F583439A81AC9242CD74EC9E"/>
        <w:category>
          <w:name w:val="General"/>
          <w:gallery w:val="placeholder"/>
        </w:category>
        <w:types>
          <w:type w:val="bbPlcHdr"/>
        </w:types>
        <w:behaviors>
          <w:behavior w:val="content"/>
        </w:behaviors>
        <w:guid w:val="{371C0922-EF2B-4D1A-B76E-2013301E2FDD}"/>
      </w:docPartPr>
      <w:docPartBody>
        <w:p w:rsidR="006767FB" w:rsidRDefault="007C2668" w:rsidP="007C2668">
          <w:pPr>
            <w:pStyle w:val="B6028F23F583439A81AC9242CD74EC9E"/>
          </w:pPr>
          <w:r>
            <w:t>Click here to enter the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4032"/>
    <w:rsid w:val="00134032"/>
    <w:rsid w:val="005B4E16"/>
    <w:rsid w:val="006767FB"/>
    <w:rsid w:val="007C2668"/>
    <w:rsid w:val="00E273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CF10BE4D16047149C0C9ED53879D435">
    <w:name w:val="FCF10BE4D16047149C0C9ED53879D435"/>
    <w:rsid w:val="00134032"/>
  </w:style>
  <w:style w:type="paragraph" w:customStyle="1" w:styleId="80CABA3C65C6430E8ED11DBB133F1C30">
    <w:name w:val="80CABA3C65C6430E8ED11DBB133F1C30"/>
    <w:rsid w:val="00134032"/>
  </w:style>
  <w:style w:type="paragraph" w:customStyle="1" w:styleId="B6028F23F583439A81AC9242CD74EC9E">
    <w:name w:val="B6028F23F583439A81AC9242CD74EC9E"/>
    <w:rsid w:val="007C26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687</Words>
  <Characters>3920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Kitto Deborah</dc:creator>
  <cp:lastModifiedBy>WOOD, Candice</cp:lastModifiedBy>
  <cp:revision>2</cp:revision>
  <cp:lastPrinted>2018-09-27T23:58:00Z</cp:lastPrinted>
  <dcterms:created xsi:type="dcterms:W3CDTF">2023-06-20T06:52:00Z</dcterms:created>
  <dcterms:modified xsi:type="dcterms:W3CDTF">2023-06-20T06:52:00Z</dcterms:modified>
</cp:coreProperties>
</file>