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965CC" w14:textId="73C4747A" w:rsidR="00E713FA" w:rsidRDefault="00ED1C32" w:rsidP="00ED1C32">
      <w:pPr>
        <w:rPr>
          <w:rFonts w:eastAsiaTheme="majorEastAsia" w:cstheme="majorBidi"/>
          <w:b/>
          <w:color w:val="3F4A75"/>
          <w:kern w:val="28"/>
          <w:sz w:val="48"/>
          <w:szCs w:val="52"/>
        </w:rPr>
      </w:pPr>
      <w:bookmarkStart w:id="0" w:name="_Hlk4568006"/>
      <w:r w:rsidRPr="00ED1C32">
        <w:rPr>
          <w:rFonts w:eastAsiaTheme="majorEastAsia" w:cstheme="majorBidi"/>
          <w:b/>
          <w:color w:val="3F4A75"/>
          <w:kern w:val="28"/>
          <w:sz w:val="48"/>
          <w:szCs w:val="52"/>
        </w:rPr>
        <w:t xml:space="preserve">Expansion of </w:t>
      </w:r>
      <w:r w:rsidR="00D366F9">
        <w:rPr>
          <w:rFonts w:eastAsiaTheme="majorEastAsia" w:cstheme="majorBidi"/>
          <w:b/>
          <w:color w:val="3F4A75"/>
          <w:kern w:val="28"/>
          <w:sz w:val="48"/>
          <w:szCs w:val="52"/>
        </w:rPr>
        <w:t>MBS item</w:t>
      </w:r>
      <w:r w:rsidR="007D09CF">
        <w:rPr>
          <w:rFonts w:eastAsiaTheme="majorEastAsia" w:cstheme="majorBidi"/>
          <w:b/>
          <w:color w:val="3F4A75"/>
          <w:kern w:val="28"/>
          <w:sz w:val="48"/>
          <w:szCs w:val="52"/>
        </w:rPr>
        <w:t>s</w:t>
      </w:r>
      <w:r w:rsidR="00D366F9">
        <w:rPr>
          <w:rFonts w:eastAsiaTheme="majorEastAsia" w:cstheme="majorBidi"/>
          <w:b/>
          <w:color w:val="3F4A75"/>
          <w:kern w:val="28"/>
          <w:sz w:val="48"/>
          <w:szCs w:val="52"/>
        </w:rPr>
        <w:t xml:space="preserve"> 73303 and 73304 for </w:t>
      </w:r>
      <w:r w:rsidRPr="00ED1C32">
        <w:rPr>
          <w:rFonts w:eastAsiaTheme="majorEastAsia" w:cstheme="majorBidi"/>
          <w:b/>
          <w:color w:val="3F4A75"/>
          <w:kern w:val="28"/>
          <w:sz w:val="48"/>
          <w:szCs w:val="52"/>
        </w:rPr>
        <w:t>BRCA variant testing in patients with prostate cancer to</w:t>
      </w:r>
      <w:r w:rsidR="00193DA4">
        <w:rPr>
          <w:rFonts w:eastAsiaTheme="majorEastAsia" w:cstheme="majorBidi"/>
          <w:b/>
          <w:color w:val="3F4A75"/>
          <w:kern w:val="28"/>
          <w:sz w:val="48"/>
          <w:szCs w:val="52"/>
        </w:rPr>
        <w:t xml:space="preserve"> </w:t>
      </w:r>
      <w:r w:rsidR="00E713FA" w:rsidRPr="00E713FA">
        <w:rPr>
          <w:rFonts w:eastAsiaTheme="majorEastAsia" w:cstheme="majorBidi"/>
          <w:b/>
          <w:color w:val="3F4A75"/>
          <w:kern w:val="28"/>
          <w:sz w:val="48"/>
          <w:szCs w:val="52"/>
        </w:rPr>
        <w:t xml:space="preserve">determine eligibility for a PBS treatment </w:t>
      </w:r>
    </w:p>
    <w:p w14:paraId="775D1E07" w14:textId="4B32032A" w:rsidR="000C0475" w:rsidRPr="00A8695F" w:rsidRDefault="00064168" w:rsidP="00ED1C32">
      <w:r w:rsidRPr="00867595">
        <w:t xml:space="preserve">Last updated: </w:t>
      </w:r>
      <w:r w:rsidR="0098605B">
        <w:t>20</w:t>
      </w:r>
      <w:r w:rsidR="00F82C5A">
        <w:t xml:space="preserve"> December 2024</w:t>
      </w:r>
    </w:p>
    <w:bookmarkEnd w:id="0"/>
    <w:p w14:paraId="5EBEB5B8" w14:textId="3F181F2A" w:rsidR="00F86E7E" w:rsidRDefault="007A03C6" w:rsidP="007A03C6">
      <w:pPr>
        <w:pStyle w:val="ListBullet"/>
      </w:pPr>
      <w:r w:rsidRPr="007A03C6">
        <w:t xml:space="preserve">From 1 </w:t>
      </w:r>
      <w:r w:rsidR="00F86E7E">
        <w:t>January</w:t>
      </w:r>
      <w:r w:rsidRPr="007A03C6">
        <w:t xml:space="preserve"> 202</w:t>
      </w:r>
      <w:r w:rsidR="00F86E7E">
        <w:t>5</w:t>
      </w:r>
      <w:r w:rsidRPr="007A03C6">
        <w:t xml:space="preserve">, the </w:t>
      </w:r>
      <w:r w:rsidR="00F86E7E">
        <w:t xml:space="preserve">Government is amending </w:t>
      </w:r>
      <w:r w:rsidR="006957DC" w:rsidRPr="00F86E7E">
        <w:t>Medicare Benefits Schedule</w:t>
      </w:r>
      <w:r w:rsidR="006957DC">
        <w:t xml:space="preserve"> (</w:t>
      </w:r>
      <w:r w:rsidRPr="007A03C6">
        <w:t>MBS</w:t>
      </w:r>
      <w:r w:rsidR="006957DC">
        <w:t>)</w:t>
      </w:r>
      <w:r w:rsidRPr="007A03C6">
        <w:t xml:space="preserve"> item</w:t>
      </w:r>
      <w:r w:rsidR="00F86E7E">
        <w:t>s</w:t>
      </w:r>
      <w:r w:rsidRPr="007A03C6">
        <w:t xml:space="preserve"> 73</w:t>
      </w:r>
      <w:r w:rsidR="00F86E7E">
        <w:t>303 and 73304. These items provide</w:t>
      </w:r>
      <w:r w:rsidR="0086179D" w:rsidRPr="0086179D">
        <w:t xml:space="preserve"> </w:t>
      </w:r>
      <w:r w:rsidR="00CD5BB7">
        <w:t>benefits</w:t>
      </w:r>
      <w:r w:rsidR="0086179D">
        <w:t xml:space="preserve"> for </w:t>
      </w:r>
      <w:bookmarkStart w:id="1" w:name="_Hlk183705107"/>
      <w:r w:rsidR="0086179D" w:rsidRPr="00F86E7E">
        <w:t xml:space="preserve">breast cancer gene 1 and 2 </w:t>
      </w:r>
      <w:bookmarkEnd w:id="1"/>
      <w:r w:rsidR="0086179D">
        <w:t>(</w:t>
      </w:r>
      <w:r w:rsidR="00F86E7E" w:rsidRPr="00FD7C1F">
        <w:rPr>
          <w:i/>
          <w:iCs/>
        </w:rPr>
        <w:t>BRCA</w:t>
      </w:r>
      <w:r w:rsidR="0086179D">
        <w:rPr>
          <w:i/>
          <w:iCs/>
        </w:rPr>
        <w:t>)</w:t>
      </w:r>
      <w:r w:rsidR="00F86E7E">
        <w:t xml:space="preserve"> variant detection in patients with </w:t>
      </w:r>
      <w:r w:rsidR="00F86E7E" w:rsidRPr="00F86E7E">
        <w:t>metastatic castration-resistant prostate cancer</w:t>
      </w:r>
      <w:r w:rsidR="00F86E7E">
        <w:t xml:space="preserve">. </w:t>
      </w:r>
    </w:p>
    <w:p w14:paraId="748567F5" w14:textId="68706AE0" w:rsidR="00F86E7E" w:rsidRPr="00FD7C1F" w:rsidRDefault="00F86E7E" w:rsidP="00F86E7E">
      <w:pPr>
        <w:pStyle w:val="ListBullet"/>
        <w:rPr>
          <w:b/>
          <w:bCs/>
          <w:iCs/>
        </w:rPr>
      </w:pPr>
      <w:r>
        <w:t xml:space="preserve">The </w:t>
      </w:r>
      <w:r w:rsidR="009C7868">
        <w:t xml:space="preserve">expanded </w:t>
      </w:r>
      <w:r>
        <w:t>item</w:t>
      </w:r>
      <w:r w:rsidR="009C7868">
        <w:t>s</w:t>
      </w:r>
      <w:r>
        <w:t xml:space="preserve"> </w:t>
      </w:r>
      <w:r w:rsidRPr="00F86E7E">
        <w:t xml:space="preserve">will </w:t>
      </w:r>
      <w:r>
        <w:t>support the</w:t>
      </w:r>
      <w:r w:rsidRPr="00F86E7E">
        <w:t xml:space="preserve"> identif</w:t>
      </w:r>
      <w:r>
        <w:t xml:space="preserve">ication of </w:t>
      </w:r>
      <w:r w:rsidRPr="00F86E7E">
        <w:t>metastatic castration-resistant prostate cancer patients</w:t>
      </w:r>
      <w:r w:rsidR="00A43F3C">
        <w:t xml:space="preserve"> eligible</w:t>
      </w:r>
      <w:r w:rsidRPr="00F86E7E">
        <w:t xml:space="preserve"> for</w:t>
      </w:r>
      <w:r>
        <w:t xml:space="preserve"> </w:t>
      </w:r>
      <w:r w:rsidR="009C7868">
        <w:t xml:space="preserve">any </w:t>
      </w:r>
      <w:r w:rsidRPr="00F86E7E">
        <w:t>relevant</w:t>
      </w:r>
      <w:r>
        <w:t xml:space="preserve"> </w:t>
      </w:r>
      <w:r w:rsidR="00FD7C1F">
        <w:t>Pharmaceutical Benefits Scheme (</w:t>
      </w:r>
      <w:r>
        <w:t>PBS</w:t>
      </w:r>
      <w:r w:rsidR="00FD7C1F">
        <w:t>)</w:t>
      </w:r>
      <w:r w:rsidR="00D366F9">
        <w:t xml:space="preserve"> </w:t>
      </w:r>
      <w:r>
        <w:t xml:space="preserve">listed </w:t>
      </w:r>
      <w:r w:rsidRPr="00F86E7E">
        <w:t>treatments</w:t>
      </w:r>
      <w:r>
        <w:t xml:space="preserve">. </w:t>
      </w:r>
      <w:bookmarkStart w:id="2" w:name="_Hlk183704177"/>
      <w:r>
        <w:t xml:space="preserve">This may also include treatments listed on the PBS in the future. </w:t>
      </w:r>
      <w:bookmarkEnd w:id="2"/>
      <w:r w:rsidR="008D242E">
        <w:t xml:space="preserve">Prior to </w:t>
      </w:r>
      <w:r w:rsidR="00F82C5A">
        <w:t>the change, the items</w:t>
      </w:r>
      <w:r w:rsidR="00BD2E9E">
        <w:t xml:space="preserve"> specif</w:t>
      </w:r>
      <w:r w:rsidR="00F82C5A">
        <w:t>ied</w:t>
      </w:r>
      <w:r w:rsidR="00BD2E9E">
        <w:t xml:space="preserve"> that testing </w:t>
      </w:r>
      <w:r w:rsidR="00F82C5A">
        <w:t>wa</w:t>
      </w:r>
      <w:r w:rsidR="00BD2E9E">
        <w:t>s for access to olaparib</w:t>
      </w:r>
      <w:r w:rsidR="00917AB2">
        <w:t xml:space="preserve"> only</w:t>
      </w:r>
      <w:r w:rsidR="00BD2E9E">
        <w:t>.</w:t>
      </w:r>
    </w:p>
    <w:p w14:paraId="2CA68E47" w14:textId="173662C2" w:rsidR="00FD7C1F" w:rsidRPr="005272C3" w:rsidRDefault="00FD7C1F" w:rsidP="005272C3">
      <w:pPr>
        <w:pStyle w:val="ListBullet"/>
      </w:pPr>
      <w:r>
        <w:t xml:space="preserve">This change is relevant for specialists, consultant physicians and pathologists who manage patients with these cancers. </w:t>
      </w:r>
    </w:p>
    <w:p w14:paraId="44460BF5" w14:textId="33704149" w:rsidR="00064168" w:rsidRPr="00867595" w:rsidRDefault="00064168" w:rsidP="00064168">
      <w:pPr>
        <w:pStyle w:val="Heading2"/>
      </w:pPr>
      <w:r w:rsidRPr="00867595">
        <w:t>What are the changes?</w:t>
      </w:r>
    </w:p>
    <w:p w14:paraId="33B194A1" w14:textId="1292B607" w:rsidR="00F86E7E" w:rsidRDefault="00F86E7E" w:rsidP="007E0068">
      <w:r w:rsidRPr="00F86E7E">
        <w:t xml:space="preserve">From 1 January 2025, existing MBS items 73303 and 73304 for </w:t>
      </w:r>
      <w:r w:rsidRPr="007D2FC9">
        <w:rPr>
          <w:i/>
          <w:iCs/>
        </w:rPr>
        <w:t>BRCA</w:t>
      </w:r>
      <w:r w:rsidRPr="00F86E7E">
        <w:t xml:space="preserve"> </w:t>
      </w:r>
      <w:r w:rsidR="006957DC">
        <w:t>variant</w:t>
      </w:r>
      <w:r w:rsidRPr="00F86E7E">
        <w:t xml:space="preserve"> </w:t>
      </w:r>
      <w:r w:rsidR="00287159">
        <w:t>detection</w:t>
      </w:r>
      <w:r w:rsidRPr="00F86E7E">
        <w:t xml:space="preserve"> of patients with metastatic castration-resistant prostate cancer, will be amended to support determining patient eligibility for a relevant treatment under the</w:t>
      </w:r>
      <w:r w:rsidR="00CD5BB7">
        <w:t xml:space="preserve"> PBS</w:t>
      </w:r>
      <w:r w:rsidRPr="00F86E7E">
        <w:t xml:space="preserve">. </w:t>
      </w:r>
      <w:r w:rsidR="00BD2E9E">
        <w:t xml:space="preserve">These items </w:t>
      </w:r>
      <w:r w:rsidR="00D366F9" w:rsidRPr="00421022">
        <w:t xml:space="preserve">previously </w:t>
      </w:r>
      <w:r w:rsidR="00D366F9">
        <w:t xml:space="preserve">only supported testing </w:t>
      </w:r>
      <w:r w:rsidR="00BD2E9E">
        <w:t>to determine eligibility to the PBS listed treatment olaparib.</w:t>
      </w:r>
    </w:p>
    <w:p w14:paraId="41853691" w14:textId="51BD16A1" w:rsidR="009C7868" w:rsidRDefault="00D366F9" w:rsidP="00E44156">
      <w:pPr>
        <w:pStyle w:val="ListBullet"/>
        <w:numPr>
          <w:ilvl w:val="0"/>
          <w:numId w:val="0"/>
        </w:numPr>
      </w:pPr>
      <w:r>
        <w:t xml:space="preserve">Item </w:t>
      </w:r>
      <w:r w:rsidR="00E44156">
        <w:t>73303 remains applicable once per primary tumour diagnosis, and</w:t>
      </w:r>
      <w:r w:rsidR="006957DC">
        <w:t xml:space="preserve"> </w:t>
      </w:r>
      <w:r>
        <w:t xml:space="preserve">item </w:t>
      </w:r>
      <w:r w:rsidR="00E44156">
        <w:t>73304 remains applicable once per lifetime.</w:t>
      </w:r>
    </w:p>
    <w:p w14:paraId="66F19FF0" w14:textId="77777777" w:rsidR="00CD1AD9" w:rsidRDefault="00CD1AD9" w:rsidP="00CD1AD9">
      <w:r>
        <w:t>For private health insurance purposes:</w:t>
      </w:r>
    </w:p>
    <w:p w14:paraId="3C9E9D73" w14:textId="31FC7515" w:rsidR="00CD1AD9" w:rsidRDefault="00CD1AD9" w:rsidP="00CD1AD9">
      <w:pPr>
        <w:pStyle w:val="ListBullet"/>
      </w:pPr>
      <w:r>
        <w:t>item 73303 will continue to be listed under the following clinical category and procedure type:</w:t>
      </w:r>
    </w:p>
    <w:p w14:paraId="2C0B1DF2" w14:textId="77777777" w:rsidR="00CD1AD9" w:rsidRDefault="00CD1AD9" w:rsidP="00CD1AD9">
      <w:pPr>
        <w:pStyle w:val="ListBullet"/>
        <w:numPr>
          <w:ilvl w:val="0"/>
          <w:numId w:val="36"/>
        </w:numPr>
      </w:pPr>
      <w:r>
        <w:t>Clinical category: Support List (pathology)</w:t>
      </w:r>
    </w:p>
    <w:p w14:paraId="4188863C" w14:textId="77777777" w:rsidR="00CD1AD9" w:rsidRDefault="00CD1AD9" w:rsidP="00CD1AD9">
      <w:pPr>
        <w:pStyle w:val="ListBullet"/>
        <w:numPr>
          <w:ilvl w:val="0"/>
          <w:numId w:val="36"/>
        </w:numPr>
      </w:pPr>
      <w:r>
        <w:t>Procedure type: Unlisted</w:t>
      </w:r>
    </w:p>
    <w:p w14:paraId="2D9283EA" w14:textId="09E596C2" w:rsidR="00CD1AD9" w:rsidRDefault="00CD1AD9" w:rsidP="00CD1AD9">
      <w:pPr>
        <w:pStyle w:val="ListBullet"/>
      </w:pPr>
      <w:r>
        <w:t>item 73304 will continue to be listed under the following clinical category and procedure type:</w:t>
      </w:r>
    </w:p>
    <w:p w14:paraId="68DB72DC" w14:textId="77777777" w:rsidR="00CD1AD9" w:rsidRDefault="00CD1AD9" w:rsidP="00CD1AD9">
      <w:pPr>
        <w:pStyle w:val="ListBullet"/>
        <w:numPr>
          <w:ilvl w:val="0"/>
          <w:numId w:val="36"/>
        </w:numPr>
      </w:pPr>
      <w:r>
        <w:t>Clinical category: Support List (pathology)</w:t>
      </w:r>
    </w:p>
    <w:p w14:paraId="45D24D5E" w14:textId="77777777" w:rsidR="00CD1AD9" w:rsidRDefault="00CD1AD9" w:rsidP="00CD1AD9">
      <w:pPr>
        <w:pStyle w:val="ListBullet"/>
        <w:numPr>
          <w:ilvl w:val="0"/>
          <w:numId w:val="36"/>
        </w:numPr>
      </w:pPr>
      <w:r>
        <w:t>Procedure type: Type C</w:t>
      </w:r>
    </w:p>
    <w:p w14:paraId="3D58EECC" w14:textId="19D7080A" w:rsidR="009C7868" w:rsidRDefault="00CD1AD9" w:rsidP="00CD1AD9">
      <w:pPr>
        <w:pStyle w:val="ListBullet"/>
        <w:numPr>
          <w:ilvl w:val="0"/>
          <w:numId w:val="0"/>
        </w:numPr>
        <w:spacing w:before="240"/>
      </w:pPr>
      <w:r>
        <w:lastRenderedPageBreak/>
        <w:t>For their patients t</w:t>
      </w:r>
      <w:r w:rsidR="009C7868" w:rsidRPr="009C7868">
        <w:t xml:space="preserve">o be eligible for Medicare benefits, </w:t>
      </w:r>
      <w:r w:rsidR="009C7868">
        <w:t>providers</w:t>
      </w:r>
      <w:r w:rsidR="009C7868" w:rsidRPr="009C7868">
        <w:t xml:space="preserve"> providing this service must be accredited according to the pathology accreditation standards specified in the</w:t>
      </w:r>
      <w:r w:rsidR="009C7868" w:rsidRPr="009C7868">
        <w:rPr>
          <w:i/>
          <w:iCs/>
        </w:rPr>
        <w:t xml:space="preserve"> </w:t>
      </w:r>
      <w:hyperlink r:id="rId8" w:history="1">
        <w:r w:rsidR="009C7868" w:rsidRPr="009C7868">
          <w:rPr>
            <w:rStyle w:val="Hyperlink"/>
            <w:i/>
            <w:iCs/>
          </w:rPr>
          <w:t>Health Insurance (Accredited Pathology Laboratories-Approval) Principles 2017</w:t>
        </w:r>
      </w:hyperlink>
      <w:r w:rsidR="009C7868" w:rsidRPr="009C7868">
        <w:t>.</w:t>
      </w:r>
    </w:p>
    <w:p w14:paraId="42BD5171" w14:textId="2A71A285" w:rsidR="00064168" w:rsidRDefault="00064168" w:rsidP="009C7868">
      <w:pPr>
        <w:pStyle w:val="Heading2"/>
      </w:pPr>
      <w:r>
        <w:t>Why are the changes being made?</w:t>
      </w:r>
    </w:p>
    <w:p w14:paraId="2074FD42" w14:textId="75D1F74E" w:rsidR="00FD7C1F" w:rsidRDefault="00FD7C1F" w:rsidP="00064168">
      <w:pPr>
        <w:rPr>
          <w:szCs w:val="22"/>
        </w:rPr>
      </w:pPr>
      <w:bookmarkStart w:id="3" w:name="_Hlk535386664"/>
      <w:r w:rsidRPr="00FD7C1F">
        <w:rPr>
          <w:szCs w:val="22"/>
        </w:rPr>
        <w:t>The Australian Government recognises that prostate cancer is a significant health issue for Australian</w:t>
      </w:r>
      <w:r w:rsidR="00E44156">
        <w:rPr>
          <w:szCs w:val="22"/>
        </w:rPr>
        <w:t>s</w:t>
      </w:r>
      <w:r w:rsidRPr="00FD7C1F">
        <w:rPr>
          <w:szCs w:val="22"/>
        </w:rPr>
        <w:t xml:space="preserve"> and is committed to improving the diagnosis and treatment of this disease.</w:t>
      </w:r>
    </w:p>
    <w:p w14:paraId="69605E6C" w14:textId="01667093" w:rsidR="00DE2208" w:rsidRPr="00DE2208" w:rsidRDefault="008D242E" w:rsidP="00064168">
      <w:r>
        <w:t>Prior to</w:t>
      </w:r>
      <w:r w:rsidR="00F7612E">
        <w:t xml:space="preserve"> the change</w:t>
      </w:r>
      <w:r w:rsidR="00DE2208" w:rsidRPr="00F86E7E">
        <w:t>,</w:t>
      </w:r>
      <w:r w:rsidR="00CD1AD9">
        <w:t xml:space="preserve"> </w:t>
      </w:r>
      <w:r w:rsidR="00D366F9">
        <w:t xml:space="preserve">items </w:t>
      </w:r>
      <w:r w:rsidR="00DE2208">
        <w:t>73303 and 73304</w:t>
      </w:r>
      <w:r w:rsidR="00DE2208" w:rsidRPr="00F86E7E">
        <w:t xml:space="preserve"> </w:t>
      </w:r>
      <w:r w:rsidR="00F133CC">
        <w:t>we</w:t>
      </w:r>
      <w:r w:rsidR="00DE2208" w:rsidRPr="00F86E7E">
        <w:t xml:space="preserve">re limited to determining patient eligibility for </w:t>
      </w:r>
      <w:r w:rsidR="00BD2E9E">
        <w:t xml:space="preserve">the </w:t>
      </w:r>
      <w:r w:rsidR="00DE2208" w:rsidRPr="00F86E7E">
        <w:t>PBS</w:t>
      </w:r>
      <w:r w:rsidR="00BD2E9E">
        <w:t xml:space="preserve"> listed </w:t>
      </w:r>
      <w:r w:rsidR="00DE2208" w:rsidRPr="00F86E7E">
        <w:t xml:space="preserve">treatment </w:t>
      </w:r>
      <w:r w:rsidR="00DE2208">
        <w:t>o</w:t>
      </w:r>
      <w:r w:rsidR="00DE2208" w:rsidRPr="00F86E7E">
        <w:t xml:space="preserve">laparib. The </w:t>
      </w:r>
      <w:r w:rsidR="00DE2208">
        <w:t xml:space="preserve">1 January 2025 </w:t>
      </w:r>
      <w:r w:rsidR="00DE2208" w:rsidRPr="00F86E7E">
        <w:t xml:space="preserve">amendment of these items will enable them to be used to identify patients </w:t>
      </w:r>
      <w:r w:rsidR="007F2D8B">
        <w:t>eligible</w:t>
      </w:r>
      <w:r w:rsidR="007F2D8B" w:rsidRPr="00F86E7E">
        <w:t xml:space="preserve"> </w:t>
      </w:r>
      <w:r w:rsidR="00DE2208" w:rsidRPr="00F86E7E">
        <w:t xml:space="preserve">for relevant treatments which may be listed on the PBS in the future. </w:t>
      </w:r>
    </w:p>
    <w:p w14:paraId="144C3AE2" w14:textId="1AC3979E" w:rsidR="00064168" w:rsidRDefault="00E44156" w:rsidP="00064168">
      <w:pPr>
        <w:rPr>
          <w:szCs w:val="22"/>
        </w:rPr>
      </w:pPr>
      <w:r>
        <w:rPr>
          <w:szCs w:val="22"/>
        </w:rPr>
        <w:t xml:space="preserve">At its April 2024 meeting, </w:t>
      </w:r>
      <w:r w:rsidRPr="00867595">
        <w:rPr>
          <w:szCs w:val="22"/>
        </w:rPr>
        <w:t>the Medical Services Advisory Committee (MSAC)</w:t>
      </w:r>
      <w:r>
        <w:rPr>
          <w:szCs w:val="22"/>
        </w:rPr>
        <w:t xml:space="preserve"> supported the </w:t>
      </w:r>
      <w:r w:rsidR="00F86E7E">
        <w:rPr>
          <w:szCs w:val="22"/>
        </w:rPr>
        <w:t>expansion</w:t>
      </w:r>
      <w:r w:rsidR="00064168" w:rsidRPr="00867595">
        <w:rPr>
          <w:szCs w:val="22"/>
        </w:rPr>
        <w:t xml:space="preserve"> of </w:t>
      </w:r>
      <w:r w:rsidR="00CD1AD9">
        <w:rPr>
          <w:szCs w:val="22"/>
        </w:rPr>
        <w:t xml:space="preserve">items </w:t>
      </w:r>
      <w:r w:rsidR="00FD7C1F">
        <w:rPr>
          <w:szCs w:val="22"/>
        </w:rPr>
        <w:t>73303 and 73304</w:t>
      </w:r>
      <w:r w:rsidR="00DF1F91">
        <w:rPr>
          <w:szCs w:val="22"/>
        </w:rPr>
        <w:t xml:space="preserve"> after its assessment of </w:t>
      </w:r>
      <w:hyperlink r:id="rId9" w:history="1">
        <w:r w:rsidR="00DF1F91" w:rsidRPr="002B7E1D">
          <w:rPr>
            <w:rStyle w:val="Hyperlink"/>
            <w:szCs w:val="22"/>
          </w:rPr>
          <w:t>Application 1765</w:t>
        </w:r>
      </w:hyperlink>
      <w:r w:rsidR="00064168" w:rsidRPr="00867595">
        <w:rPr>
          <w:szCs w:val="22"/>
        </w:rPr>
        <w:t xml:space="preserve">. Further details about MSAC applications can be found under </w:t>
      </w:r>
      <w:hyperlink r:id="rId10" w:history="1">
        <w:r w:rsidR="00064168" w:rsidRPr="00867595">
          <w:rPr>
            <w:rStyle w:val="Hyperlink"/>
            <w:szCs w:val="22"/>
          </w:rPr>
          <w:t>MSAC Applications</w:t>
        </w:r>
      </w:hyperlink>
      <w:r w:rsidR="00064168" w:rsidRPr="00867595">
        <w:rPr>
          <w:szCs w:val="22"/>
        </w:rPr>
        <w:t xml:space="preserve"> on the </w:t>
      </w:r>
      <w:hyperlink r:id="rId11" w:history="1">
        <w:r w:rsidR="00064168" w:rsidRPr="00DF1F91">
          <w:rPr>
            <w:rStyle w:val="Hyperlink"/>
            <w:szCs w:val="22"/>
          </w:rPr>
          <w:t>MSAC website</w:t>
        </w:r>
      </w:hyperlink>
      <w:r w:rsidR="00580E45">
        <w:rPr>
          <w:szCs w:val="22"/>
        </w:rPr>
        <w:t>.</w:t>
      </w:r>
    </w:p>
    <w:bookmarkEnd w:id="3"/>
    <w:p w14:paraId="5BD9BE80" w14:textId="77777777" w:rsidR="00064168" w:rsidRDefault="00064168" w:rsidP="00064168">
      <w:pPr>
        <w:pStyle w:val="Heading2"/>
      </w:pPr>
      <w:r w:rsidRPr="001A7FB7">
        <w:t>Who was consulted on the changes?</w:t>
      </w:r>
    </w:p>
    <w:p w14:paraId="6EAA4D46" w14:textId="372A9858" w:rsidR="009C7868" w:rsidRPr="009C7868" w:rsidRDefault="0086179D" w:rsidP="0086179D">
      <w:r>
        <w:t xml:space="preserve">Public Pathology Australia, the Urological Society of Australia and New Zealand and Australian Genomics provided </w:t>
      </w:r>
      <w:r w:rsidR="009C7868">
        <w:t>c</w:t>
      </w:r>
      <w:r w:rsidR="009C7868" w:rsidRPr="009C7868">
        <w:t>onsultation input</w:t>
      </w:r>
      <w:r w:rsidR="009C7868">
        <w:t xml:space="preserve"> during the MSAC process. </w:t>
      </w:r>
    </w:p>
    <w:p w14:paraId="32E82B19" w14:textId="1C77625A" w:rsidR="00064168" w:rsidRDefault="00064168" w:rsidP="00064168">
      <w:pPr>
        <w:pStyle w:val="Heading2"/>
      </w:pPr>
      <w:r w:rsidRPr="001A7FB7">
        <w:t>How will the changes be monitored</w:t>
      </w:r>
      <w:r>
        <w:t xml:space="preserve"> and reviewed</w:t>
      </w:r>
      <w:r w:rsidRPr="001A7FB7">
        <w:t>?</w:t>
      </w:r>
    </w:p>
    <w:p w14:paraId="281BFAB3" w14:textId="1E85A313" w:rsidR="00292798" w:rsidRDefault="00292798" w:rsidP="00292798">
      <w:r w:rsidRPr="00E43220">
        <w:t>Providers must ensure that Medicare services requested or claimed using their provider number meet all legislative requirements. These services should also be considered acceptable by a general body of their profession.</w:t>
      </w:r>
      <w:r>
        <w:t xml:space="preserve"> </w:t>
      </w:r>
      <w:r>
        <w:rPr>
          <w:rFonts w:cs="Arial"/>
          <w:color w:val="222222"/>
          <w:szCs w:val="22"/>
          <w:shd w:val="clear" w:color="auto" w:fill="FBFBFB"/>
        </w:rPr>
        <w:t>A</w:t>
      </w:r>
      <w:r>
        <w:t xml:space="preserve">ll Medicare claiming and requesting is subject to compliance checks. </w:t>
      </w:r>
      <w:r w:rsidR="00D66781">
        <w:t>Pr</w:t>
      </w:r>
      <w:r>
        <w:t>oviders or requesters may be required to submit evidence about the services they bill or request and should</w:t>
      </w:r>
      <w:r w:rsidRPr="00ED42D8">
        <w:rPr>
          <w:rFonts w:cs="Arial"/>
          <w:color w:val="222222"/>
          <w:szCs w:val="22"/>
          <w:shd w:val="clear" w:color="auto" w:fill="FBFBFB"/>
        </w:rPr>
        <w:t xml:space="preserve"> </w:t>
      </w:r>
      <w:r>
        <w:rPr>
          <w:rFonts w:cs="Arial"/>
          <w:color w:val="222222"/>
          <w:szCs w:val="22"/>
          <w:shd w:val="clear" w:color="auto" w:fill="FBFBFB"/>
        </w:rPr>
        <w:t>retain</w:t>
      </w:r>
      <w:r w:rsidRPr="00ED42D8">
        <w:rPr>
          <w:rFonts w:cs="Arial"/>
          <w:color w:val="222222"/>
          <w:szCs w:val="22"/>
          <w:shd w:val="clear" w:color="auto" w:fill="FBFBFB"/>
        </w:rPr>
        <w:t xml:space="preserve"> adequate and contemporaneous record</w:t>
      </w:r>
      <w:r>
        <w:rPr>
          <w:rFonts w:cs="Arial"/>
          <w:color w:val="222222"/>
          <w:szCs w:val="22"/>
          <w:shd w:val="clear" w:color="auto" w:fill="FBFBFB"/>
        </w:rPr>
        <w:t>s.</w:t>
      </w:r>
      <w:r>
        <w:t xml:space="preserve"> More information about the </w:t>
      </w:r>
      <w:r w:rsidR="00D66781" w:rsidRPr="00D66781">
        <w:t xml:space="preserve">Department of Health and Aged Care’s </w:t>
      </w:r>
      <w:r w:rsidR="0098605B">
        <w:t xml:space="preserve">(the department) </w:t>
      </w:r>
      <w:r w:rsidR="00D66781" w:rsidRPr="00D66781">
        <w:t>compliance</w:t>
      </w:r>
      <w:r w:rsidR="00D66781">
        <w:t xml:space="preserve"> </w:t>
      </w:r>
      <w:r>
        <w:t xml:space="preserve">program can be found on its website at </w:t>
      </w:r>
      <w:hyperlink r:id="rId12" w:tgtFrame="_blank" w:tooltip="https://www.health.gov.au/topics/medicare/compliance" w:history="1">
        <w:r w:rsidRPr="243D3449">
          <w:rPr>
            <w:rStyle w:val="Hyperlink"/>
          </w:rPr>
          <w:t>Medicare compliance</w:t>
        </w:r>
      </w:hyperlink>
      <w:r w:rsidRPr="243D3449">
        <w:rPr>
          <w:rStyle w:val="Hyperlink"/>
        </w:rPr>
        <w:t>.</w:t>
      </w:r>
    </w:p>
    <w:p w14:paraId="3C63E237" w14:textId="3C205076" w:rsidR="00064168" w:rsidRDefault="00064168" w:rsidP="00A12D20">
      <w:pPr>
        <w:pStyle w:val="Heading2"/>
      </w:pPr>
      <w:r>
        <w:t>Where can I find more information?</w:t>
      </w:r>
    </w:p>
    <w:p w14:paraId="5EEA2BAC" w14:textId="7C976B03" w:rsidR="00064168" w:rsidRPr="00867595" w:rsidRDefault="00064168" w:rsidP="00064168">
      <w:pPr>
        <w:rPr>
          <w:szCs w:val="22"/>
        </w:rPr>
      </w:pPr>
      <w:r w:rsidRPr="002B7E1D">
        <w:t>The full item descriptor(s) and information</w:t>
      </w:r>
      <w:r w:rsidRPr="00867595">
        <w:rPr>
          <w:szCs w:val="22"/>
        </w:rPr>
        <w:t xml:space="preserve">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417818F3" w:rsidR="00064168" w:rsidRDefault="00064168" w:rsidP="00064168">
      <w:pPr>
        <w:rPr>
          <w:szCs w:val="22"/>
        </w:rPr>
      </w:pPr>
      <w:r w:rsidRPr="00867595">
        <w:rPr>
          <w:szCs w:val="22"/>
        </w:rPr>
        <w:t xml:space="preserve">The </w:t>
      </w:r>
      <w:r w:rsidR="00D66781">
        <w:rPr>
          <w:szCs w:val="22"/>
        </w:rPr>
        <w:t>d</w:t>
      </w:r>
      <w:r w:rsidRPr="00867595">
        <w:rPr>
          <w:szCs w:val="22"/>
        </w:rPr>
        <w:t>epartment</w:t>
      </w:r>
      <w:r w:rsidR="00F85AFE">
        <w:rPr>
          <w:szCs w:val="22"/>
        </w:rPr>
        <w:t xml:space="preserve"> </w:t>
      </w:r>
      <w:r w:rsidRPr="00867595">
        <w:rPr>
          <w:szCs w:val="22"/>
        </w:rPr>
        <w:t xml:space="preserve">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52E4BFE0"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292798">
          <w:rPr>
            <w:rStyle w:val="Hyperlink"/>
          </w:rPr>
          <w:t>department’s website</w:t>
        </w:r>
      </w:hyperlink>
      <w:r>
        <w:t xml:space="preserve">. Private health insurance minimum </w:t>
      </w:r>
      <w:r>
        <w:lastRenderedPageBreak/>
        <w:t xml:space="preserve">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6D6EB19D" w14:textId="0EB38409" w:rsidR="00BE3ED5" w:rsidRDefault="00BE3ED5" w:rsidP="00BE3ED5">
      <w:pPr>
        <w:pStyle w:val="Heading2"/>
      </w:pPr>
      <w:r>
        <w:t xml:space="preserve">Amended item descriptors (to take effect </w:t>
      </w:r>
      <w:r w:rsidR="00DE2208">
        <w:t>1 January 2025</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8753CD4" w:rsidR="00BE3ED5" w:rsidRDefault="008437CA" w:rsidP="001210F8">
            <w:pPr>
              <w:rPr>
                <w:b w:val="0"/>
                <w:bCs w:val="0"/>
                <w:lang w:eastAsia="en-AU"/>
              </w:rPr>
            </w:pPr>
            <w:bookmarkStart w:id="5" w:name="_Hlk118987208"/>
            <w:r>
              <w:rPr>
                <w:lang w:eastAsia="en-AU"/>
              </w:rPr>
              <w:t>Category</w:t>
            </w:r>
            <w:r w:rsidR="009C7868">
              <w:rPr>
                <w:lang w:eastAsia="en-AU"/>
              </w:rPr>
              <w:t xml:space="preserve"> 6 – Pathology Services</w:t>
            </w:r>
          </w:p>
        </w:tc>
      </w:tr>
      <w:tr w:rsidR="00642F20" w14:paraId="3DDFF680"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623A84B" w:rsidR="00642F20" w:rsidRPr="00642F20" w:rsidRDefault="009C7868" w:rsidP="00642F20">
            <w:pPr>
              <w:pStyle w:val="Tabletextleft"/>
              <w:rPr>
                <w:b/>
              </w:rPr>
            </w:pPr>
            <w:r>
              <w:rPr>
                <w:b/>
              </w:rPr>
              <w:t>Group 7 - Genetics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6F154FB4" w14:textId="39269DBC" w:rsidR="009C7868" w:rsidRDefault="009C7868" w:rsidP="009C7868">
            <w:pPr>
              <w:spacing w:after="0" w:line="221" w:lineRule="atLeast"/>
              <w:rPr>
                <w:rFonts w:cstheme="minorHAnsi"/>
                <w:b w:val="0"/>
                <w:bCs w:val="0"/>
                <w:color w:val="000000"/>
              </w:rPr>
            </w:pPr>
            <w:r w:rsidRPr="009C7868">
              <w:rPr>
                <w:rFonts w:cstheme="minorHAnsi"/>
                <w:color w:val="000000"/>
              </w:rPr>
              <w:t>73303</w:t>
            </w:r>
          </w:p>
          <w:p w14:paraId="52BFEB6C" w14:textId="77777777" w:rsidR="005A11EA" w:rsidRPr="009C7868" w:rsidRDefault="005A11EA" w:rsidP="009C7868">
            <w:pPr>
              <w:spacing w:after="0" w:line="221" w:lineRule="atLeast"/>
              <w:rPr>
                <w:rFonts w:cstheme="minorHAnsi"/>
                <w:color w:val="000000"/>
              </w:rPr>
            </w:pPr>
          </w:p>
          <w:p w14:paraId="73BA36C9" w14:textId="6FD19C22" w:rsidR="009C7868" w:rsidRPr="00D366F9" w:rsidRDefault="009C7868" w:rsidP="009C7868">
            <w:pPr>
              <w:spacing w:after="0" w:line="221" w:lineRule="atLeast"/>
              <w:rPr>
                <w:rFonts w:cstheme="minorHAnsi"/>
                <w:b w:val="0"/>
                <w:bCs w:val="0"/>
              </w:rPr>
            </w:pPr>
            <w:r w:rsidRPr="009C7868">
              <w:rPr>
                <w:rFonts w:cstheme="minorHAnsi"/>
                <w:b w:val="0"/>
                <w:bCs w:val="0"/>
                <w:color w:val="000000"/>
              </w:rPr>
              <w:t xml:space="preserve">A test of tumour tissue from a patient with metastatic castration-resistant prostate cancer, including subsequent characterisation of germline gene variants should tumour tissue testing undertaken during the same service be inconclusive, requested by a specialist or consultant physician, to determine eligibility relating to </w:t>
            </w:r>
            <w:r w:rsidRPr="009C7868">
              <w:rPr>
                <w:rFonts w:cstheme="minorHAnsi"/>
                <w:b w:val="0"/>
                <w:bCs w:val="0"/>
                <w:i/>
                <w:iCs/>
                <w:color w:val="000000"/>
              </w:rPr>
              <w:t xml:space="preserve">BRCA </w:t>
            </w:r>
            <w:r w:rsidRPr="009C7868">
              <w:rPr>
                <w:rFonts w:cstheme="minorHAnsi"/>
                <w:b w:val="0"/>
                <w:bCs w:val="0"/>
                <w:color w:val="000000"/>
              </w:rPr>
              <w:t xml:space="preserve">status for access to </w:t>
            </w:r>
            <w:r w:rsidRPr="00D366F9">
              <w:rPr>
                <w:rFonts w:cstheme="minorHAnsi"/>
                <w:b w:val="0"/>
                <w:bCs w:val="0"/>
              </w:rPr>
              <w:t>a relevant treatment under the Pharmaceutical Benefits Scheme</w:t>
            </w:r>
            <w:r w:rsidR="00CD5BB7">
              <w:rPr>
                <w:rFonts w:cstheme="minorHAnsi"/>
                <w:b w:val="0"/>
                <w:bCs w:val="0"/>
              </w:rPr>
              <w:t>;</w:t>
            </w:r>
          </w:p>
          <w:p w14:paraId="49D4C4F0" w14:textId="77777777" w:rsidR="009C7868" w:rsidRPr="009C7868" w:rsidRDefault="009C7868" w:rsidP="009C7868">
            <w:pPr>
              <w:spacing w:after="0" w:line="221" w:lineRule="atLeast"/>
              <w:rPr>
                <w:rFonts w:cstheme="minorHAnsi"/>
                <w:b w:val="0"/>
                <w:bCs w:val="0"/>
                <w:color w:val="000000"/>
              </w:rPr>
            </w:pPr>
            <w:r w:rsidRPr="009C7868">
              <w:rPr>
                <w:rFonts w:cstheme="minorHAnsi"/>
                <w:b w:val="0"/>
                <w:bCs w:val="0"/>
                <w:color w:val="000000"/>
              </w:rPr>
              <w:t>Applicable once per primary tumour diagnosis</w:t>
            </w:r>
          </w:p>
          <w:p w14:paraId="02941836" w14:textId="77777777" w:rsidR="009C7868" w:rsidRPr="009C7868" w:rsidRDefault="009C7868" w:rsidP="009C7868">
            <w:pPr>
              <w:spacing w:after="0" w:line="221" w:lineRule="atLeast"/>
              <w:rPr>
                <w:rFonts w:cstheme="minorHAnsi"/>
                <w:b w:val="0"/>
                <w:bCs w:val="0"/>
                <w:color w:val="000000"/>
              </w:rPr>
            </w:pPr>
          </w:p>
          <w:p w14:paraId="2BDF063F" w14:textId="06718E1C" w:rsidR="00642F20" w:rsidRPr="00AA6575" w:rsidRDefault="009C7868" w:rsidP="009C7868">
            <w:pPr>
              <w:pStyle w:val="ListBullet"/>
              <w:numPr>
                <w:ilvl w:val="0"/>
                <w:numId w:val="0"/>
              </w:numPr>
              <w:ind w:left="360" w:hanging="360"/>
            </w:pPr>
            <w:r w:rsidRPr="009C7868">
              <w:rPr>
                <w:rFonts w:cstheme="minorHAnsi"/>
                <w:b w:val="0"/>
                <w:bCs w:val="0"/>
                <w:color w:val="000000"/>
              </w:rPr>
              <w:t>Fee: $1,000.00 Benefit: 75% = $750.00 85% = $897.60*</w:t>
            </w:r>
          </w:p>
        </w:tc>
      </w:tr>
      <w:tr w:rsidR="00642F20" w14:paraId="398A0C81"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4E884C7" w14:textId="2A04CBE9" w:rsidR="009C7868" w:rsidRDefault="009C7868" w:rsidP="009C7868">
            <w:pPr>
              <w:rPr>
                <w:b w:val="0"/>
                <w:bCs w:val="0"/>
              </w:rPr>
            </w:pPr>
            <w:r>
              <w:t>73304</w:t>
            </w:r>
          </w:p>
          <w:p w14:paraId="45A42A18" w14:textId="77777777" w:rsidR="005A11EA" w:rsidRDefault="005A11EA" w:rsidP="00CD1AD9">
            <w:pPr>
              <w:spacing w:after="0" w:line="221" w:lineRule="atLeast"/>
            </w:pPr>
          </w:p>
          <w:p w14:paraId="470E3E9F" w14:textId="26F948DC" w:rsidR="009C7868" w:rsidRPr="009C7868" w:rsidRDefault="009C7868" w:rsidP="009C7868">
            <w:pPr>
              <w:rPr>
                <w:b w:val="0"/>
                <w:bCs w:val="0"/>
              </w:rPr>
            </w:pPr>
            <w:r w:rsidRPr="009C7868">
              <w:rPr>
                <w:b w:val="0"/>
                <w:bCs w:val="0"/>
              </w:rPr>
              <w:t xml:space="preserve">Detection of germline </w:t>
            </w:r>
            <w:r w:rsidRPr="009C7868">
              <w:rPr>
                <w:b w:val="0"/>
                <w:bCs w:val="0"/>
                <w:i/>
                <w:iCs/>
              </w:rPr>
              <w:t>BRCA1</w:t>
            </w:r>
            <w:r w:rsidRPr="009C7868">
              <w:rPr>
                <w:b w:val="0"/>
                <w:bCs w:val="0"/>
              </w:rPr>
              <w:t xml:space="preserve"> or </w:t>
            </w:r>
            <w:r w:rsidRPr="009C7868">
              <w:rPr>
                <w:b w:val="0"/>
                <w:bCs w:val="0"/>
                <w:i/>
                <w:iCs/>
              </w:rPr>
              <w:t>BRCA2</w:t>
            </w:r>
            <w:r w:rsidRPr="009C7868">
              <w:rPr>
                <w:b w:val="0"/>
                <w:bCs w:val="0"/>
              </w:rPr>
              <w:t xml:space="preserve"> pathogenic or likely pathogenic gene variants, in a patient with metastatic castration-resistant prostate cancer, for whom testing of tumour tissue is not clinically feasible, requested by a specialist or consultant physician, to determine eligibility for </w:t>
            </w:r>
            <w:r w:rsidRPr="00D366F9">
              <w:rPr>
                <w:b w:val="0"/>
                <w:bCs w:val="0"/>
              </w:rPr>
              <w:t xml:space="preserve">a relevant treatment </w:t>
            </w:r>
            <w:r w:rsidRPr="009C7868">
              <w:rPr>
                <w:b w:val="0"/>
                <w:bCs w:val="0"/>
              </w:rPr>
              <w:t>under the Pharmaceutical Benefits Scheme</w:t>
            </w:r>
            <w:r w:rsidR="00166753">
              <w:rPr>
                <w:b w:val="0"/>
                <w:bCs w:val="0"/>
              </w:rPr>
              <w:t>;</w:t>
            </w:r>
          </w:p>
          <w:p w14:paraId="43F3B4ED" w14:textId="77777777" w:rsidR="009C7868" w:rsidRDefault="009C7868" w:rsidP="009C7868">
            <w:r w:rsidRPr="009C7868">
              <w:rPr>
                <w:b w:val="0"/>
                <w:bCs w:val="0"/>
              </w:rPr>
              <w:t>Applicable once per lifetime</w:t>
            </w:r>
          </w:p>
          <w:p w14:paraId="7116C4EB" w14:textId="77777777" w:rsidR="009C7868" w:rsidRPr="009C7868" w:rsidRDefault="009C7868" w:rsidP="00CD1AD9">
            <w:pPr>
              <w:spacing w:after="0" w:line="221" w:lineRule="atLeast"/>
              <w:rPr>
                <w:b w:val="0"/>
                <w:bCs w:val="0"/>
              </w:rPr>
            </w:pPr>
          </w:p>
          <w:p w14:paraId="2F786A12" w14:textId="7770C5D4" w:rsidR="00642F20" w:rsidRPr="00642F20" w:rsidRDefault="009C7868" w:rsidP="008B0D6B">
            <w:pPr>
              <w:pStyle w:val="ListBullet"/>
              <w:numPr>
                <w:ilvl w:val="0"/>
                <w:numId w:val="0"/>
              </w:numPr>
              <w:ind w:left="360" w:hanging="360"/>
            </w:pPr>
            <w:r w:rsidRPr="009C7868">
              <w:rPr>
                <w:b w:val="0"/>
                <w:bCs w:val="0"/>
              </w:rPr>
              <w:t>Fee: $1,000.00 Benefit: 75% = $750.00 85% = $897.60*</w:t>
            </w:r>
          </w:p>
        </w:tc>
      </w:tr>
    </w:tbl>
    <w:bookmarkEnd w:id="5"/>
    <w:p w14:paraId="508B4C47" w14:textId="25ED7495" w:rsidR="00BE3ED5" w:rsidRDefault="008B0D6B" w:rsidP="00BE3ED5">
      <w:pPr>
        <w:rPr>
          <w:sz w:val="18"/>
          <w:szCs w:val="20"/>
        </w:rPr>
      </w:pPr>
      <w:r w:rsidRPr="008B0D6B">
        <w:rPr>
          <w:sz w:val="18"/>
          <w:szCs w:val="20"/>
        </w:rPr>
        <w:t xml:space="preserve">*subject to Greatest Permissible Gap. </w:t>
      </w:r>
    </w:p>
    <w:p w14:paraId="51AD0969" w14:textId="77777777" w:rsidR="008B0D6B" w:rsidRDefault="008B0D6B"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3CA22" w14:textId="77777777" w:rsidR="006525E8" w:rsidRDefault="006525E8" w:rsidP="006B56BB">
      <w:r>
        <w:separator/>
      </w:r>
    </w:p>
    <w:p w14:paraId="078E69C6" w14:textId="77777777" w:rsidR="006525E8" w:rsidRDefault="006525E8"/>
  </w:endnote>
  <w:endnote w:type="continuationSeparator" w:id="0">
    <w:p w14:paraId="2D82F4DC" w14:textId="77777777" w:rsidR="006525E8" w:rsidRDefault="006525E8" w:rsidP="006B56BB">
      <w:r>
        <w:continuationSeparator/>
      </w:r>
    </w:p>
    <w:p w14:paraId="13F86308" w14:textId="77777777" w:rsidR="006525E8" w:rsidRDefault="006525E8"/>
  </w:endnote>
  <w:endnote w:type="continuationNotice" w:id="1">
    <w:p w14:paraId="6D939150" w14:textId="77777777" w:rsidR="006525E8" w:rsidRDefault="00652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1ED24" w14:textId="77777777" w:rsidR="0086179D" w:rsidRDefault="00000000" w:rsidP="0086179D">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2B2F8CF" w:rsidR="00F51321" w:rsidRPr="00BD1D77" w:rsidRDefault="0086179D" w:rsidP="0086179D">
    <w:pPr>
      <w:pStyle w:val="Footer"/>
      <w:jc w:val="left"/>
      <w:rPr>
        <w:szCs w:val="20"/>
      </w:rPr>
    </w:pPr>
    <w:r w:rsidRPr="0086179D">
      <w:rPr>
        <w:b/>
        <w:szCs w:val="20"/>
      </w:rPr>
      <w:t>Expansion of 73303 and 73304 for BRCA variant testing in patients with prostate cancer to determine eligibility for a PBS treatment</w:t>
    </w:r>
    <w:r>
      <w:rPr>
        <w:b/>
        <w:szCs w:val="20"/>
      </w:rPr>
      <w:t xml:space="preserve"> - Factsheet</w:t>
    </w:r>
    <w:r w:rsidRPr="0086179D">
      <w:rPr>
        <w:b/>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6D549B57" w:rsidR="00CB03B8" w:rsidRPr="00F51321" w:rsidRDefault="00F51321" w:rsidP="00292535">
    <w:pPr>
      <w:pStyle w:val="Footer"/>
      <w:jc w:val="left"/>
    </w:pPr>
    <w:r w:rsidRPr="00BD1D77">
      <w:rPr>
        <w:szCs w:val="20"/>
      </w:rPr>
      <w:t xml:space="preserve">Last updated – </w:t>
    </w:r>
    <w:r w:rsidR="0098605B">
      <w:rPr>
        <w:szCs w:val="20"/>
      </w:rPr>
      <w:t>20</w:t>
    </w:r>
    <w:r w:rsidR="005B31BC">
      <w:rPr>
        <w:szCs w:val="20"/>
      </w:rPr>
      <w:t xml:space="preserve"> 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C1B96C7" w:rsidR="00064168" w:rsidRPr="00BD1D77" w:rsidRDefault="006957DC" w:rsidP="0086179D">
    <w:pPr>
      <w:pStyle w:val="Footer"/>
      <w:tabs>
        <w:tab w:val="clear" w:pos="9026"/>
        <w:tab w:val="right" w:pos="10466"/>
      </w:tabs>
      <w:jc w:val="left"/>
      <w:rPr>
        <w:szCs w:val="20"/>
      </w:rPr>
    </w:pPr>
    <w:r w:rsidRPr="0086179D">
      <w:rPr>
        <w:b/>
        <w:szCs w:val="20"/>
      </w:rPr>
      <w:t>Expansion of 73303 and 73304 for BRCA variant testing in patients with prostate cancer to determine eligibility for a PBS treatment</w:t>
    </w:r>
    <w:r>
      <w:rPr>
        <w:b/>
        <w:szCs w:val="20"/>
      </w:rPr>
      <w:t xml:space="preserve"> - Factsheet</w:t>
    </w:r>
    <w:r w:rsidRPr="0086179D">
      <w:rPr>
        <w:b/>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60E858C" w:rsidR="00064168" w:rsidRPr="00BD1D77" w:rsidRDefault="00064168" w:rsidP="00064168">
    <w:pPr>
      <w:pStyle w:val="Footer"/>
      <w:jc w:val="left"/>
      <w:rPr>
        <w:szCs w:val="20"/>
      </w:rPr>
    </w:pPr>
    <w:r w:rsidRPr="00BD1D77">
      <w:rPr>
        <w:szCs w:val="20"/>
      </w:rPr>
      <w:t xml:space="preserve">Last updated – </w:t>
    </w:r>
    <w:r w:rsidR="0086179D">
      <w:rPr>
        <w:szCs w:val="20"/>
      </w:rPr>
      <w:fldChar w:fldCharType="begin"/>
    </w:r>
    <w:r w:rsidR="0086179D">
      <w:rPr>
        <w:szCs w:val="20"/>
      </w:rPr>
      <w:instrText xml:space="preserve"> DATE \@ "d MMMM yyyy" </w:instrText>
    </w:r>
    <w:r w:rsidR="0086179D">
      <w:rPr>
        <w:szCs w:val="20"/>
      </w:rPr>
      <w:fldChar w:fldCharType="separate"/>
    </w:r>
    <w:r w:rsidR="0098605B">
      <w:rPr>
        <w:noProof/>
        <w:szCs w:val="20"/>
      </w:rPr>
      <w:t>20 December 2024</w:t>
    </w:r>
    <w:r w:rsidR="0086179D">
      <w:rPr>
        <w:szCs w:val="20"/>
      </w:rPr>
      <w:fldChar w:fldCharType="end"/>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579BD" w14:textId="77777777" w:rsidR="006525E8" w:rsidRDefault="006525E8" w:rsidP="006B56BB">
      <w:r>
        <w:separator/>
      </w:r>
    </w:p>
    <w:p w14:paraId="6FDC32F4" w14:textId="77777777" w:rsidR="006525E8" w:rsidRDefault="006525E8"/>
  </w:footnote>
  <w:footnote w:type="continuationSeparator" w:id="0">
    <w:p w14:paraId="0AFCBAFA" w14:textId="77777777" w:rsidR="006525E8" w:rsidRDefault="006525E8" w:rsidP="006B56BB">
      <w:r>
        <w:continuationSeparator/>
      </w:r>
    </w:p>
    <w:p w14:paraId="1C9DC24B" w14:textId="77777777" w:rsidR="006525E8" w:rsidRDefault="006525E8"/>
  </w:footnote>
  <w:footnote w:type="continuationNotice" w:id="1">
    <w:p w14:paraId="306697CD" w14:textId="77777777" w:rsidR="006525E8" w:rsidRDefault="00652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60843"/>
    <w:multiLevelType w:val="hybridMultilevel"/>
    <w:tmpl w:val="56264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C10A3A5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1C5286"/>
    <w:multiLevelType w:val="hybridMultilevel"/>
    <w:tmpl w:val="904C177C"/>
    <w:lvl w:ilvl="0" w:tplc="FFFFFFFF">
      <w:start w:val="1"/>
      <w:numFmt w:val="bullet"/>
      <w:lvlText w:val=""/>
      <w:lvlJc w:val="left"/>
      <w:pPr>
        <w:ind w:left="360" w:hanging="360"/>
      </w:pPr>
      <w:rPr>
        <w:rFonts w:ascii="Symbol" w:hAnsi="Symbol" w:hint="default"/>
        <w:color w:val="358189" w:themeColor="accent2"/>
        <w:spacing w:val="0"/>
        <w:w w:val="100"/>
        <w:sz w:val="24"/>
      </w:rPr>
    </w:lvl>
    <w:lvl w:ilvl="1" w:tplc="2B7ED852">
      <w:start w:val="1"/>
      <w:numFmt w:val="bullet"/>
      <w:lvlText w:val="­"/>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487A32"/>
    <w:multiLevelType w:val="hybridMultilevel"/>
    <w:tmpl w:val="8C16AB62"/>
    <w:lvl w:ilvl="0" w:tplc="153E3870">
      <w:start w:val="2"/>
      <w:numFmt w:val="bullet"/>
      <w:lvlText w:val=""/>
      <w:lvlJc w:val="left"/>
      <w:pPr>
        <w:ind w:left="1080" w:hanging="72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84467C"/>
    <w:multiLevelType w:val="hybridMultilevel"/>
    <w:tmpl w:val="E9AAD0FE"/>
    <w:lvl w:ilvl="0" w:tplc="2B7ED852">
      <w:start w:val="1"/>
      <w:numFmt w:val="bullet"/>
      <w:lvlText w:val="­"/>
      <w:lvlJc w:val="left"/>
      <w:pPr>
        <w:ind w:left="720" w:hanging="360"/>
      </w:pPr>
      <w:rPr>
        <w:rFonts w:ascii="Courier New" w:hAnsi="Courier New" w:hint="default"/>
        <w:color w:val="358189" w:themeColor="accent2"/>
        <w:spacing w:val="0"/>
        <w:w w:val="100"/>
        <w:sz w:val="24"/>
      </w:rPr>
    </w:lvl>
    <w:lvl w:ilvl="1" w:tplc="FFFFFFFF">
      <w:start w:val="1"/>
      <w:numFmt w:val="bullet"/>
      <w:lvlText w:val="­"/>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5"/>
  </w:num>
  <w:num w:numId="23" w16cid:durableId="111368400">
    <w:abstractNumId w:val="20"/>
  </w:num>
  <w:num w:numId="24" w16cid:durableId="815339056">
    <w:abstractNumId w:val="24"/>
  </w:num>
  <w:num w:numId="25" w16cid:durableId="743180995">
    <w:abstractNumId w:val="8"/>
  </w:num>
  <w:num w:numId="26" w16cid:durableId="320358050">
    <w:abstractNumId w:val="19"/>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355278724">
    <w:abstractNumId w:val="26"/>
  </w:num>
  <w:num w:numId="32" w16cid:durableId="876237716">
    <w:abstractNumId w:val="21"/>
  </w:num>
  <w:num w:numId="33" w16cid:durableId="1844666324">
    <w:abstractNumId w:val="12"/>
  </w:num>
  <w:num w:numId="34" w16cid:durableId="926767210">
    <w:abstractNumId w:val="13"/>
  </w:num>
  <w:num w:numId="35" w16cid:durableId="738675211">
    <w:abstractNumId w:val="17"/>
  </w:num>
  <w:num w:numId="36" w16cid:durableId="1405755860">
    <w:abstractNumId w:val="23"/>
  </w:num>
  <w:num w:numId="37" w16cid:durableId="1665545718">
    <w:abstractNumId w:val="13"/>
  </w:num>
  <w:num w:numId="38" w16cid:durableId="932474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EDF"/>
    <w:rsid w:val="000047B4"/>
    <w:rsid w:val="00005712"/>
    <w:rsid w:val="00007FD8"/>
    <w:rsid w:val="000117F8"/>
    <w:rsid w:val="0001460F"/>
    <w:rsid w:val="000154AB"/>
    <w:rsid w:val="00022629"/>
    <w:rsid w:val="00024DFE"/>
    <w:rsid w:val="00026139"/>
    <w:rsid w:val="000266C5"/>
    <w:rsid w:val="0002672D"/>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263"/>
    <w:rsid w:val="00090316"/>
    <w:rsid w:val="00093981"/>
    <w:rsid w:val="000B067A"/>
    <w:rsid w:val="000B0985"/>
    <w:rsid w:val="000B1540"/>
    <w:rsid w:val="000B1E53"/>
    <w:rsid w:val="000B2849"/>
    <w:rsid w:val="000B3173"/>
    <w:rsid w:val="000B33FD"/>
    <w:rsid w:val="000B4ABA"/>
    <w:rsid w:val="000B51B1"/>
    <w:rsid w:val="000C0475"/>
    <w:rsid w:val="000C1D8A"/>
    <w:rsid w:val="000C4B16"/>
    <w:rsid w:val="000C50C3"/>
    <w:rsid w:val="000C5E14"/>
    <w:rsid w:val="000D21F6"/>
    <w:rsid w:val="000D4500"/>
    <w:rsid w:val="000D7AEA"/>
    <w:rsid w:val="000E2C66"/>
    <w:rsid w:val="000F123C"/>
    <w:rsid w:val="000F2FED"/>
    <w:rsid w:val="0010616D"/>
    <w:rsid w:val="001063CD"/>
    <w:rsid w:val="00110478"/>
    <w:rsid w:val="00111901"/>
    <w:rsid w:val="0011711B"/>
    <w:rsid w:val="00117F8A"/>
    <w:rsid w:val="001210F8"/>
    <w:rsid w:val="00121B9B"/>
    <w:rsid w:val="00122ADC"/>
    <w:rsid w:val="001245EF"/>
    <w:rsid w:val="00130F59"/>
    <w:rsid w:val="00133EC0"/>
    <w:rsid w:val="00141CE5"/>
    <w:rsid w:val="00144908"/>
    <w:rsid w:val="001532DE"/>
    <w:rsid w:val="00156D96"/>
    <w:rsid w:val="001571C7"/>
    <w:rsid w:val="00157E3E"/>
    <w:rsid w:val="00161094"/>
    <w:rsid w:val="00166753"/>
    <w:rsid w:val="001668EF"/>
    <w:rsid w:val="0017665C"/>
    <w:rsid w:val="00177AD2"/>
    <w:rsid w:val="001815A8"/>
    <w:rsid w:val="001840FA"/>
    <w:rsid w:val="00190079"/>
    <w:rsid w:val="00193DA4"/>
    <w:rsid w:val="0019622E"/>
    <w:rsid w:val="001966A7"/>
    <w:rsid w:val="00197102"/>
    <w:rsid w:val="0019761F"/>
    <w:rsid w:val="001A2646"/>
    <w:rsid w:val="001A4627"/>
    <w:rsid w:val="001A4979"/>
    <w:rsid w:val="001A599A"/>
    <w:rsid w:val="001B15D3"/>
    <w:rsid w:val="001B3443"/>
    <w:rsid w:val="001C0326"/>
    <w:rsid w:val="001C192F"/>
    <w:rsid w:val="001C3C42"/>
    <w:rsid w:val="001D7869"/>
    <w:rsid w:val="00201318"/>
    <w:rsid w:val="002026CD"/>
    <w:rsid w:val="002033FC"/>
    <w:rsid w:val="002044BB"/>
    <w:rsid w:val="00210B09"/>
    <w:rsid w:val="00210C9E"/>
    <w:rsid w:val="00211840"/>
    <w:rsid w:val="00215263"/>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5B58"/>
    <w:rsid w:val="00276CB4"/>
    <w:rsid w:val="002803AD"/>
    <w:rsid w:val="002819A8"/>
    <w:rsid w:val="00282052"/>
    <w:rsid w:val="002831A3"/>
    <w:rsid w:val="0028519E"/>
    <w:rsid w:val="002856A5"/>
    <w:rsid w:val="00287159"/>
    <w:rsid w:val="002872ED"/>
    <w:rsid w:val="002905C2"/>
    <w:rsid w:val="00292535"/>
    <w:rsid w:val="00292798"/>
    <w:rsid w:val="00295AF2"/>
    <w:rsid w:val="00295C91"/>
    <w:rsid w:val="00297151"/>
    <w:rsid w:val="002B20E6"/>
    <w:rsid w:val="002B42A3"/>
    <w:rsid w:val="002B7E1D"/>
    <w:rsid w:val="002C0CDD"/>
    <w:rsid w:val="002C38C4"/>
    <w:rsid w:val="002C46AA"/>
    <w:rsid w:val="002D5A57"/>
    <w:rsid w:val="002D65A2"/>
    <w:rsid w:val="002E016D"/>
    <w:rsid w:val="002E1A1D"/>
    <w:rsid w:val="002E4081"/>
    <w:rsid w:val="002E5B78"/>
    <w:rsid w:val="002F2ABF"/>
    <w:rsid w:val="002F3AE3"/>
    <w:rsid w:val="0030464B"/>
    <w:rsid w:val="0030786C"/>
    <w:rsid w:val="00317B29"/>
    <w:rsid w:val="003233DE"/>
    <w:rsid w:val="0032466B"/>
    <w:rsid w:val="003330EB"/>
    <w:rsid w:val="00333C73"/>
    <w:rsid w:val="003415FD"/>
    <w:rsid w:val="003429F0"/>
    <w:rsid w:val="00345A82"/>
    <w:rsid w:val="00345F5D"/>
    <w:rsid w:val="0035097A"/>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37AD"/>
    <w:rsid w:val="003A4438"/>
    <w:rsid w:val="003A5013"/>
    <w:rsid w:val="003A5078"/>
    <w:rsid w:val="003A62DD"/>
    <w:rsid w:val="003A775A"/>
    <w:rsid w:val="003B213A"/>
    <w:rsid w:val="003B4037"/>
    <w:rsid w:val="003B43AD"/>
    <w:rsid w:val="003C0FEC"/>
    <w:rsid w:val="003C2AC8"/>
    <w:rsid w:val="003D033A"/>
    <w:rsid w:val="003D17F9"/>
    <w:rsid w:val="003D25A2"/>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5C81"/>
    <w:rsid w:val="00432378"/>
    <w:rsid w:val="00440D65"/>
    <w:rsid w:val="004435E6"/>
    <w:rsid w:val="00447E31"/>
    <w:rsid w:val="004526C6"/>
    <w:rsid w:val="00453923"/>
    <w:rsid w:val="00454B9B"/>
    <w:rsid w:val="00457858"/>
    <w:rsid w:val="00460B0B"/>
    <w:rsid w:val="00461023"/>
    <w:rsid w:val="00462FAC"/>
    <w:rsid w:val="00464631"/>
    <w:rsid w:val="00464B79"/>
    <w:rsid w:val="00467BBF"/>
    <w:rsid w:val="0048593C"/>
    <w:rsid w:val="004867E2"/>
    <w:rsid w:val="00490FFF"/>
    <w:rsid w:val="004929A9"/>
    <w:rsid w:val="004A78D9"/>
    <w:rsid w:val="004C1BCD"/>
    <w:rsid w:val="004C6BCF"/>
    <w:rsid w:val="004D5779"/>
    <w:rsid w:val="004D58BF"/>
    <w:rsid w:val="004D5E3F"/>
    <w:rsid w:val="004E4335"/>
    <w:rsid w:val="004E5226"/>
    <w:rsid w:val="004F13EE"/>
    <w:rsid w:val="004F2022"/>
    <w:rsid w:val="004F7C05"/>
    <w:rsid w:val="00501C94"/>
    <w:rsid w:val="00506432"/>
    <w:rsid w:val="00506E82"/>
    <w:rsid w:val="00516328"/>
    <w:rsid w:val="0052051D"/>
    <w:rsid w:val="00525479"/>
    <w:rsid w:val="005272C3"/>
    <w:rsid w:val="00545EE6"/>
    <w:rsid w:val="005550E7"/>
    <w:rsid w:val="005564FB"/>
    <w:rsid w:val="0055706A"/>
    <w:rsid w:val="005572C7"/>
    <w:rsid w:val="00564721"/>
    <w:rsid w:val="005650ED"/>
    <w:rsid w:val="00566B81"/>
    <w:rsid w:val="00575754"/>
    <w:rsid w:val="00580E45"/>
    <w:rsid w:val="00581FBA"/>
    <w:rsid w:val="005858A4"/>
    <w:rsid w:val="00591E20"/>
    <w:rsid w:val="005920E7"/>
    <w:rsid w:val="00595408"/>
    <w:rsid w:val="00595E84"/>
    <w:rsid w:val="005A0C59"/>
    <w:rsid w:val="005A11EA"/>
    <w:rsid w:val="005A48EB"/>
    <w:rsid w:val="005A6CFB"/>
    <w:rsid w:val="005B31BC"/>
    <w:rsid w:val="005C5AEB"/>
    <w:rsid w:val="005D5F4E"/>
    <w:rsid w:val="005D63F0"/>
    <w:rsid w:val="005E0A3F"/>
    <w:rsid w:val="005E1AF9"/>
    <w:rsid w:val="005E2D76"/>
    <w:rsid w:val="005E659D"/>
    <w:rsid w:val="005E6883"/>
    <w:rsid w:val="005E772F"/>
    <w:rsid w:val="005F4C90"/>
    <w:rsid w:val="005F4ECA"/>
    <w:rsid w:val="0060256A"/>
    <w:rsid w:val="006041BE"/>
    <w:rsid w:val="006043C7"/>
    <w:rsid w:val="00624B52"/>
    <w:rsid w:val="00630794"/>
    <w:rsid w:val="00631DF4"/>
    <w:rsid w:val="00634175"/>
    <w:rsid w:val="0063574E"/>
    <w:rsid w:val="006408AC"/>
    <w:rsid w:val="00641CB2"/>
    <w:rsid w:val="00642F20"/>
    <w:rsid w:val="006511B6"/>
    <w:rsid w:val="006525E8"/>
    <w:rsid w:val="00657FF8"/>
    <w:rsid w:val="006643B5"/>
    <w:rsid w:val="0066598A"/>
    <w:rsid w:val="00670D99"/>
    <w:rsid w:val="00670E2B"/>
    <w:rsid w:val="006734BB"/>
    <w:rsid w:val="0067697A"/>
    <w:rsid w:val="006821EB"/>
    <w:rsid w:val="00693A51"/>
    <w:rsid w:val="006957DC"/>
    <w:rsid w:val="006B2286"/>
    <w:rsid w:val="006B56BB"/>
    <w:rsid w:val="006C085B"/>
    <w:rsid w:val="006C77A8"/>
    <w:rsid w:val="006D22A7"/>
    <w:rsid w:val="006D4098"/>
    <w:rsid w:val="006D67F4"/>
    <w:rsid w:val="006D7681"/>
    <w:rsid w:val="006D7B2E"/>
    <w:rsid w:val="006E02EA"/>
    <w:rsid w:val="006E0968"/>
    <w:rsid w:val="006E2AF6"/>
    <w:rsid w:val="006F5073"/>
    <w:rsid w:val="00701275"/>
    <w:rsid w:val="00707F56"/>
    <w:rsid w:val="00713558"/>
    <w:rsid w:val="00720D08"/>
    <w:rsid w:val="0072217A"/>
    <w:rsid w:val="007263B9"/>
    <w:rsid w:val="007334F8"/>
    <w:rsid w:val="007339CD"/>
    <w:rsid w:val="007359D8"/>
    <w:rsid w:val="007362D4"/>
    <w:rsid w:val="0074293A"/>
    <w:rsid w:val="00744B30"/>
    <w:rsid w:val="00746C16"/>
    <w:rsid w:val="00752A88"/>
    <w:rsid w:val="0076672A"/>
    <w:rsid w:val="00774DB9"/>
    <w:rsid w:val="00775E45"/>
    <w:rsid w:val="00776E74"/>
    <w:rsid w:val="00785169"/>
    <w:rsid w:val="007954AB"/>
    <w:rsid w:val="007A03C6"/>
    <w:rsid w:val="007A14C5"/>
    <w:rsid w:val="007A4A10"/>
    <w:rsid w:val="007B1750"/>
    <w:rsid w:val="007B1760"/>
    <w:rsid w:val="007C1FDC"/>
    <w:rsid w:val="007C31DD"/>
    <w:rsid w:val="007C32D9"/>
    <w:rsid w:val="007C343D"/>
    <w:rsid w:val="007C6D9C"/>
    <w:rsid w:val="007C7DDB"/>
    <w:rsid w:val="007D09CF"/>
    <w:rsid w:val="007D2CC7"/>
    <w:rsid w:val="007D2FC9"/>
    <w:rsid w:val="007D40CE"/>
    <w:rsid w:val="007D673D"/>
    <w:rsid w:val="007E0068"/>
    <w:rsid w:val="007E0FB8"/>
    <w:rsid w:val="007E4D09"/>
    <w:rsid w:val="007F0E88"/>
    <w:rsid w:val="007F2220"/>
    <w:rsid w:val="007F2D8B"/>
    <w:rsid w:val="007F4B3E"/>
    <w:rsid w:val="008127AF"/>
    <w:rsid w:val="00812B46"/>
    <w:rsid w:val="008139F0"/>
    <w:rsid w:val="00815700"/>
    <w:rsid w:val="0082246B"/>
    <w:rsid w:val="008264EB"/>
    <w:rsid w:val="00826B8F"/>
    <w:rsid w:val="00831E8A"/>
    <w:rsid w:val="0083595B"/>
    <w:rsid w:val="00835C76"/>
    <w:rsid w:val="008376E2"/>
    <w:rsid w:val="00843049"/>
    <w:rsid w:val="008437CA"/>
    <w:rsid w:val="0084520B"/>
    <w:rsid w:val="0085209B"/>
    <w:rsid w:val="00856B66"/>
    <w:rsid w:val="008601AC"/>
    <w:rsid w:val="0086179D"/>
    <w:rsid w:val="00861A5F"/>
    <w:rsid w:val="008644AD"/>
    <w:rsid w:val="00865735"/>
    <w:rsid w:val="00865DDB"/>
    <w:rsid w:val="00867538"/>
    <w:rsid w:val="00870C46"/>
    <w:rsid w:val="00873D90"/>
    <w:rsid w:val="00873FC8"/>
    <w:rsid w:val="00884C63"/>
    <w:rsid w:val="00885908"/>
    <w:rsid w:val="008864B7"/>
    <w:rsid w:val="0089677E"/>
    <w:rsid w:val="008A7438"/>
    <w:rsid w:val="008B0D6B"/>
    <w:rsid w:val="008B1334"/>
    <w:rsid w:val="008B25C7"/>
    <w:rsid w:val="008C0278"/>
    <w:rsid w:val="008C02E0"/>
    <w:rsid w:val="008C24E9"/>
    <w:rsid w:val="008D0533"/>
    <w:rsid w:val="008D242E"/>
    <w:rsid w:val="008D42CB"/>
    <w:rsid w:val="008D48C9"/>
    <w:rsid w:val="008D6381"/>
    <w:rsid w:val="008E0C77"/>
    <w:rsid w:val="008E625F"/>
    <w:rsid w:val="008F264D"/>
    <w:rsid w:val="009040E9"/>
    <w:rsid w:val="009074E1"/>
    <w:rsid w:val="009112F7"/>
    <w:rsid w:val="009122AF"/>
    <w:rsid w:val="00912D54"/>
    <w:rsid w:val="0091389F"/>
    <w:rsid w:val="00917027"/>
    <w:rsid w:val="00917AB2"/>
    <w:rsid w:val="009208F7"/>
    <w:rsid w:val="00921649"/>
    <w:rsid w:val="00922517"/>
    <w:rsid w:val="00922722"/>
    <w:rsid w:val="009261E6"/>
    <w:rsid w:val="009268E1"/>
    <w:rsid w:val="009271EE"/>
    <w:rsid w:val="0093226A"/>
    <w:rsid w:val="009322D4"/>
    <w:rsid w:val="009344AE"/>
    <w:rsid w:val="009344DE"/>
    <w:rsid w:val="00945E7F"/>
    <w:rsid w:val="009518C7"/>
    <w:rsid w:val="009557C1"/>
    <w:rsid w:val="00960D6E"/>
    <w:rsid w:val="00973F0E"/>
    <w:rsid w:val="00974B59"/>
    <w:rsid w:val="0098166B"/>
    <w:rsid w:val="0098340B"/>
    <w:rsid w:val="0098605B"/>
    <w:rsid w:val="00986830"/>
    <w:rsid w:val="009924C3"/>
    <w:rsid w:val="00993102"/>
    <w:rsid w:val="009B1570"/>
    <w:rsid w:val="009C6F10"/>
    <w:rsid w:val="009C7868"/>
    <w:rsid w:val="009D148F"/>
    <w:rsid w:val="009D3D70"/>
    <w:rsid w:val="009E6F7E"/>
    <w:rsid w:val="009E7A57"/>
    <w:rsid w:val="009F4803"/>
    <w:rsid w:val="009F4F6A"/>
    <w:rsid w:val="009F5046"/>
    <w:rsid w:val="009F7E27"/>
    <w:rsid w:val="00A027D1"/>
    <w:rsid w:val="00A12D20"/>
    <w:rsid w:val="00A13EB5"/>
    <w:rsid w:val="00A16E36"/>
    <w:rsid w:val="00A23012"/>
    <w:rsid w:val="00A24961"/>
    <w:rsid w:val="00A24B10"/>
    <w:rsid w:val="00A277EF"/>
    <w:rsid w:val="00A30E9B"/>
    <w:rsid w:val="00A34BD0"/>
    <w:rsid w:val="00A43D1B"/>
    <w:rsid w:val="00A43F3C"/>
    <w:rsid w:val="00A4512D"/>
    <w:rsid w:val="00A50244"/>
    <w:rsid w:val="00A54A88"/>
    <w:rsid w:val="00A627D7"/>
    <w:rsid w:val="00A656C7"/>
    <w:rsid w:val="00A705AF"/>
    <w:rsid w:val="00A719F6"/>
    <w:rsid w:val="00A72454"/>
    <w:rsid w:val="00A77696"/>
    <w:rsid w:val="00A80557"/>
    <w:rsid w:val="00A81D33"/>
    <w:rsid w:val="00A81E46"/>
    <w:rsid w:val="00A82041"/>
    <w:rsid w:val="00A8341C"/>
    <w:rsid w:val="00A8695F"/>
    <w:rsid w:val="00A930AE"/>
    <w:rsid w:val="00A9704B"/>
    <w:rsid w:val="00AA1A95"/>
    <w:rsid w:val="00AA260F"/>
    <w:rsid w:val="00AB1EE7"/>
    <w:rsid w:val="00AB2B2E"/>
    <w:rsid w:val="00AB4B37"/>
    <w:rsid w:val="00AB5762"/>
    <w:rsid w:val="00AC2679"/>
    <w:rsid w:val="00AC4BE4"/>
    <w:rsid w:val="00AC6513"/>
    <w:rsid w:val="00AD05E6"/>
    <w:rsid w:val="00AD0D3F"/>
    <w:rsid w:val="00AD7558"/>
    <w:rsid w:val="00AE1D7D"/>
    <w:rsid w:val="00AE2A8B"/>
    <w:rsid w:val="00AE3F64"/>
    <w:rsid w:val="00AF7386"/>
    <w:rsid w:val="00AF7934"/>
    <w:rsid w:val="00B00B81"/>
    <w:rsid w:val="00B04580"/>
    <w:rsid w:val="00B04B09"/>
    <w:rsid w:val="00B16A51"/>
    <w:rsid w:val="00B27A99"/>
    <w:rsid w:val="00B32222"/>
    <w:rsid w:val="00B32567"/>
    <w:rsid w:val="00B3618D"/>
    <w:rsid w:val="00B36233"/>
    <w:rsid w:val="00B42851"/>
    <w:rsid w:val="00B45350"/>
    <w:rsid w:val="00B45AC7"/>
    <w:rsid w:val="00B5372F"/>
    <w:rsid w:val="00B53987"/>
    <w:rsid w:val="00B61129"/>
    <w:rsid w:val="00B67E7F"/>
    <w:rsid w:val="00B70573"/>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2E9E"/>
    <w:rsid w:val="00BD50C6"/>
    <w:rsid w:val="00BD7FB2"/>
    <w:rsid w:val="00BE2AA9"/>
    <w:rsid w:val="00BE3ED5"/>
    <w:rsid w:val="00BE42C7"/>
    <w:rsid w:val="00C00930"/>
    <w:rsid w:val="00C02732"/>
    <w:rsid w:val="00C060AD"/>
    <w:rsid w:val="00C113BF"/>
    <w:rsid w:val="00C2176E"/>
    <w:rsid w:val="00C23430"/>
    <w:rsid w:val="00C27D67"/>
    <w:rsid w:val="00C331C7"/>
    <w:rsid w:val="00C40455"/>
    <w:rsid w:val="00C40A0E"/>
    <w:rsid w:val="00C435AF"/>
    <w:rsid w:val="00C4631F"/>
    <w:rsid w:val="00C47CDE"/>
    <w:rsid w:val="00C50E16"/>
    <w:rsid w:val="00C55258"/>
    <w:rsid w:val="00C7164F"/>
    <w:rsid w:val="00C71A8A"/>
    <w:rsid w:val="00C752FC"/>
    <w:rsid w:val="00C75FA3"/>
    <w:rsid w:val="00C82EEB"/>
    <w:rsid w:val="00C971DC"/>
    <w:rsid w:val="00CA16B7"/>
    <w:rsid w:val="00CA62AE"/>
    <w:rsid w:val="00CB03B8"/>
    <w:rsid w:val="00CB5B1A"/>
    <w:rsid w:val="00CC1403"/>
    <w:rsid w:val="00CC220B"/>
    <w:rsid w:val="00CC5C43"/>
    <w:rsid w:val="00CD02AE"/>
    <w:rsid w:val="00CD1AD9"/>
    <w:rsid w:val="00CD2A4F"/>
    <w:rsid w:val="00CD41E4"/>
    <w:rsid w:val="00CD5BB7"/>
    <w:rsid w:val="00CE03CA"/>
    <w:rsid w:val="00CE22F1"/>
    <w:rsid w:val="00CE50F2"/>
    <w:rsid w:val="00CE6502"/>
    <w:rsid w:val="00CF1633"/>
    <w:rsid w:val="00CF5F4F"/>
    <w:rsid w:val="00CF7D3C"/>
    <w:rsid w:val="00D01F09"/>
    <w:rsid w:val="00D03527"/>
    <w:rsid w:val="00D12A04"/>
    <w:rsid w:val="00D147EB"/>
    <w:rsid w:val="00D27E71"/>
    <w:rsid w:val="00D30C2F"/>
    <w:rsid w:val="00D34667"/>
    <w:rsid w:val="00D366F9"/>
    <w:rsid w:val="00D401E1"/>
    <w:rsid w:val="00D408B4"/>
    <w:rsid w:val="00D44330"/>
    <w:rsid w:val="00D524C8"/>
    <w:rsid w:val="00D66781"/>
    <w:rsid w:val="00D70E24"/>
    <w:rsid w:val="00D72B61"/>
    <w:rsid w:val="00DA3D1D"/>
    <w:rsid w:val="00DB6286"/>
    <w:rsid w:val="00DB645F"/>
    <w:rsid w:val="00DB76E9"/>
    <w:rsid w:val="00DC0A67"/>
    <w:rsid w:val="00DC1D5E"/>
    <w:rsid w:val="00DC2498"/>
    <w:rsid w:val="00DC5220"/>
    <w:rsid w:val="00DD2061"/>
    <w:rsid w:val="00DD31B6"/>
    <w:rsid w:val="00DD7DAB"/>
    <w:rsid w:val="00DE2208"/>
    <w:rsid w:val="00DE3355"/>
    <w:rsid w:val="00DF0C60"/>
    <w:rsid w:val="00DF1F91"/>
    <w:rsid w:val="00DF486F"/>
    <w:rsid w:val="00DF5B5B"/>
    <w:rsid w:val="00DF654F"/>
    <w:rsid w:val="00DF7619"/>
    <w:rsid w:val="00DF7B99"/>
    <w:rsid w:val="00E010E4"/>
    <w:rsid w:val="00E042D8"/>
    <w:rsid w:val="00E07EE7"/>
    <w:rsid w:val="00E1103B"/>
    <w:rsid w:val="00E17B44"/>
    <w:rsid w:val="00E20F27"/>
    <w:rsid w:val="00E22443"/>
    <w:rsid w:val="00E25B1F"/>
    <w:rsid w:val="00E27FEA"/>
    <w:rsid w:val="00E35B07"/>
    <w:rsid w:val="00E37C62"/>
    <w:rsid w:val="00E4086F"/>
    <w:rsid w:val="00E40A8E"/>
    <w:rsid w:val="00E43B3C"/>
    <w:rsid w:val="00E44156"/>
    <w:rsid w:val="00E50188"/>
    <w:rsid w:val="00E50BB3"/>
    <w:rsid w:val="00E515CB"/>
    <w:rsid w:val="00E52260"/>
    <w:rsid w:val="00E538AE"/>
    <w:rsid w:val="00E639B6"/>
    <w:rsid w:val="00E6434B"/>
    <w:rsid w:val="00E6463D"/>
    <w:rsid w:val="00E713FA"/>
    <w:rsid w:val="00E71492"/>
    <w:rsid w:val="00E72213"/>
    <w:rsid w:val="00E72E9B"/>
    <w:rsid w:val="00E850C3"/>
    <w:rsid w:val="00E87DF2"/>
    <w:rsid w:val="00E9462E"/>
    <w:rsid w:val="00E973D6"/>
    <w:rsid w:val="00EA470E"/>
    <w:rsid w:val="00EA47A7"/>
    <w:rsid w:val="00EA57EB"/>
    <w:rsid w:val="00EB3226"/>
    <w:rsid w:val="00EC213A"/>
    <w:rsid w:val="00EC7744"/>
    <w:rsid w:val="00ED0DAD"/>
    <w:rsid w:val="00ED0F46"/>
    <w:rsid w:val="00ED1C32"/>
    <w:rsid w:val="00ED2373"/>
    <w:rsid w:val="00ED24F9"/>
    <w:rsid w:val="00ED2E38"/>
    <w:rsid w:val="00EE3E8A"/>
    <w:rsid w:val="00EE69BF"/>
    <w:rsid w:val="00EF58B8"/>
    <w:rsid w:val="00EF6ECA"/>
    <w:rsid w:val="00F003F1"/>
    <w:rsid w:val="00F024E1"/>
    <w:rsid w:val="00F06C10"/>
    <w:rsid w:val="00F1096F"/>
    <w:rsid w:val="00F12589"/>
    <w:rsid w:val="00F12595"/>
    <w:rsid w:val="00F133CC"/>
    <w:rsid w:val="00F134D9"/>
    <w:rsid w:val="00F1403D"/>
    <w:rsid w:val="00F1463F"/>
    <w:rsid w:val="00F21302"/>
    <w:rsid w:val="00F2430D"/>
    <w:rsid w:val="00F321DE"/>
    <w:rsid w:val="00F33777"/>
    <w:rsid w:val="00F34204"/>
    <w:rsid w:val="00F3627F"/>
    <w:rsid w:val="00F40648"/>
    <w:rsid w:val="00F47DA2"/>
    <w:rsid w:val="00F51321"/>
    <w:rsid w:val="00F519FC"/>
    <w:rsid w:val="00F6239D"/>
    <w:rsid w:val="00F715D2"/>
    <w:rsid w:val="00F7274F"/>
    <w:rsid w:val="00F74E84"/>
    <w:rsid w:val="00F7612E"/>
    <w:rsid w:val="00F7615B"/>
    <w:rsid w:val="00F76FA8"/>
    <w:rsid w:val="00F82C5A"/>
    <w:rsid w:val="00F85AFE"/>
    <w:rsid w:val="00F86E7E"/>
    <w:rsid w:val="00F93F08"/>
    <w:rsid w:val="00F94CED"/>
    <w:rsid w:val="00FA02BB"/>
    <w:rsid w:val="00FA2CEE"/>
    <w:rsid w:val="00FA318C"/>
    <w:rsid w:val="00FB3661"/>
    <w:rsid w:val="00FB4683"/>
    <w:rsid w:val="00FB6452"/>
    <w:rsid w:val="00FB6F92"/>
    <w:rsid w:val="00FC026E"/>
    <w:rsid w:val="00FC1DB1"/>
    <w:rsid w:val="00FC5124"/>
    <w:rsid w:val="00FD0155"/>
    <w:rsid w:val="00FD4731"/>
    <w:rsid w:val="00FD6768"/>
    <w:rsid w:val="00FD7C1F"/>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Heading5Char">
    <w:name w:val="Heading 5 Char"/>
    <w:link w:val="Heading5"/>
    <w:uiPriority w:val="9"/>
    <w:rsid w:val="009C7868"/>
    <w:rPr>
      <w:rFonts w:ascii="Arial" w:hAnsi="Arial"/>
      <w:b/>
      <w:bCs/>
      <w:iCs/>
      <w:color w:val="358189" w:themeColor="accent2"/>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5242744">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3026703">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93832057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www.msac.gov.au/internet/msac/publishing.nsf/Content/application-page"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msac.gov.au/applications/1765" TargetMode="External"/><Relationship Id="rId14" Type="http://schemas.openxmlformats.org/officeDocument/2006/relationships/hyperlink" Target="https://www9.health.gov.au/mbs/subscribe.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2024-11-26T04:13:00Z</dcterms:created>
  <dcterms:modified xsi:type="dcterms:W3CDTF">2024-12-20T03:33:00Z</dcterms:modified>
</cp:coreProperties>
</file>