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9841" w14:textId="41FFB9DF" w:rsidR="0033208A" w:rsidRDefault="00202FC4" w:rsidP="0033208A">
      <w:pPr>
        <w:pStyle w:val="Title"/>
        <w:rPr>
          <w:rFonts w:asciiTheme="majorHAnsi" w:hAnsiTheme="majorHAnsi"/>
          <w:color w:val="auto"/>
          <w:sz w:val="56"/>
          <w:szCs w:val="56"/>
        </w:rPr>
      </w:pPr>
      <w:bookmarkStart w:id="0" w:name="_Hlk4568006"/>
      <w:r>
        <w:t>Complex Neurodevelopmental Disorders and eligible disabilities c</w:t>
      </w:r>
      <w:r w:rsidR="0033208A">
        <w:t xml:space="preserve">hanges to MBS items </w:t>
      </w:r>
      <w:r w:rsidR="002F75B3">
        <w:t>for medical practitioners</w:t>
      </w:r>
    </w:p>
    <w:p w14:paraId="57C8E416" w14:textId="0F34BAC0" w:rsidR="00EB520C" w:rsidRPr="00432212" w:rsidRDefault="00EB520C" w:rsidP="00EB520C">
      <w:pPr>
        <w:pStyle w:val="Heading2"/>
      </w:pPr>
      <w:r w:rsidRPr="00432212">
        <w:t>Date of change</w:t>
      </w:r>
      <w:r>
        <w:t>:</w:t>
      </w:r>
      <w:r w:rsidRPr="00432212">
        <w:tab/>
      </w:r>
      <w:r w:rsidR="0033208A">
        <w:t>1 March 2023</w:t>
      </w:r>
    </w:p>
    <w:p w14:paraId="2EDC2EF3" w14:textId="3B46A195" w:rsidR="00EB520C" w:rsidRDefault="00EB520C" w:rsidP="00AF17C6">
      <w:pPr>
        <w:pStyle w:val="Heading3"/>
      </w:pPr>
      <w:bookmarkStart w:id="1" w:name="_Hlk10794542"/>
      <w:r w:rsidRPr="00AA6575">
        <w:rPr>
          <w:rFonts w:eastAsiaTheme="minorEastAsia"/>
        </w:rPr>
        <w:t>Amended item</w:t>
      </w:r>
      <w:r w:rsidR="000F1A5B">
        <w:rPr>
          <w:rFonts w:eastAsiaTheme="minorEastAsia"/>
        </w:rPr>
        <w:t>s</w:t>
      </w:r>
      <w:r w:rsidRPr="00AA6575">
        <w:rPr>
          <w:rFonts w:eastAsiaTheme="minorEastAsia"/>
        </w:rPr>
        <w:t>:</w:t>
      </w:r>
      <w:r w:rsidRPr="00AA6575">
        <w:t xml:space="preserve"> </w:t>
      </w:r>
      <w:r w:rsidRPr="00AA6575">
        <w:tab/>
      </w:r>
      <w:r w:rsidR="00C4529E">
        <w:t>135</w:t>
      </w:r>
      <w:r w:rsidR="006C0B7C">
        <w:t xml:space="preserve"> </w:t>
      </w:r>
      <w:r w:rsidR="00C4529E">
        <w:t>137</w:t>
      </w:r>
      <w:r w:rsidR="006C0B7C">
        <w:t xml:space="preserve"> </w:t>
      </w:r>
      <w:r w:rsidR="009363A3">
        <w:t xml:space="preserve">139 </w:t>
      </w:r>
      <w:r w:rsidR="000F1A5B">
        <w:t>289</w:t>
      </w:r>
    </w:p>
    <w:bookmarkEnd w:id="1"/>
    <w:p w14:paraId="1D2ACDE8" w14:textId="7415E90B" w:rsidR="00EB520C" w:rsidRPr="00AA6575" w:rsidRDefault="002160ED" w:rsidP="00AA6575">
      <w:r>
        <w:pict w14:anchorId="0B8F8D42">
          <v:rect id="_x0000_i1025" style="width:0;height:1.5pt" o:hralign="center" o:hrstd="t" o:hr="t" fillcolor="#a0a0a0" stroked="f"/>
        </w:pict>
      </w:r>
    </w:p>
    <w:p w14:paraId="4C26825B" w14:textId="1FB19AC9" w:rsidR="00EB520C" w:rsidRPr="00520161" w:rsidRDefault="00066E68" w:rsidP="00EB520C">
      <w:pPr>
        <w:pStyle w:val="Heading2"/>
      </w:pPr>
      <w:r>
        <w:t xml:space="preserve">What are the changes </w:t>
      </w:r>
    </w:p>
    <w:p w14:paraId="435127B9" w14:textId="6AA6F9EC" w:rsidR="002A4410" w:rsidRPr="009A50DA" w:rsidRDefault="000F1A5B" w:rsidP="00AA6575">
      <w:pPr>
        <w:pStyle w:val="ListBullet"/>
        <w:rPr>
          <w:sz w:val="22"/>
          <w:szCs w:val="22"/>
        </w:rPr>
      </w:pPr>
      <w:r w:rsidRPr="009A50DA">
        <w:rPr>
          <w:sz w:val="22"/>
          <w:szCs w:val="22"/>
        </w:rPr>
        <w:t xml:space="preserve">From 1 March 2023, </w:t>
      </w:r>
      <w:r w:rsidR="00066E68" w:rsidRPr="009A50DA">
        <w:rPr>
          <w:rFonts w:cs="Arial"/>
          <w:color w:val="000000"/>
          <w:sz w:val="22"/>
          <w:szCs w:val="22"/>
        </w:rPr>
        <w:t>changes</w:t>
      </w:r>
      <w:r w:rsidR="00066E68" w:rsidRPr="009A50DA">
        <w:rPr>
          <w:rFonts w:eastAsiaTheme="minorHAnsi" w:cs="Arial"/>
          <w:color w:val="000000"/>
          <w:sz w:val="22"/>
          <w:szCs w:val="22"/>
        </w:rPr>
        <w:t xml:space="preserve"> will be made across all medical practitioner items for </w:t>
      </w:r>
      <w:r w:rsidR="00066E68" w:rsidRPr="009A50DA">
        <w:rPr>
          <w:rFonts w:cs="Arial"/>
          <w:color w:val="000000"/>
          <w:sz w:val="22"/>
          <w:szCs w:val="22"/>
        </w:rPr>
        <w:t xml:space="preserve">the </w:t>
      </w:r>
      <w:r w:rsidR="00372506" w:rsidRPr="009A50DA">
        <w:rPr>
          <w:rFonts w:cs="Arial"/>
          <w:color w:val="000000"/>
          <w:sz w:val="22"/>
          <w:szCs w:val="22"/>
        </w:rPr>
        <w:t xml:space="preserve">assessment and </w:t>
      </w:r>
      <w:r w:rsidR="00066E68" w:rsidRPr="009A50DA">
        <w:rPr>
          <w:rFonts w:eastAsiaTheme="minorHAnsi" w:cs="Arial"/>
          <w:color w:val="000000"/>
          <w:sz w:val="22"/>
          <w:szCs w:val="22"/>
        </w:rPr>
        <w:t xml:space="preserve">development of a treatment and management plan for individuals diagnosed with a </w:t>
      </w:r>
      <w:r w:rsidR="00202FC4" w:rsidRPr="009A50DA">
        <w:rPr>
          <w:rFonts w:eastAsiaTheme="minorHAnsi" w:cs="Arial"/>
          <w:color w:val="000000"/>
          <w:sz w:val="22"/>
          <w:szCs w:val="22"/>
        </w:rPr>
        <w:t>C</w:t>
      </w:r>
      <w:r w:rsidR="00066E68" w:rsidRPr="009A50DA">
        <w:rPr>
          <w:rFonts w:eastAsiaTheme="minorHAnsi" w:cs="Arial"/>
          <w:color w:val="000000"/>
          <w:sz w:val="22"/>
          <w:szCs w:val="22"/>
        </w:rPr>
        <w:t xml:space="preserve">omplex Neurodevelopmental Disorder (such as Autism Spectrum Disorder) or an eligible disability. MBS </w:t>
      </w:r>
      <w:r w:rsidRPr="009A50DA">
        <w:rPr>
          <w:sz w:val="22"/>
          <w:szCs w:val="22"/>
        </w:rPr>
        <w:t>items 135 (for consultant paediatricians), 137 (for specialist and consultant physicians)</w:t>
      </w:r>
      <w:r w:rsidR="00ED3F6F" w:rsidRPr="009A50DA">
        <w:rPr>
          <w:sz w:val="22"/>
          <w:szCs w:val="22"/>
        </w:rPr>
        <w:t>,</w:t>
      </w:r>
      <w:r w:rsidRPr="009A50DA">
        <w:rPr>
          <w:sz w:val="22"/>
          <w:szCs w:val="22"/>
        </w:rPr>
        <w:t xml:space="preserve"> 139 (for GPs) and 289 (for consultant psychiatrists) will be amended to</w:t>
      </w:r>
      <w:r w:rsidR="002A4410" w:rsidRPr="009A50DA">
        <w:rPr>
          <w:sz w:val="22"/>
          <w:szCs w:val="22"/>
        </w:rPr>
        <w:t xml:space="preserve">: </w:t>
      </w:r>
    </w:p>
    <w:p w14:paraId="3673F7D5" w14:textId="69F6EA92" w:rsidR="00FB2A54" w:rsidRPr="009A50DA" w:rsidRDefault="00ED3F6F" w:rsidP="00B0084E">
      <w:pPr>
        <w:pStyle w:val="ListBullet"/>
        <w:numPr>
          <w:ilvl w:val="0"/>
          <w:numId w:val="30"/>
        </w:numPr>
        <w:rPr>
          <w:sz w:val="22"/>
          <w:szCs w:val="22"/>
        </w:rPr>
      </w:pPr>
      <w:r w:rsidRPr="009A50DA">
        <w:rPr>
          <w:sz w:val="22"/>
          <w:szCs w:val="22"/>
        </w:rPr>
        <w:t>E</w:t>
      </w:r>
      <w:r w:rsidR="000F1A5B" w:rsidRPr="009A50DA">
        <w:rPr>
          <w:sz w:val="22"/>
          <w:szCs w:val="22"/>
        </w:rPr>
        <w:t>xpand</w:t>
      </w:r>
      <w:r w:rsidR="00FB2A54" w:rsidRPr="009A50DA">
        <w:rPr>
          <w:sz w:val="22"/>
          <w:szCs w:val="22"/>
        </w:rPr>
        <w:t xml:space="preserve"> the age eligibility for MBS </w:t>
      </w:r>
      <w:r w:rsidR="000F1A5B" w:rsidRPr="009A50DA">
        <w:rPr>
          <w:sz w:val="22"/>
          <w:szCs w:val="22"/>
        </w:rPr>
        <w:t xml:space="preserve">rebates from under 13 years of age to </w:t>
      </w:r>
      <w:r w:rsidR="00FB2A54" w:rsidRPr="009A50DA">
        <w:rPr>
          <w:sz w:val="22"/>
          <w:szCs w:val="22"/>
        </w:rPr>
        <w:t>under 25</w:t>
      </w:r>
      <w:r w:rsidR="000F1A5B" w:rsidRPr="009A50DA">
        <w:rPr>
          <w:sz w:val="22"/>
          <w:szCs w:val="22"/>
        </w:rPr>
        <w:t xml:space="preserve"> years</w:t>
      </w:r>
      <w:r w:rsidR="00FB2A54" w:rsidRPr="009A50DA">
        <w:rPr>
          <w:sz w:val="22"/>
          <w:szCs w:val="22"/>
        </w:rPr>
        <w:t xml:space="preserve"> for </w:t>
      </w:r>
      <w:r w:rsidR="00B93B33" w:rsidRPr="009A50DA">
        <w:rPr>
          <w:sz w:val="22"/>
          <w:szCs w:val="22"/>
        </w:rPr>
        <w:t>C</w:t>
      </w:r>
      <w:r w:rsidR="000F1A5B" w:rsidRPr="009A50DA">
        <w:rPr>
          <w:sz w:val="22"/>
          <w:szCs w:val="22"/>
        </w:rPr>
        <w:t>omplex Neurodevelopmental Disorders and eligible disabilities</w:t>
      </w:r>
      <w:r w:rsidR="002A4410" w:rsidRPr="009A50DA">
        <w:rPr>
          <w:sz w:val="22"/>
          <w:szCs w:val="22"/>
        </w:rPr>
        <w:t>;</w:t>
      </w:r>
    </w:p>
    <w:p w14:paraId="32D05939" w14:textId="6E9FAC17" w:rsidR="002A4410" w:rsidRPr="009A50DA" w:rsidRDefault="002A4410" w:rsidP="00B0084E">
      <w:pPr>
        <w:pStyle w:val="ListBullet"/>
        <w:numPr>
          <w:ilvl w:val="0"/>
          <w:numId w:val="30"/>
        </w:numPr>
        <w:rPr>
          <w:sz w:val="22"/>
          <w:szCs w:val="22"/>
        </w:rPr>
      </w:pPr>
      <w:r w:rsidRPr="009A50DA">
        <w:rPr>
          <w:sz w:val="22"/>
          <w:szCs w:val="22"/>
        </w:rPr>
        <w:t xml:space="preserve">Update terminology from Pervasive Developmental Disorders to </w:t>
      </w:r>
      <w:r w:rsidR="00B93B33" w:rsidRPr="009A50DA">
        <w:rPr>
          <w:sz w:val="22"/>
          <w:szCs w:val="22"/>
        </w:rPr>
        <w:t>C</w:t>
      </w:r>
      <w:r w:rsidRPr="009A50DA">
        <w:rPr>
          <w:sz w:val="22"/>
          <w:szCs w:val="22"/>
        </w:rPr>
        <w:t>omplex Neurodevelopmental Disorders (such as Autism Spectrum Disorders)</w:t>
      </w:r>
      <w:r w:rsidR="00066E68" w:rsidRPr="009A50DA">
        <w:rPr>
          <w:sz w:val="22"/>
          <w:szCs w:val="22"/>
        </w:rPr>
        <w:t>;</w:t>
      </w:r>
    </w:p>
    <w:p w14:paraId="0FC6E9A5" w14:textId="6F7DA917" w:rsidR="002A4410" w:rsidRPr="009A50DA" w:rsidRDefault="00ED3F6F" w:rsidP="00AB2E31">
      <w:pPr>
        <w:pStyle w:val="ListBullet"/>
        <w:numPr>
          <w:ilvl w:val="0"/>
          <w:numId w:val="30"/>
        </w:numPr>
        <w:rPr>
          <w:sz w:val="22"/>
          <w:szCs w:val="22"/>
        </w:rPr>
      </w:pPr>
      <w:r w:rsidRPr="009A50DA">
        <w:rPr>
          <w:sz w:val="22"/>
          <w:szCs w:val="22"/>
        </w:rPr>
        <w:t xml:space="preserve">Expand the </w:t>
      </w:r>
      <w:r w:rsidR="00066E68" w:rsidRPr="009A50DA">
        <w:rPr>
          <w:sz w:val="22"/>
          <w:szCs w:val="22"/>
        </w:rPr>
        <w:t>eligibility disability list to include Fetal Alcohol Spectrum Disorder, Lesch</w:t>
      </w:r>
      <w:r w:rsidR="009F6DE4">
        <w:rPr>
          <w:sz w:val="22"/>
          <w:szCs w:val="22"/>
        </w:rPr>
        <w:noBreakHyphen/>
      </w:r>
      <w:r w:rsidR="00066E68" w:rsidRPr="009A50DA">
        <w:rPr>
          <w:sz w:val="22"/>
          <w:szCs w:val="22"/>
        </w:rPr>
        <w:t>Nyhan Syndrome and 22q deletion Syndrome.</w:t>
      </w:r>
    </w:p>
    <w:p w14:paraId="577EDC52" w14:textId="6A56242A" w:rsidR="00064A28" w:rsidRPr="009A50DA" w:rsidRDefault="00CC7219">
      <w:pPr>
        <w:pStyle w:val="ListBullet"/>
        <w:rPr>
          <w:sz w:val="22"/>
          <w:szCs w:val="22"/>
        </w:rPr>
      </w:pPr>
      <w:r w:rsidRPr="009A50DA">
        <w:rPr>
          <w:sz w:val="22"/>
          <w:szCs w:val="22"/>
        </w:rPr>
        <w:t>The</w:t>
      </w:r>
      <w:r w:rsidR="000F1A5B" w:rsidRPr="009A50DA">
        <w:rPr>
          <w:sz w:val="22"/>
          <w:szCs w:val="22"/>
        </w:rPr>
        <w:t xml:space="preserve">se </w:t>
      </w:r>
      <w:r w:rsidR="00181A40" w:rsidRPr="009A50DA">
        <w:rPr>
          <w:sz w:val="22"/>
          <w:szCs w:val="22"/>
        </w:rPr>
        <w:t xml:space="preserve">changes </w:t>
      </w:r>
      <w:r w:rsidR="000F1A5B" w:rsidRPr="009A50DA">
        <w:rPr>
          <w:sz w:val="22"/>
          <w:szCs w:val="22"/>
        </w:rPr>
        <w:t>will</w:t>
      </w:r>
      <w:r w:rsidR="00181A40" w:rsidRPr="009A50DA">
        <w:rPr>
          <w:sz w:val="22"/>
          <w:szCs w:val="22"/>
        </w:rPr>
        <w:t xml:space="preserve"> ensure the items align with contemporary clinical practice and address recommendations endorsed by MBS Reviews Taskforce</w:t>
      </w:r>
      <w:r w:rsidR="00066E68" w:rsidRPr="009A50DA">
        <w:rPr>
          <w:sz w:val="22"/>
          <w:szCs w:val="22"/>
        </w:rPr>
        <w:t xml:space="preserve"> (the Taskforce).</w:t>
      </w:r>
    </w:p>
    <w:p w14:paraId="328C45AB" w14:textId="08039222" w:rsidR="00EB520C" w:rsidRPr="00432212" w:rsidRDefault="00EB520C" w:rsidP="00EB520C">
      <w:pPr>
        <w:pStyle w:val="Heading2"/>
      </w:pPr>
      <w:r w:rsidRPr="00432212">
        <w:t xml:space="preserve">Patient </w:t>
      </w:r>
      <w:r>
        <w:t>impacts</w:t>
      </w:r>
    </w:p>
    <w:p w14:paraId="0C073963" w14:textId="103980C5" w:rsidR="00B50C60" w:rsidRPr="009A50DA" w:rsidRDefault="00064A28" w:rsidP="00AA6575">
      <w:pPr>
        <w:pStyle w:val="ListBullet"/>
        <w:rPr>
          <w:rFonts w:eastAsia="Times New Roman" w:cs="Arial"/>
          <w:color w:val="000000" w:themeColor="text1"/>
          <w:sz w:val="22"/>
          <w:szCs w:val="22"/>
        </w:rPr>
      </w:pPr>
      <w:r w:rsidRPr="009A50DA">
        <w:rPr>
          <w:sz w:val="22"/>
          <w:szCs w:val="22"/>
        </w:rPr>
        <w:t xml:space="preserve">These MBS items were introduced to the MBS in 2008 as part of the </w:t>
      </w:r>
      <w:r w:rsidRPr="009A50DA">
        <w:rPr>
          <w:i/>
          <w:iCs/>
          <w:sz w:val="22"/>
          <w:szCs w:val="22"/>
        </w:rPr>
        <w:t xml:space="preserve">Helping Children with Autism Program </w:t>
      </w:r>
      <w:r w:rsidRPr="009A50DA">
        <w:rPr>
          <w:sz w:val="22"/>
          <w:szCs w:val="22"/>
        </w:rPr>
        <w:t xml:space="preserve">(HCWA) and the </w:t>
      </w:r>
      <w:r w:rsidRPr="009A50DA">
        <w:rPr>
          <w:rFonts w:eastAsia="Times New Roman" w:cs="Arial"/>
          <w:i/>
          <w:iCs/>
          <w:color w:val="000000" w:themeColor="text1"/>
          <w:sz w:val="22"/>
          <w:szCs w:val="22"/>
        </w:rPr>
        <w:t>Better Start for Children with Disability Program</w:t>
      </w:r>
      <w:r w:rsidR="00B45891" w:rsidRPr="009A50DA">
        <w:rPr>
          <w:rFonts w:eastAsia="Times New Roman" w:cs="Arial"/>
          <w:color w:val="000000" w:themeColor="text1"/>
          <w:sz w:val="22"/>
          <w:szCs w:val="22"/>
        </w:rPr>
        <w:t>. These programs</w:t>
      </w:r>
      <w:r w:rsidRPr="009A50DA">
        <w:rPr>
          <w:rFonts w:eastAsia="Times New Roman" w:cs="Arial"/>
          <w:color w:val="000000" w:themeColor="text1"/>
          <w:sz w:val="22"/>
          <w:szCs w:val="22"/>
        </w:rPr>
        <w:t xml:space="preserve"> were early intervention services for children undergoing diagnosis or treatment for Autism</w:t>
      </w:r>
      <w:r w:rsidRPr="009A50DA">
        <w:rPr>
          <w:rFonts w:eastAsia="Times New Roman" w:cs="Arial"/>
          <w:i/>
          <w:iCs/>
          <w:color w:val="000000" w:themeColor="text1"/>
          <w:sz w:val="22"/>
          <w:szCs w:val="22"/>
        </w:rPr>
        <w:t xml:space="preserve"> </w:t>
      </w:r>
      <w:r w:rsidRPr="009A50DA">
        <w:rPr>
          <w:rFonts w:eastAsia="Times New Roman" w:cs="Arial"/>
          <w:color w:val="000000" w:themeColor="text1"/>
          <w:sz w:val="22"/>
          <w:szCs w:val="22"/>
        </w:rPr>
        <w:t xml:space="preserve">or an eligible disability. Following diagnosis of Autism or an eligible </w:t>
      </w:r>
      <w:r w:rsidR="00B63D58">
        <w:rPr>
          <w:rFonts w:eastAsia="Times New Roman" w:cs="Arial"/>
          <w:color w:val="000000" w:themeColor="text1"/>
          <w:sz w:val="22"/>
          <w:szCs w:val="22"/>
        </w:rPr>
        <w:t xml:space="preserve">disability </w:t>
      </w:r>
      <w:r w:rsidRPr="009A50DA">
        <w:rPr>
          <w:rFonts w:eastAsia="Times New Roman" w:cs="Arial"/>
          <w:color w:val="000000" w:themeColor="text1"/>
          <w:sz w:val="22"/>
          <w:szCs w:val="22"/>
        </w:rPr>
        <w:t xml:space="preserve">diagnosis, funding was available through the Department of Families, Housing, Community Services and Indigenous Affairs (FaHCSIA) for individuals aged 0-6 years. </w:t>
      </w:r>
    </w:p>
    <w:p w14:paraId="48360344" w14:textId="259488FE" w:rsidR="00B50C60" w:rsidRPr="009A50DA" w:rsidRDefault="00064A28" w:rsidP="00AA6575">
      <w:pPr>
        <w:pStyle w:val="ListBullet"/>
        <w:rPr>
          <w:rFonts w:eastAsia="Times New Roman" w:cs="Arial"/>
          <w:color w:val="000000" w:themeColor="text1"/>
          <w:sz w:val="22"/>
          <w:szCs w:val="22"/>
        </w:rPr>
      </w:pPr>
      <w:r w:rsidRPr="009A50DA">
        <w:rPr>
          <w:rFonts w:eastAsia="Times New Roman" w:cs="Arial"/>
          <w:color w:val="000000" w:themeColor="text1"/>
          <w:sz w:val="22"/>
          <w:szCs w:val="22"/>
        </w:rPr>
        <w:t xml:space="preserve">From 2021, funding for both the </w:t>
      </w:r>
      <w:r w:rsidRPr="009A50DA">
        <w:rPr>
          <w:rFonts w:eastAsia="Times New Roman" w:cs="Arial"/>
          <w:i/>
          <w:iCs/>
          <w:color w:val="000000" w:themeColor="text1"/>
          <w:sz w:val="22"/>
          <w:szCs w:val="22"/>
        </w:rPr>
        <w:t xml:space="preserve">Helping Children with Autism and Better Start for Children with Disability </w:t>
      </w:r>
      <w:r w:rsidRPr="009A50DA">
        <w:rPr>
          <w:rFonts w:eastAsia="Times New Roman" w:cs="Arial"/>
          <w:color w:val="000000" w:themeColor="text1"/>
          <w:sz w:val="22"/>
          <w:szCs w:val="22"/>
        </w:rPr>
        <w:t>programs have transitioned to the National Disability Insurance Scheme</w:t>
      </w:r>
      <w:r w:rsidR="00B50C60" w:rsidRPr="009A50DA">
        <w:rPr>
          <w:rFonts w:eastAsia="Times New Roman" w:cs="Arial"/>
          <w:color w:val="000000" w:themeColor="text1"/>
          <w:sz w:val="22"/>
          <w:szCs w:val="22"/>
        </w:rPr>
        <w:t>, however the MBS items continue to be available to eligible patients</w:t>
      </w:r>
      <w:r w:rsidR="00B45891" w:rsidRPr="009A50DA">
        <w:rPr>
          <w:rFonts w:eastAsia="Times New Roman" w:cs="Arial"/>
          <w:color w:val="000000" w:themeColor="text1"/>
          <w:sz w:val="22"/>
          <w:szCs w:val="22"/>
        </w:rPr>
        <w:t>, as</w:t>
      </w:r>
      <w:r w:rsidR="00B50C60" w:rsidRPr="009A50DA">
        <w:rPr>
          <w:rFonts w:eastAsia="Times New Roman" w:cs="Arial"/>
          <w:color w:val="000000" w:themeColor="text1"/>
          <w:sz w:val="22"/>
          <w:szCs w:val="22"/>
        </w:rPr>
        <w:t xml:space="preserve"> recommended by the Taskforce </w:t>
      </w:r>
      <w:r w:rsidR="00B45891" w:rsidRPr="009A50DA">
        <w:rPr>
          <w:rFonts w:eastAsia="Times New Roman" w:cs="Arial"/>
          <w:color w:val="000000" w:themeColor="text1"/>
          <w:sz w:val="22"/>
          <w:szCs w:val="22"/>
        </w:rPr>
        <w:t xml:space="preserve">but with changes </w:t>
      </w:r>
      <w:r w:rsidR="00B50C60" w:rsidRPr="009A50DA">
        <w:rPr>
          <w:rFonts w:eastAsia="Times New Roman" w:cs="Arial"/>
          <w:color w:val="000000" w:themeColor="text1"/>
          <w:sz w:val="22"/>
          <w:szCs w:val="22"/>
        </w:rPr>
        <w:t xml:space="preserve">to improve access, amend outdated terminology and better align the items with current best practice. </w:t>
      </w:r>
    </w:p>
    <w:p w14:paraId="15EB863D" w14:textId="2FFA3541" w:rsidR="00B45891" w:rsidRPr="002D6FC2" w:rsidRDefault="00B50C60" w:rsidP="00AA6575">
      <w:pPr>
        <w:pStyle w:val="ListBullet"/>
        <w:rPr>
          <w:szCs w:val="20"/>
        </w:rPr>
      </w:pPr>
      <w:r w:rsidRPr="009A50DA">
        <w:rPr>
          <w:rFonts w:eastAsia="Times New Roman" w:cs="Arial"/>
          <w:color w:val="000000" w:themeColor="text1"/>
          <w:sz w:val="22"/>
          <w:szCs w:val="22"/>
        </w:rPr>
        <w:lastRenderedPageBreak/>
        <w:t xml:space="preserve">From 1 March 2023, patient eligibility will expand, from </w:t>
      </w:r>
      <w:r w:rsidR="002F75B3" w:rsidRPr="009A50DA">
        <w:rPr>
          <w:rFonts w:eastAsia="Times New Roman" w:cs="Arial"/>
          <w:color w:val="000000" w:themeColor="text1"/>
          <w:sz w:val="22"/>
          <w:szCs w:val="22"/>
        </w:rPr>
        <w:t>under</w:t>
      </w:r>
      <w:r w:rsidRPr="009A50DA">
        <w:rPr>
          <w:rFonts w:eastAsia="Times New Roman" w:cs="Arial"/>
          <w:color w:val="000000" w:themeColor="text1"/>
          <w:sz w:val="22"/>
          <w:szCs w:val="22"/>
        </w:rPr>
        <w:t xml:space="preserve"> 13 years of age to u</w:t>
      </w:r>
      <w:r w:rsidR="002F75B3" w:rsidRPr="009A50DA">
        <w:rPr>
          <w:rFonts w:eastAsia="Times New Roman" w:cs="Arial"/>
          <w:color w:val="000000" w:themeColor="text1"/>
          <w:sz w:val="22"/>
          <w:szCs w:val="22"/>
        </w:rPr>
        <w:t>nder</w:t>
      </w:r>
      <w:r w:rsidRPr="009A50DA">
        <w:rPr>
          <w:rFonts w:eastAsia="Times New Roman" w:cs="Arial"/>
          <w:color w:val="000000" w:themeColor="text1"/>
          <w:sz w:val="22"/>
          <w:szCs w:val="22"/>
        </w:rPr>
        <w:t xml:space="preserve"> 25 years of age. Where an individual is diagnosed with a </w:t>
      </w:r>
      <w:r w:rsidR="00F50CCE" w:rsidRPr="009A50DA">
        <w:rPr>
          <w:rFonts w:eastAsia="Times New Roman" w:cs="Arial"/>
          <w:color w:val="000000" w:themeColor="text1"/>
          <w:sz w:val="22"/>
          <w:szCs w:val="22"/>
        </w:rPr>
        <w:t>C</w:t>
      </w:r>
      <w:r w:rsidRPr="009A50DA">
        <w:rPr>
          <w:rFonts w:eastAsia="Times New Roman" w:cs="Arial"/>
          <w:color w:val="000000" w:themeColor="text1"/>
          <w:sz w:val="22"/>
          <w:szCs w:val="22"/>
        </w:rPr>
        <w:t xml:space="preserve">omplex Neurodevelopmental Disorder or an eligible disability, and a treatment and management plan is developed under items 135, 137, 139 or 289 </w:t>
      </w:r>
      <w:r w:rsidR="007F17B8">
        <w:rPr>
          <w:rFonts w:eastAsia="Times New Roman" w:cs="Arial"/>
          <w:color w:val="000000" w:themeColor="text1"/>
          <w:sz w:val="22"/>
          <w:szCs w:val="22"/>
        </w:rPr>
        <w:t>I</w:t>
      </w:r>
      <w:r w:rsidRPr="009A50DA">
        <w:rPr>
          <w:rFonts w:eastAsia="Times New Roman" w:cs="Arial"/>
          <w:color w:val="000000" w:themeColor="text1"/>
          <w:sz w:val="22"/>
          <w:szCs w:val="22"/>
        </w:rPr>
        <w:t xml:space="preserve">ndividuals can be referred for up to 20 eligible </w:t>
      </w:r>
      <w:r w:rsidR="00F313ED">
        <w:rPr>
          <w:sz w:val="22"/>
          <w:szCs w:val="22"/>
        </w:rPr>
        <w:t xml:space="preserve">Allied Health </w:t>
      </w:r>
      <w:r w:rsidRPr="009A50DA">
        <w:rPr>
          <w:sz w:val="22"/>
          <w:szCs w:val="22"/>
        </w:rPr>
        <w:t>treatment services if applicable. Eligibility for these items is based on functional impairment rather than diagnosis alone.</w:t>
      </w:r>
    </w:p>
    <w:p w14:paraId="12A1CDC6" w14:textId="77777777" w:rsidR="00C41690" w:rsidRDefault="00EB520C" w:rsidP="002D6FC2">
      <w:pPr>
        <w:pStyle w:val="FigureTitle"/>
        <w:rPr>
          <w:color w:val="358189"/>
          <w:sz w:val="36"/>
          <w:szCs w:val="28"/>
        </w:rPr>
      </w:pPr>
      <w:bookmarkStart w:id="2" w:name="_Hlk271137"/>
      <w:r w:rsidRPr="00BE22A9">
        <w:rPr>
          <w:color w:val="358189"/>
          <w:sz w:val="36"/>
          <w:szCs w:val="28"/>
        </w:rPr>
        <w:t>Restrictions or requirement</w:t>
      </w:r>
    </w:p>
    <w:p w14:paraId="7C9B1299" w14:textId="3D44C762" w:rsidR="00511443" w:rsidRDefault="00511443" w:rsidP="002D6FC2">
      <w:pPr>
        <w:pStyle w:val="FigureTitle"/>
      </w:pPr>
      <w:r>
        <w:t xml:space="preserve">Patient eligibility </w:t>
      </w:r>
    </w:p>
    <w:p w14:paraId="563B437B" w14:textId="439C66FB" w:rsidR="00511443" w:rsidRPr="009A50DA" w:rsidRDefault="00B45891">
      <w:pPr>
        <w:rPr>
          <w:sz w:val="22"/>
          <w:szCs w:val="22"/>
        </w:rPr>
      </w:pPr>
      <w:r w:rsidRPr="009A50DA">
        <w:rPr>
          <w:sz w:val="22"/>
          <w:szCs w:val="22"/>
        </w:rPr>
        <w:t>Items 135 (or telehealth equivalent item 92140)</w:t>
      </w:r>
      <w:r w:rsidR="00511443" w:rsidRPr="009A50DA">
        <w:rPr>
          <w:sz w:val="22"/>
          <w:szCs w:val="22"/>
        </w:rPr>
        <w:t xml:space="preserve"> and</w:t>
      </w:r>
      <w:r w:rsidRPr="009A50DA">
        <w:rPr>
          <w:sz w:val="22"/>
          <w:szCs w:val="22"/>
        </w:rPr>
        <w:t xml:space="preserve"> 289 (or telehealth equivalent item </w:t>
      </w:r>
      <w:r w:rsidR="00511443" w:rsidRPr="009A50DA">
        <w:rPr>
          <w:sz w:val="22"/>
          <w:szCs w:val="22"/>
        </w:rPr>
        <w:t>92434)</w:t>
      </w:r>
      <w:r w:rsidRPr="009A50DA">
        <w:rPr>
          <w:sz w:val="22"/>
          <w:szCs w:val="22"/>
        </w:rPr>
        <w:t xml:space="preserve"> are intended for complex conditions, characterised by multi-domain cognitive and functional impairment. Patient eligibility (up to 25 years of age) is for neurodevelopmental disorders, assessed to be complex and </w:t>
      </w:r>
      <w:r w:rsidR="00B63D58">
        <w:rPr>
          <w:sz w:val="22"/>
          <w:szCs w:val="22"/>
        </w:rPr>
        <w:t xml:space="preserve">where </w:t>
      </w:r>
      <w:r w:rsidRPr="009A50DA">
        <w:rPr>
          <w:sz w:val="22"/>
          <w:szCs w:val="22"/>
        </w:rPr>
        <w:t xml:space="preserve">patients will require support across multiple domains. </w:t>
      </w:r>
      <w:r w:rsidR="00511443" w:rsidRPr="009A50DA">
        <w:rPr>
          <w:sz w:val="22"/>
          <w:szCs w:val="22"/>
        </w:rPr>
        <w:t xml:space="preserve">The diagnosis of a </w:t>
      </w:r>
      <w:r w:rsidR="00052817">
        <w:rPr>
          <w:sz w:val="22"/>
          <w:szCs w:val="22"/>
        </w:rPr>
        <w:t>C</w:t>
      </w:r>
      <w:r w:rsidR="00511443" w:rsidRPr="009A50DA">
        <w:rPr>
          <w:sz w:val="22"/>
          <w:szCs w:val="22"/>
        </w:rPr>
        <w:t xml:space="preserve">omplex Neurodevelopmental </w:t>
      </w:r>
      <w:r w:rsidR="009F6DE4">
        <w:rPr>
          <w:sz w:val="22"/>
          <w:szCs w:val="22"/>
        </w:rPr>
        <w:t>D</w:t>
      </w:r>
      <w:r w:rsidR="00511443" w:rsidRPr="009A50DA">
        <w:rPr>
          <w:sz w:val="22"/>
          <w:szCs w:val="22"/>
        </w:rPr>
        <w:t xml:space="preserve">isorder requires evidence of requiring support and showing impairment across two or more neurodevelopmental domains; with complexity characterised by multi-domain cognitive and functional disabilities. </w:t>
      </w:r>
    </w:p>
    <w:p w14:paraId="6328773F" w14:textId="122472ED" w:rsidR="00B45891" w:rsidRPr="009A50DA" w:rsidRDefault="00B45891">
      <w:pPr>
        <w:rPr>
          <w:sz w:val="22"/>
          <w:szCs w:val="22"/>
        </w:rPr>
      </w:pPr>
      <w:r w:rsidRPr="009A50DA">
        <w:rPr>
          <w:sz w:val="22"/>
          <w:szCs w:val="22"/>
        </w:rPr>
        <w:t>These items provide access to treatment, through the development of a treatment and management plan by a paediatrician (item 135) or a psychiatrist (item 289)</w:t>
      </w:r>
      <w:r w:rsidR="00511443" w:rsidRPr="009A50DA">
        <w:rPr>
          <w:sz w:val="22"/>
          <w:szCs w:val="22"/>
        </w:rPr>
        <w:t xml:space="preserve"> once in a patient’s lifetime for individuals up to 25 years of age. </w:t>
      </w:r>
    </w:p>
    <w:p w14:paraId="299669EC" w14:textId="6B9F802C" w:rsidR="00B45891" w:rsidRPr="009A50DA" w:rsidRDefault="00B45891">
      <w:pPr>
        <w:rPr>
          <w:sz w:val="22"/>
          <w:szCs w:val="22"/>
        </w:rPr>
      </w:pPr>
      <w:r w:rsidRPr="009A50DA">
        <w:rPr>
          <w:sz w:val="22"/>
          <w:szCs w:val="22"/>
        </w:rPr>
        <w:t>Items 13</w:t>
      </w:r>
      <w:r w:rsidR="00511443" w:rsidRPr="009A50DA">
        <w:rPr>
          <w:sz w:val="22"/>
          <w:szCs w:val="22"/>
        </w:rPr>
        <w:t xml:space="preserve">7 (or telehealth equivalent item 92141) and 139 (or telehealth equivalent item 92142) are intended for assessment and development of a treatment management plan </w:t>
      </w:r>
      <w:r w:rsidR="00E52510" w:rsidRPr="009A50DA">
        <w:rPr>
          <w:sz w:val="22"/>
          <w:szCs w:val="22"/>
        </w:rPr>
        <w:t xml:space="preserve">for individuals diagnosed with an eligible disability. A list of the eligible disabilities which are intended under this item are included in the “amended item descriptor” section of this document. </w:t>
      </w:r>
    </w:p>
    <w:p w14:paraId="2000BBD0" w14:textId="6104FF4F" w:rsidR="00E52510" w:rsidRPr="009A50DA" w:rsidRDefault="00E52510" w:rsidP="00E52510">
      <w:pPr>
        <w:rPr>
          <w:sz w:val="22"/>
          <w:szCs w:val="22"/>
        </w:rPr>
      </w:pPr>
      <w:r w:rsidRPr="009A50DA">
        <w:rPr>
          <w:sz w:val="22"/>
          <w:szCs w:val="22"/>
        </w:rPr>
        <w:t>These items provide access to treatment, through the development of a treatment and management plan by a specialist or consultant physician (item 137) or a GP (item 13</w:t>
      </w:r>
      <w:r w:rsidR="00B63D58">
        <w:rPr>
          <w:sz w:val="22"/>
          <w:szCs w:val="22"/>
        </w:rPr>
        <w:t>9</w:t>
      </w:r>
      <w:r w:rsidRPr="009A50DA">
        <w:rPr>
          <w:sz w:val="22"/>
          <w:szCs w:val="22"/>
        </w:rPr>
        <w:t xml:space="preserve">) once in a patient’s lifetime for individuals up to 25 years of age. </w:t>
      </w:r>
    </w:p>
    <w:p w14:paraId="77D5E04A" w14:textId="5828C84F" w:rsidR="00CB5B0A" w:rsidRDefault="00E52510">
      <w:pPr>
        <w:spacing w:before="200" w:after="200"/>
        <w:rPr>
          <w:sz w:val="22"/>
          <w:szCs w:val="22"/>
        </w:rPr>
      </w:pPr>
      <w:r w:rsidRPr="009A50DA">
        <w:rPr>
          <w:sz w:val="22"/>
          <w:szCs w:val="22"/>
        </w:rPr>
        <w:t xml:space="preserve">It is important to note, that items 135, 137, 139 and 289 require the relevant medical practitioner to make a diagnosis, when the diagnosis is not conclusive these items </w:t>
      </w:r>
      <w:r w:rsidR="00330CA3">
        <w:rPr>
          <w:sz w:val="22"/>
          <w:szCs w:val="22"/>
        </w:rPr>
        <w:t>are not</w:t>
      </w:r>
      <w:r w:rsidR="00330CA3" w:rsidRPr="009A50DA">
        <w:rPr>
          <w:sz w:val="22"/>
          <w:szCs w:val="22"/>
        </w:rPr>
        <w:t xml:space="preserve"> appropriate</w:t>
      </w:r>
      <w:r w:rsidRPr="009A50DA">
        <w:rPr>
          <w:sz w:val="22"/>
          <w:szCs w:val="22"/>
        </w:rPr>
        <w:t xml:space="preserve"> to bill.</w:t>
      </w:r>
    </w:p>
    <w:p w14:paraId="385A56EF" w14:textId="77777777" w:rsidR="00CB3422" w:rsidRDefault="00CB3422" w:rsidP="00CB3422">
      <w:pPr>
        <w:rPr>
          <w:rFonts w:cs="Arial"/>
          <w:szCs w:val="22"/>
        </w:rPr>
      </w:pPr>
      <w:r w:rsidRPr="007C3C6C">
        <w:rPr>
          <w:rFonts w:cs="Arial"/>
          <w:color w:val="000000" w:themeColor="text1"/>
          <w:sz w:val="22"/>
          <w:szCs w:val="22"/>
        </w:rPr>
        <w:t>A patient's eligibility for an item with frequency restrictions should be checked online using the MBS items checker in the Health Professional Online Services (HPOS) prior to providing a service. HPOS is a fast and secure way for health professionals and administrators to check if a patient is eligible for a Medicare benefit for a specific item on the date of the proposed service. This system will return advice that the item is payable or not payable.</w:t>
      </w:r>
    </w:p>
    <w:p w14:paraId="7CC5F2B3" w14:textId="5B91C42C" w:rsidR="00CB3422" w:rsidRPr="00551C38" w:rsidRDefault="00CB3422" w:rsidP="00CB3422">
      <w:pPr>
        <w:rPr>
          <w:rFonts w:cs="Arial"/>
          <w:color w:val="000000" w:themeColor="text1"/>
          <w:sz w:val="22"/>
          <w:szCs w:val="22"/>
        </w:rPr>
      </w:pPr>
      <w:r w:rsidRPr="007C3C6C">
        <w:rPr>
          <w:rFonts w:cs="Arial"/>
          <w:color w:val="000000" w:themeColor="text1"/>
          <w:sz w:val="22"/>
          <w:szCs w:val="22"/>
        </w:rPr>
        <w:t xml:space="preserve">Services Australia has published a guide on how to use this service which can be found at the following link: </w:t>
      </w:r>
      <w:hyperlink r:id="rId8" w:history="1">
        <w:r w:rsidR="002F7F1F" w:rsidRPr="00CA6EF8">
          <w:rPr>
            <w:rStyle w:val="Hyperlink"/>
            <w:rFonts w:cs="Arial"/>
            <w:sz w:val="22"/>
            <w:szCs w:val="22"/>
          </w:rPr>
          <w:t>www.servicesaustralia.gov.au/organisations/health-professionals/services/medicare/hpos/services/using-mbs-items-online-checker-hpos</w:t>
        </w:r>
      </w:hyperlink>
      <w:r w:rsidR="00551C38">
        <w:rPr>
          <w:rStyle w:val="CommentReference"/>
        </w:rPr>
        <w:t xml:space="preserve">  </w:t>
      </w:r>
    </w:p>
    <w:p w14:paraId="54A23461" w14:textId="2CD9CF76" w:rsidR="00CB3422" w:rsidRPr="00027A47" w:rsidRDefault="00CB3422" w:rsidP="00027A47">
      <w:pPr>
        <w:rPr>
          <w:rFonts w:cs="Arial"/>
          <w:color w:val="000000" w:themeColor="text1"/>
          <w:sz w:val="22"/>
          <w:szCs w:val="22"/>
        </w:rPr>
      </w:pPr>
      <w:r w:rsidRPr="007C3C6C">
        <w:rPr>
          <w:rFonts w:cs="Arial"/>
          <w:color w:val="000000" w:themeColor="text1"/>
          <w:sz w:val="22"/>
          <w:szCs w:val="22"/>
        </w:rPr>
        <w:lastRenderedPageBreak/>
        <w:t>Please note that the HPOS system is managed by Services Australia. AskMBS cannot comment on its content or management.  For any future enquiries relating to HPOS, please contact Services Australia on 132 150 and select Option 6 - electronic claiming or Health Professional Online Services (HPOS).</w:t>
      </w:r>
    </w:p>
    <w:p w14:paraId="48481AF7" w14:textId="216627C7" w:rsidR="00BF134C" w:rsidRDefault="00BF134C">
      <w:pPr>
        <w:pStyle w:val="Heading4"/>
        <w:rPr>
          <w:szCs w:val="20"/>
          <w:lang w:eastAsia="en-AU"/>
        </w:rPr>
      </w:pPr>
      <w:r w:rsidRPr="007E6E83">
        <w:t>Multi-disciplinary ass</w:t>
      </w:r>
      <w:r w:rsidR="00E52510">
        <w:t>i</w:t>
      </w:r>
      <w:r w:rsidRPr="007E6E83">
        <w:t>stance with assessment and/or contribution to the treatment and management plan:</w:t>
      </w:r>
    </w:p>
    <w:p w14:paraId="113F40F6" w14:textId="7110DF7D" w:rsidR="00BF134C" w:rsidRPr="009A50DA" w:rsidRDefault="00BF134C" w:rsidP="00BF134C">
      <w:pPr>
        <w:spacing w:before="200" w:after="200"/>
        <w:rPr>
          <w:sz w:val="22"/>
          <w:szCs w:val="22"/>
          <w:lang w:eastAsia="en-AU"/>
        </w:rPr>
      </w:pPr>
      <w:r w:rsidRPr="009A50DA">
        <w:rPr>
          <w:sz w:val="22"/>
          <w:szCs w:val="22"/>
          <w:lang w:eastAsia="en-AU"/>
        </w:rPr>
        <w:t>Depending on a range of factors, not limited to the patient’s age and nature of suspected disabilities, the</w:t>
      </w:r>
      <w:r w:rsidR="007F49DA" w:rsidRPr="009A50DA">
        <w:rPr>
          <w:sz w:val="22"/>
          <w:szCs w:val="22"/>
          <w:lang w:eastAsia="en-AU"/>
        </w:rPr>
        <w:t xml:space="preserve"> relevant</w:t>
      </w:r>
      <w:r w:rsidRPr="009A50DA">
        <w:rPr>
          <w:sz w:val="22"/>
          <w:szCs w:val="22"/>
          <w:lang w:eastAsia="en-AU"/>
        </w:rPr>
        <w:t xml:space="preserve"> medical practitioner may require a multi-disciplinary approach to complete a comprehensive assessment and formulate a diagnosis. </w:t>
      </w:r>
    </w:p>
    <w:p w14:paraId="4844AE0F" w14:textId="369BA19F" w:rsidR="007F49DA" w:rsidRPr="009A50DA" w:rsidRDefault="00BF134C" w:rsidP="00BF134C">
      <w:pPr>
        <w:spacing w:before="200" w:after="200"/>
        <w:rPr>
          <w:sz w:val="22"/>
          <w:szCs w:val="22"/>
          <w:lang w:eastAsia="en-AU"/>
        </w:rPr>
      </w:pPr>
      <w:r w:rsidRPr="009A50DA">
        <w:rPr>
          <w:sz w:val="22"/>
          <w:szCs w:val="22"/>
          <w:lang w:eastAsia="en-AU"/>
        </w:rPr>
        <w:t>Where the medical</w:t>
      </w:r>
      <w:r w:rsidR="00F205FC" w:rsidRPr="009A50DA">
        <w:rPr>
          <w:sz w:val="22"/>
          <w:szCs w:val="22"/>
          <w:lang w:eastAsia="en-AU"/>
        </w:rPr>
        <w:t xml:space="preserve"> </w:t>
      </w:r>
      <w:r w:rsidRPr="009A50DA">
        <w:rPr>
          <w:sz w:val="22"/>
          <w:szCs w:val="22"/>
          <w:lang w:eastAsia="en-AU"/>
        </w:rPr>
        <w:t>practitioner determines the patient requires additional assessments</w:t>
      </w:r>
      <w:r w:rsidR="007F49DA" w:rsidRPr="009A50DA">
        <w:rPr>
          <w:sz w:val="22"/>
          <w:szCs w:val="22"/>
          <w:lang w:eastAsia="en-AU"/>
        </w:rPr>
        <w:t xml:space="preserve">, through the assistance of an </w:t>
      </w:r>
      <w:r w:rsidR="00F313ED">
        <w:rPr>
          <w:sz w:val="22"/>
          <w:szCs w:val="22"/>
          <w:lang w:eastAsia="en-AU"/>
        </w:rPr>
        <w:t xml:space="preserve">Allied Health </w:t>
      </w:r>
      <w:r w:rsidR="007F49DA" w:rsidRPr="009A50DA">
        <w:rPr>
          <w:sz w:val="22"/>
          <w:szCs w:val="22"/>
          <w:lang w:eastAsia="en-AU"/>
        </w:rPr>
        <w:t>practitioner,</w:t>
      </w:r>
      <w:r w:rsidRPr="009A50DA">
        <w:rPr>
          <w:sz w:val="22"/>
          <w:szCs w:val="22"/>
          <w:lang w:eastAsia="en-AU"/>
        </w:rPr>
        <w:t xml:space="preserve"> to formulate a diagnosis</w:t>
      </w:r>
      <w:r w:rsidR="00B63D58">
        <w:rPr>
          <w:sz w:val="22"/>
          <w:szCs w:val="22"/>
          <w:lang w:eastAsia="en-AU"/>
        </w:rPr>
        <w:t xml:space="preserve"> or assist with the development of a management plan</w:t>
      </w:r>
      <w:r w:rsidR="007F49DA" w:rsidRPr="009A50DA">
        <w:rPr>
          <w:sz w:val="22"/>
          <w:szCs w:val="22"/>
          <w:lang w:eastAsia="en-AU"/>
        </w:rPr>
        <w:t>,</w:t>
      </w:r>
      <w:r w:rsidRPr="009A50DA">
        <w:rPr>
          <w:sz w:val="22"/>
          <w:szCs w:val="22"/>
          <w:lang w:eastAsia="en-AU"/>
        </w:rPr>
        <w:t xml:space="preserve"> they are able to refer the patient to an eligible </w:t>
      </w:r>
      <w:r w:rsidR="00F313ED">
        <w:rPr>
          <w:sz w:val="22"/>
          <w:szCs w:val="22"/>
          <w:lang w:eastAsia="en-AU"/>
        </w:rPr>
        <w:t xml:space="preserve">Allied Health </w:t>
      </w:r>
      <w:r w:rsidRPr="009A50DA">
        <w:rPr>
          <w:sz w:val="22"/>
          <w:szCs w:val="22"/>
          <w:lang w:eastAsia="en-AU"/>
        </w:rPr>
        <w:t>provider from standard attendance items</w:t>
      </w:r>
      <w:r w:rsidR="007F49DA" w:rsidRPr="009A50DA">
        <w:rPr>
          <w:sz w:val="22"/>
          <w:szCs w:val="22"/>
          <w:lang w:eastAsia="en-AU"/>
        </w:rPr>
        <w:t xml:space="preserve">. The table below </w:t>
      </w:r>
      <w:r w:rsidR="00E52510" w:rsidRPr="009A50DA">
        <w:rPr>
          <w:sz w:val="22"/>
          <w:szCs w:val="22"/>
          <w:lang w:eastAsia="en-AU"/>
        </w:rPr>
        <w:t xml:space="preserve">demonstrates </w:t>
      </w:r>
      <w:r w:rsidR="00B62786" w:rsidRPr="009A50DA">
        <w:rPr>
          <w:sz w:val="22"/>
          <w:szCs w:val="22"/>
          <w:lang w:eastAsia="en-AU"/>
        </w:rPr>
        <w:t xml:space="preserve">the appropriate pre-requisite MBS items that medical practitioners can refer for </w:t>
      </w:r>
      <w:r w:rsidR="00F313ED">
        <w:rPr>
          <w:sz w:val="22"/>
          <w:szCs w:val="22"/>
          <w:lang w:eastAsia="en-AU"/>
        </w:rPr>
        <w:t xml:space="preserve">Allied Health </w:t>
      </w:r>
      <w:r w:rsidR="00B62786" w:rsidRPr="009A50DA">
        <w:rPr>
          <w:sz w:val="22"/>
          <w:szCs w:val="22"/>
          <w:lang w:eastAsia="en-AU"/>
        </w:rPr>
        <w:t>assessment services.</w:t>
      </w:r>
    </w:p>
    <w:tbl>
      <w:tblPr>
        <w:tblStyle w:val="GridTable4-Accent2"/>
        <w:tblW w:w="9351" w:type="dxa"/>
        <w:tblLook w:val="04A0" w:firstRow="1" w:lastRow="0" w:firstColumn="1" w:lastColumn="0" w:noHBand="0" w:noVBand="1"/>
      </w:tblPr>
      <w:tblGrid>
        <w:gridCol w:w="1773"/>
        <w:gridCol w:w="2247"/>
        <w:gridCol w:w="5331"/>
      </w:tblGrid>
      <w:tr w:rsidR="0083733E" w:rsidRPr="009A50DA" w14:paraId="6FD0F967" w14:textId="77777777" w:rsidTr="004207EC">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776" w:type="dxa"/>
          </w:tcPr>
          <w:p w14:paraId="6B67CE96" w14:textId="336A3639" w:rsidR="0083733E" w:rsidRPr="009A50DA" w:rsidRDefault="0083733E" w:rsidP="00BF134C">
            <w:pPr>
              <w:spacing w:before="200" w:after="200"/>
              <w:rPr>
                <w:sz w:val="22"/>
                <w:szCs w:val="22"/>
                <w:lang w:eastAsia="en-AU"/>
              </w:rPr>
            </w:pPr>
            <w:r w:rsidRPr="009A50DA">
              <w:rPr>
                <w:sz w:val="22"/>
                <w:szCs w:val="22"/>
                <w:lang w:eastAsia="en-AU"/>
              </w:rPr>
              <w:t>Type of Medical Practitioner</w:t>
            </w:r>
          </w:p>
        </w:tc>
        <w:tc>
          <w:tcPr>
            <w:tcW w:w="2188" w:type="dxa"/>
          </w:tcPr>
          <w:p w14:paraId="086D3799" w14:textId="068E7B83" w:rsidR="0083733E" w:rsidRPr="009A50DA" w:rsidRDefault="0083733E" w:rsidP="00BF134C">
            <w:pPr>
              <w:spacing w:before="200" w:after="200"/>
              <w:cnfStyle w:val="100000000000" w:firstRow="1" w:lastRow="0" w:firstColumn="0" w:lastColumn="0" w:oddVBand="0" w:evenVBand="0" w:oddHBand="0" w:evenHBand="0" w:firstRowFirstColumn="0" w:firstRowLastColumn="0" w:lastRowFirstColumn="0" w:lastRowLastColumn="0"/>
              <w:rPr>
                <w:sz w:val="22"/>
                <w:szCs w:val="22"/>
                <w:lang w:eastAsia="en-AU"/>
              </w:rPr>
            </w:pPr>
            <w:r w:rsidRPr="009A50DA">
              <w:rPr>
                <w:sz w:val="22"/>
                <w:szCs w:val="22"/>
                <w:lang w:eastAsia="en-AU"/>
              </w:rPr>
              <w:t>Suspected disorder/disability</w:t>
            </w:r>
          </w:p>
        </w:tc>
        <w:tc>
          <w:tcPr>
            <w:tcW w:w="5387" w:type="dxa"/>
          </w:tcPr>
          <w:p w14:paraId="60FA99A9" w14:textId="0AD785E7" w:rsidR="0083733E" w:rsidRPr="009A50DA" w:rsidRDefault="0083733E" w:rsidP="00BF134C">
            <w:pPr>
              <w:spacing w:before="200" w:after="200"/>
              <w:cnfStyle w:val="100000000000" w:firstRow="1" w:lastRow="0" w:firstColumn="0" w:lastColumn="0" w:oddVBand="0" w:evenVBand="0" w:oddHBand="0" w:evenHBand="0" w:firstRowFirstColumn="0" w:firstRowLastColumn="0" w:lastRowFirstColumn="0" w:lastRowLastColumn="0"/>
              <w:rPr>
                <w:sz w:val="22"/>
                <w:szCs w:val="22"/>
                <w:lang w:eastAsia="en-AU"/>
              </w:rPr>
            </w:pPr>
            <w:r w:rsidRPr="009A50DA">
              <w:rPr>
                <w:sz w:val="22"/>
                <w:szCs w:val="22"/>
                <w:lang w:eastAsia="en-AU"/>
              </w:rPr>
              <w:t>Pre-requisite MBS items to refer to Allied Health Assessment MBS services</w:t>
            </w:r>
          </w:p>
        </w:tc>
      </w:tr>
      <w:tr w:rsidR="0083733E" w:rsidRPr="009A50DA" w14:paraId="7731B827" w14:textId="77777777" w:rsidTr="0042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14:paraId="3EFCD423" w14:textId="64F330F4" w:rsidR="0083733E" w:rsidRPr="009A50DA" w:rsidRDefault="0083733E" w:rsidP="00BF134C">
            <w:pPr>
              <w:spacing w:before="200" w:after="200"/>
              <w:rPr>
                <w:sz w:val="22"/>
                <w:szCs w:val="22"/>
                <w:lang w:eastAsia="en-AU"/>
              </w:rPr>
            </w:pPr>
            <w:r w:rsidRPr="009A50DA">
              <w:rPr>
                <w:sz w:val="22"/>
                <w:szCs w:val="22"/>
              </w:rPr>
              <w:t>Consultant Paediatrician</w:t>
            </w:r>
          </w:p>
        </w:tc>
        <w:tc>
          <w:tcPr>
            <w:tcW w:w="2188" w:type="dxa"/>
          </w:tcPr>
          <w:p w14:paraId="046315F7" w14:textId="5664B9B2" w:rsidR="0083733E" w:rsidRPr="009A50DA" w:rsidRDefault="00052817" w:rsidP="00BF134C">
            <w:pPr>
              <w:spacing w:before="200" w:after="200"/>
              <w:cnfStyle w:val="000000100000" w:firstRow="0" w:lastRow="0" w:firstColumn="0" w:lastColumn="0" w:oddVBand="0" w:evenVBand="0" w:oddHBand="1" w:evenHBand="0" w:firstRowFirstColumn="0" w:firstRowLastColumn="0" w:lastRowFirstColumn="0" w:lastRowLastColumn="0"/>
              <w:rPr>
                <w:sz w:val="22"/>
                <w:szCs w:val="22"/>
                <w:lang w:eastAsia="en-AU"/>
              </w:rPr>
            </w:pPr>
            <w:r>
              <w:rPr>
                <w:sz w:val="22"/>
                <w:szCs w:val="22"/>
                <w:lang w:eastAsia="en-AU"/>
              </w:rPr>
              <w:t>Complex Neurodevelopmental Disorder</w:t>
            </w:r>
          </w:p>
        </w:tc>
        <w:tc>
          <w:tcPr>
            <w:tcW w:w="5387" w:type="dxa"/>
          </w:tcPr>
          <w:p w14:paraId="2F2B046E" w14:textId="0612CBC2" w:rsidR="0083733E" w:rsidRPr="009A50DA" w:rsidRDefault="0083733E" w:rsidP="002D6FC2">
            <w:pPr>
              <w:pBdr>
                <w:left w:val="none" w:sz="0" w:space="31" w:color="auto"/>
              </w:pBdr>
              <w:spacing w:before="200" w:after="200"/>
              <w:cnfStyle w:val="000000100000" w:firstRow="0" w:lastRow="0" w:firstColumn="0" w:lastColumn="0" w:oddVBand="0" w:evenVBand="0" w:oddHBand="1" w:evenHBand="0" w:firstRowFirstColumn="0" w:firstRowLastColumn="0" w:lastRowFirstColumn="0" w:lastRowLastColumn="0"/>
              <w:rPr>
                <w:sz w:val="22"/>
                <w:szCs w:val="22"/>
                <w:lang w:eastAsia="en-AU"/>
              </w:rPr>
            </w:pPr>
            <w:r w:rsidRPr="009A50DA">
              <w:rPr>
                <w:sz w:val="22"/>
                <w:szCs w:val="22"/>
                <w:lang w:eastAsia="en-AU"/>
              </w:rPr>
              <w:t>110, 116, 119, 122, 128, 131, 91824 - 91826 or 91836.</w:t>
            </w:r>
          </w:p>
          <w:p w14:paraId="684E50A3" w14:textId="2055C169" w:rsidR="0083733E" w:rsidRPr="009A50DA" w:rsidRDefault="0083733E" w:rsidP="00BF134C">
            <w:pPr>
              <w:spacing w:before="200" w:after="200"/>
              <w:cnfStyle w:val="000000100000" w:firstRow="0" w:lastRow="0" w:firstColumn="0" w:lastColumn="0" w:oddVBand="0" w:evenVBand="0" w:oddHBand="1" w:evenHBand="0" w:firstRowFirstColumn="0" w:firstRowLastColumn="0" w:lastRowFirstColumn="0" w:lastRowLastColumn="0"/>
              <w:rPr>
                <w:sz w:val="22"/>
                <w:szCs w:val="22"/>
                <w:lang w:eastAsia="en-AU"/>
              </w:rPr>
            </w:pPr>
          </w:p>
        </w:tc>
      </w:tr>
      <w:tr w:rsidR="0083733E" w:rsidRPr="009A50DA" w14:paraId="474FE147" w14:textId="77777777" w:rsidTr="004207EC">
        <w:tc>
          <w:tcPr>
            <w:cnfStyle w:val="001000000000" w:firstRow="0" w:lastRow="0" w:firstColumn="1" w:lastColumn="0" w:oddVBand="0" w:evenVBand="0" w:oddHBand="0" w:evenHBand="0" w:firstRowFirstColumn="0" w:firstRowLastColumn="0" w:lastRowFirstColumn="0" w:lastRowLastColumn="0"/>
            <w:tcW w:w="1776" w:type="dxa"/>
          </w:tcPr>
          <w:p w14:paraId="4972ACB3" w14:textId="1648BBE7" w:rsidR="0083733E" w:rsidRPr="009A50DA" w:rsidRDefault="0083733E" w:rsidP="00BF134C">
            <w:pPr>
              <w:spacing w:before="200" w:after="200"/>
              <w:rPr>
                <w:sz w:val="22"/>
                <w:szCs w:val="22"/>
                <w:lang w:eastAsia="en-AU"/>
              </w:rPr>
            </w:pPr>
            <w:r w:rsidRPr="009A50DA">
              <w:rPr>
                <w:sz w:val="22"/>
                <w:szCs w:val="22"/>
                <w:lang w:eastAsia="en-AU"/>
              </w:rPr>
              <w:t>Consultant Psychiatrist</w:t>
            </w:r>
          </w:p>
        </w:tc>
        <w:tc>
          <w:tcPr>
            <w:tcW w:w="2188" w:type="dxa"/>
          </w:tcPr>
          <w:p w14:paraId="4F5824AB" w14:textId="7134BD99" w:rsidR="0083733E" w:rsidRPr="009A50DA" w:rsidRDefault="00052817" w:rsidP="00BF134C">
            <w:pPr>
              <w:spacing w:before="200" w:after="200"/>
              <w:cnfStyle w:val="000000000000" w:firstRow="0" w:lastRow="0" w:firstColumn="0" w:lastColumn="0" w:oddVBand="0" w:evenVBand="0" w:oddHBand="0" w:evenHBand="0" w:firstRowFirstColumn="0" w:firstRowLastColumn="0" w:lastRowFirstColumn="0" w:lastRowLastColumn="0"/>
              <w:rPr>
                <w:sz w:val="22"/>
                <w:szCs w:val="22"/>
                <w:lang w:eastAsia="en-AU"/>
              </w:rPr>
            </w:pPr>
            <w:r>
              <w:rPr>
                <w:sz w:val="22"/>
                <w:szCs w:val="22"/>
                <w:lang w:eastAsia="en-AU"/>
              </w:rPr>
              <w:t>Complex Neurodevelopmental Disorder</w:t>
            </w:r>
          </w:p>
        </w:tc>
        <w:tc>
          <w:tcPr>
            <w:tcW w:w="5387" w:type="dxa"/>
          </w:tcPr>
          <w:p w14:paraId="0383A591" w14:textId="7CA44114" w:rsidR="0083733E" w:rsidRPr="009A50DA" w:rsidRDefault="0083733E" w:rsidP="00BF134C">
            <w:pPr>
              <w:spacing w:before="200" w:after="200"/>
              <w:cnfStyle w:val="000000000000" w:firstRow="0" w:lastRow="0" w:firstColumn="0" w:lastColumn="0" w:oddVBand="0" w:evenVBand="0" w:oddHBand="0" w:evenHBand="0" w:firstRowFirstColumn="0" w:firstRowLastColumn="0" w:lastRowFirstColumn="0" w:lastRowLastColumn="0"/>
              <w:rPr>
                <w:sz w:val="22"/>
                <w:szCs w:val="22"/>
                <w:lang w:eastAsia="en-AU"/>
              </w:rPr>
            </w:pPr>
            <w:r w:rsidRPr="009A50DA">
              <w:rPr>
                <w:sz w:val="22"/>
                <w:szCs w:val="22"/>
                <w:lang w:eastAsia="en-AU"/>
              </w:rPr>
              <w:t>296-308, 310, 312, 314, 316, 318, 319 - 352, 91827 - 91831, 91837 - 91839, 92437, 92455 - 92460</w:t>
            </w:r>
          </w:p>
        </w:tc>
      </w:tr>
      <w:tr w:rsidR="0083733E" w:rsidRPr="009A50DA" w14:paraId="792B4FB2" w14:textId="77777777" w:rsidTr="0042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14:paraId="21BD00D6" w14:textId="2472D083" w:rsidR="0083733E" w:rsidRPr="009A50DA" w:rsidRDefault="0083733E" w:rsidP="002D6FC2">
            <w:pPr>
              <w:spacing w:before="0" w:after="0"/>
              <w:rPr>
                <w:sz w:val="22"/>
                <w:szCs w:val="22"/>
                <w:lang w:eastAsia="en-AU"/>
              </w:rPr>
            </w:pPr>
            <w:r w:rsidRPr="009A50DA">
              <w:rPr>
                <w:sz w:val="22"/>
                <w:szCs w:val="22"/>
                <w:lang w:eastAsia="en-AU"/>
              </w:rPr>
              <w:t xml:space="preserve">Specialist or </w:t>
            </w:r>
          </w:p>
          <w:p w14:paraId="5E822FC4" w14:textId="148086B8" w:rsidR="0083733E" w:rsidRPr="009A50DA" w:rsidRDefault="0083733E" w:rsidP="002D6FC2">
            <w:pPr>
              <w:spacing w:before="0" w:after="0"/>
              <w:rPr>
                <w:sz w:val="22"/>
                <w:szCs w:val="22"/>
                <w:lang w:eastAsia="en-AU"/>
              </w:rPr>
            </w:pPr>
            <w:r w:rsidRPr="009A50DA">
              <w:rPr>
                <w:sz w:val="22"/>
                <w:szCs w:val="22"/>
                <w:lang w:eastAsia="en-AU"/>
              </w:rPr>
              <w:t xml:space="preserve">Consultant physician </w:t>
            </w:r>
          </w:p>
        </w:tc>
        <w:tc>
          <w:tcPr>
            <w:tcW w:w="2188" w:type="dxa"/>
          </w:tcPr>
          <w:p w14:paraId="436F5D47" w14:textId="63031B62" w:rsidR="0083733E" w:rsidRPr="009A50DA" w:rsidRDefault="0083733E" w:rsidP="00BF134C">
            <w:pPr>
              <w:spacing w:before="200" w:after="200"/>
              <w:cnfStyle w:val="000000100000" w:firstRow="0" w:lastRow="0" w:firstColumn="0" w:lastColumn="0" w:oddVBand="0" w:evenVBand="0" w:oddHBand="1" w:evenHBand="0" w:firstRowFirstColumn="0" w:firstRowLastColumn="0" w:lastRowFirstColumn="0" w:lastRowLastColumn="0"/>
              <w:rPr>
                <w:sz w:val="22"/>
                <w:szCs w:val="22"/>
                <w:lang w:eastAsia="en-AU"/>
              </w:rPr>
            </w:pPr>
            <w:r w:rsidRPr="009A50DA">
              <w:rPr>
                <w:sz w:val="22"/>
                <w:szCs w:val="22"/>
                <w:lang w:eastAsia="en-AU"/>
              </w:rPr>
              <w:t xml:space="preserve">Eligible Disability </w:t>
            </w:r>
          </w:p>
        </w:tc>
        <w:tc>
          <w:tcPr>
            <w:tcW w:w="5387" w:type="dxa"/>
          </w:tcPr>
          <w:p w14:paraId="225A35ED" w14:textId="22F41B63" w:rsidR="0083733E" w:rsidRPr="009A50DA" w:rsidRDefault="0083733E" w:rsidP="002D6FC2">
            <w:pPr>
              <w:pBdr>
                <w:left w:val="none" w:sz="0" w:space="31" w:color="auto"/>
              </w:pBdr>
              <w:spacing w:before="200" w:after="200"/>
              <w:cnfStyle w:val="000000100000" w:firstRow="0" w:lastRow="0" w:firstColumn="0" w:lastColumn="0" w:oddVBand="0" w:evenVBand="0" w:oddHBand="1" w:evenHBand="0" w:firstRowFirstColumn="0" w:firstRowLastColumn="0" w:lastRowFirstColumn="0" w:lastRowLastColumn="0"/>
              <w:rPr>
                <w:sz w:val="22"/>
                <w:szCs w:val="22"/>
                <w:lang w:eastAsia="en-AU"/>
              </w:rPr>
            </w:pPr>
            <w:r w:rsidRPr="009A50DA">
              <w:rPr>
                <w:sz w:val="22"/>
                <w:szCs w:val="22"/>
                <w:lang w:eastAsia="en-AU"/>
              </w:rPr>
              <w:t>104, 105, 110, 116, 119, 122, 128, 131, 296 - 308, 310, 312, 314, 316, 318, 319 - 352, 91822, 91823, 91824 - 91826, 91833, 91827 - 91831, 91836,  91837 - 91839,</w:t>
            </w:r>
            <w:r w:rsidR="005A44ED" w:rsidRPr="009A50DA">
              <w:rPr>
                <w:sz w:val="22"/>
                <w:szCs w:val="22"/>
                <w:lang w:eastAsia="en-AU"/>
              </w:rPr>
              <w:t xml:space="preserve"> 92437</w:t>
            </w:r>
            <w:r w:rsidR="005A44ED">
              <w:rPr>
                <w:sz w:val="22"/>
                <w:szCs w:val="22"/>
                <w:lang w:eastAsia="en-AU"/>
              </w:rPr>
              <w:t>,</w:t>
            </w:r>
            <w:r w:rsidRPr="009A50DA">
              <w:rPr>
                <w:sz w:val="22"/>
                <w:szCs w:val="22"/>
                <w:lang w:eastAsia="en-AU"/>
              </w:rPr>
              <w:t xml:space="preserve"> 92455 - 92460</w:t>
            </w:r>
          </w:p>
        </w:tc>
      </w:tr>
      <w:tr w:rsidR="0083733E" w:rsidRPr="009A50DA" w14:paraId="698FF2AD" w14:textId="77777777" w:rsidTr="004207EC">
        <w:tc>
          <w:tcPr>
            <w:cnfStyle w:val="001000000000" w:firstRow="0" w:lastRow="0" w:firstColumn="1" w:lastColumn="0" w:oddVBand="0" w:evenVBand="0" w:oddHBand="0" w:evenHBand="0" w:firstRowFirstColumn="0" w:firstRowLastColumn="0" w:lastRowFirstColumn="0" w:lastRowLastColumn="0"/>
            <w:tcW w:w="1776" w:type="dxa"/>
          </w:tcPr>
          <w:p w14:paraId="0D9D4B6A" w14:textId="0EB5F6D4" w:rsidR="0083733E" w:rsidRPr="009A50DA" w:rsidRDefault="0083733E" w:rsidP="00BF134C">
            <w:pPr>
              <w:spacing w:before="200" w:after="200"/>
              <w:rPr>
                <w:sz w:val="22"/>
                <w:szCs w:val="22"/>
                <w:lang w:eastAsia="en-AU"/>
              </w:rPr>
            </w:pPr>
            <w:r w:rsidRPr="009A50DA">
              <w:rPr>
                <w:sz w:val="22"/>
                <w:szCs w:val="22"/>
                <w:lang w:eastAsia="en-AU"/>
              </w:rPr>
              <w:t>GP</w:t>
            </w:r>
          </w:p>
        </w:tc>
        <w:tc>
          <w:tcPr>
            <w:tcW w:w="2188" w:type="dxa"/>
          </w:tcPr>
          <w:p w14:paraId="6662DCC6" w14:textId="1DD5C970" w:rsidR="0083733E" w:rsidRPr="009A50DA" w:rsidRDefault="0083733E" w:rsidP="00BF134C">
            <w:pPr>
              <w:spacing w:before="200" w:after="200"/>
              <w:cnfStyle w:val="000000000000" w:firstRow="0" w:lastRow="0" w:firstColumn="0" w:lastColumn="0" w:oddVBand="0" w:evenVBand="0" w:oddHBand="0" w:evenHBand="0" w:firstRowFirstColumn="0" w:firstRowLastColumn="0" w:lastRowFirstColumn="0" w:lastRowLastColumn="0"/>
              <w:rPr>
                <w:sz w:val="22"/>
                <w:szCs w:val="22"/>
                <w:lang w:eastAsia="en-AU"/>
              </w:rPr>
            </w:pPr>
            <w:r w:rsidRPr="009A50DA">
              <w:rPr>
                <w:sz w:val="22"/>
                <w:szCs w:val="22"/>
                <w:lang w:eastAsia="en-AU"/>
              </w:rPr>
              <w:t xml:space="preserve">Eligible Disability </w:t>
            </w:r>
          </w:p>
        </w:tc>
        <w:tc>
          <w:tcPr>
            <w:tcW w:w="5387" w:type="dxa"/>
          </w:tcPr>
          <w:p w14:paraId="79BC8BC4" w14:textId="0778D5AC" w:rsidR="0083733E" w:rsidRPr="009A50DA" w:rsidRDefault="00226147" w:rsidP="00BF134C">
            <w:pPr>
              <w:spacing w:before="200" w:after="200"/>
              <w:cnfStyle w:val="000000000000" w:firstRow="0" w:lastRow="0" w:firstColumn="0" w:lastColumn="0" w:oddVBand="0" w:evenVBand="0" w:oddHBand="0" w:evenHBand="0" w:firstRowFirstColumn="0" w:firstRowLastColumn="0" w:lastRowFirstColumn="0" w:lastRowLastColumn="0"/>
              <w:rPr>
                <w:sz w:val="22"/>
                <w:szCs w:val="22"/>
                <w:lang w:eastAsia="en-AU"/>
              </w:rPr>
            </w:pPr>
            <w:r w:rsidRPr="009A50DA">
              <w:rPr>
                <w:sz w:val="22"/>
                <w:szCs w:val="22"/>
                <w:lang w:eastAsia="en-AU"/>
              </w:rPr>
              <w:t>3-51, 91790 - 91802</w:t>
            </w:r>
          </w:p>
        </w:tc>
      </w:tr>
    </w:tbl>
    <w:p w14:paraId="569427D4" w14:textId="2FF1EDD5" w:rsidR="00BF134C" w:rsidRPr="009A50DA" w:rsidRDefault="00BF134C" w:rsidP="00BF134C">
      <w:pPr>
        <w:spacing w:before="200" w:after="200"/>
        <w:rPr>
          <w:sz w:val="22"/>
          <w:szCs w:val="22"/>
          <w:lang w:eastAsia="en-AU"/>
        </w:rPr>
      </w:pPr>
      <w:r w:rsidRPr="009A50DA">
        <w:rPr>
          <w:sz w:val="22"/>
          <w:szCs w:val="22"/>
          <w:lang w:eastAsia="en-AU"/>
        </w:rPr>
        <w:t xml:space="preserve">Whilst Medicare rebates </w:t>
      </w:r>
      <w:r w:rsidR="00B63D58">
        <w:rPr>
          <w:sz w:val="22"/>
          <w:szCs w:val="22"/>
          <w:lang w:eastAsia="en-AU"/>
        </w:rPr>
        <w:t xml:space="preserve">can be </w:t>
      </w:r>
      <w:r w:rsidRPr="009A50DA">
        <w:rPr>
          <w:sz w:val="22"/>
          <w:szCs w:val="22"/>
          <w:lang w:eastAsia="en-AU"/>
        </w:rPr>
        <w:t>provide</w:t>
      </w:r>
      <w:r w:rsidR="00B63D58">
        <w:rPr>
          <w:sz w:val="22"/>
          <w:szCs w:val="22"/>
          <w:lang w:eastAsia="en-AU"/>
        </w:rPr>
        <w:t>d</w:t>
      </w:r>
      <w:r w:rsidRPr="009A50DA">
        <w:rPr>
          <w:sz w:val="22"/>
          <w:szCs w:val="22"/>
          <w:lang w:eastAsia="en-AU"/>
        </w:rPr>
        <w:t xml:space="preserve"> for a total of 8 Allied Health assessment services per patient per lifetime, </w:t>
      </w:r>
      <w:r w:rsidR="00052817">
        <w:rPr>
          <w:sz w:val="22"/>
          <w:szCs w:val="22"/>
          <w:lang w:eastAsia="en-AU"/>
        </w:rPr>
        <w:t xml:space="preserve">the same </w:t>
      </w:r>
      <w:r w:rsidRPr="009A50DA">
        <w:rPr>
          <w:sz w:val="22"/>
          <w:szCs w:val="22"/>
          <w:lang w:eastAsia="en-AU"/>
        </w:rPr>
        <w:t xml:space="preserve">eligible </w:t>
      </w:r>
      <w:r w:rsidR="00F313ED">
        <w:rPr>
          <w:sz w:val="22"/>
          <w:szCs w:val="22"/>
          <w:lang w:eastAsia="en-AU"/>
        </w:rPr>
        <w:t xml:space="preserve">Allied Health </w:t>
      </w:r>
      <w:r w:rsidRPr="009A50DA">
        <w:rPr>
          <w:sz w:val="22"/>
          <w:szCs w:val="22"/>
          <w:lang w:eastAsia="en-AU"/>
        </w:rPr>
        <w:t xml:space="preserve">practitioner can only provide </w:t>
      </w:r>
      <w:r w:rsidRPr="009A50DA">
        <w:rPr>
          <w:b/>
          <w:bCs/>
          <w:sz w:val="22"/>
          <w:szCs w:val="22"/>
          <w:lang w:eastAsia="en-AU"/>
        </w:rPr>
        <w:t xml:space="preserve">up to 4 </w:t>
      </w:r>
      <w:r w:rsidRPr="009A50DA">
        <w:rPr>
          <w:b/>
          <w:bCs/>
          <w:sz w:val="22"/>
          <w:szCs w:val="22"/>
          <w:lang w:eastAsia="en-AU"/>
        </w:rPr>
        <w:lastRenderedPageBreak/>
        <w:t>services</w:t>
      </w:r>
      <w:r w:rsidRPr="009A50DA">
        <w:rPr>
          <w:sz w:val="22"/>
          <w:szCs w:val="22"/>
          <w:lang w:eastAsia="en-AU"/>
        </w:rPr>
        <w:t xml:space="preserve"> before the need for a review (the type of review can be specified in the referral to the eligible </w:t>
      </w:r>
      <w:r w:rsidR="00F313ED">
        <w:rPr>
          <w:sz w:val="22"/>
          <w:szCs w:val="22"/>
          <w:lang w:eastAsia="en-AU"/>
        </w:rPr>
        <w:t xml:space="preserve">Allied Health </w:t>
      </w:r>
      <w:r w:rsidRPr="009A50DA">
        <w:rPr>
          <w:sz w:val="22"/>
          <w:szCs w:val="22"/>
          <w:lang w:eastAsia="en-AU"/>
        </w:rPr>
        <w:t xml:space="preserve">professional) by the referring </w:t>
      </w:r>
      <w:r w:rsidR="00F205FC" w:rsidRPr="009A50DA">
        <w:rPr>
          <w:sz w:val="22"/>
          <w:szCs w:val="22"/>
          <w:lang w:eastAsia="en-AU"/>
        </w:rPr>
        <w:t>medical practitioner</w:t>
      </w:r>
      <w:r w:rsidRPr="009A50DA">
        <w:rPr>
          <w:sz w:val="22"/>
          <w:szCs w:val="22"/>
          <w:lang w:eastAsia="en-AU"/>
        </w:rPr>
        <w:t xml:space="preserve">, who must agree to the need for any additional </w:t>
      </w:r>
      <w:r w:rsidR="00F313ED">
        <w:rPr>
          <w:sz w:val="22"/>
          <w:szCs w:val="22"/>
          <w:lang w:eastAsia="en-AU"/>
        </w:rPr>
        <w:t xml:space="preserve">Allied Health </w:t>
      </w:r>
      <w:r w:rsidRPr="009A50DA">
        <w:rPr>
          <w:sz w:val="22"/>
          <w:szCs w:val="22"/>
          <w:lang w:eastAsia="en-AU"/>
        </w:rPr>
        <w:t>services</w:t>
      </w:r>
      <w:r>
        <w:rPr>
          <w:szCs w:val="20"/>
          <w:lang w:eastAsia="en-AU"/>
        </w:rPr>
        <w:t xml:space="preserve"> </w:t>
      </w:r>
      <w:r w:rsidRPr="009A50DA">
        <w:rPr>
          <w:sz w:val="22"/>
          <w:szCs w:val="22"/>
          <w:lang w:eastAsia="en-AU"/>
        </w:rPr>
        <w:t xml:space="preserve">prior to the delivery of the remaining 4 </w:t>
      </w:r>
      <w:r w:rsidR="00F313ED">
        <w:rPr>
          <w:sz w:val="22"/>
          <w:szCs w:val="22"/>
          <w:lang w:eastAsia="en-AU"/>
        </w:rPr>
        <w:t xml:space="preserve">Allied Health </w:t>
      </w:r>
      <w:r w:rsidRPr="009A50DA">
        <w:rPr>
          <w:sz w:val="22"/>
          <w:szCs w:val="22"/>
          <w:lang w:eastAsia="en-AU"/>
        </w:rPr>
        <w:t>assessment services.</w:t>
      </w:r>
    </w:p>
    <w:p w14:paraId="0CC8C1EA" w14:textId="77777777" w:rsidR="00BF134C" w:rsidRDefault="00BF134C" w:rsidP="00BF134C">
      <w:pPr>
        <w:spacing w:before="200" w:after="200"/>
        <w:rPr>
          <w:szCs w:val="20"/>
          <w:lang w:eastAsia="en-AU"/>
        </w:rPr>
      </w:pPr>
      <w:r>
        <w:rPr>
          <w:b/>
          <w:bCs/>
          <w:szCs w:val="20"/>
          <w:lang w:eastAsia="en-AU"/>
        </w:rPr>
        <w:t>Eligible Allied Health Assessment practitioners include:</w:t>
      </w:r>
    </w:p>
    <w:p w14:paraId="0CC3F5F1" w14:textId="47293A19" w:rsidR="00BF134C" w:rsidRPr="009A50DA" w:rsidRDefault="00BF134C" w:rsidP="002D6FC2">
      <w:pPr>
        <w:numPr>
          <w:ilvl w:val="0"/>
          <w:numId w:val="9"/>
        </w:numPr>
        <w:spacing w:line="240" w:lineRule="auto"/>
        <w:ind w:hanging="215"/>
        <w:rPr>
          <w:sz w:val="22"/>
          <w:szCs w:val="22"/>
          <w:lang w:eastAsia="en-AU"/>
        </w:rPr>
      </w:pPr>
      <w:r w:rsidRPr="009A50DA">
        <w:rPr>
          <w:sz w:val="22"/>
          <w:szCs w:val="22"/>
          <w:lang w:eastAsia="en-AU"/>
        </w:rPr>
        <w:t>Psychologist (MBS item</w:t>
      </w:r>
      <w:r w:rsidR="00226147" w:rsidRPr="009A50DA">
        <w:rPr>
          <w:sz w:val="22"/>
          <w:szCs w:val="22"/>
          <w:lang w:eastAsia="en-AU"/>
        </w:rPr>
        <w:t>s</w:t>
      </w:r>
      <w:r w:rsidRPr="009A50DA">
        <w:rPr>
          <w:sz w:val="22"/>
          <w:szCs w:val="22"/>
          <w:lang w:eastAsia="en-AU"/>
        </w:rPr>
        <w:t xml:space="preserve"> 82000, 93032, 93040)</w:t>
      </w:r>
    </w:p>
    <w:p w14:paraId="54BEE069" w14:textId="13A6BE8E" w:rsidR="00BF134C" w:rsidRPr="009A50DA" w:rsidRDefault="00BF134C" w:rsidP="002D6FC2">
      <w:pPr>
        <w:numPr>
          <w:ilvl w:val="0"/>
          <w:numId w:val="9"/>
        </w:numPr>
        <w:spacing w:line="240" w:lineRule="auto"/>
        <w:ind w:hanging="215"/>
        <w:rPr>
          <w:sz w:val="22"/>
          <w:szCs w:val="22"/>
          <w:lang w:eastAsia="en-AU"/>
        </w:rPr>
      </w:pPr>
      <w:r w:rsidRPr="009A50DA">
        <w:rPr>
          <w:sz w:val="22"/>
          <w:szCs w:val="22"/>
          <w:lang w:eastAsia="en-AU"/>
        </w:rPr>
        <w:t>Speech Pathologist (MBS item</w:t>
      </w:r>
      <w:r w:rsidR="00226147" w:rsidRPr="009A50DA">
        <w:rPr>
          <w:sz w:val="22"/>
          <w:szCs w:val="22"/>
          <w:lang w:eastAsia="en-AU"/>
        </w:rPr>
        <w:t>s</w:t>
      </w:r>
      <w:r w:rsidRPr="009A50DA">
        <w:rPr>
          <w:sz w:val="22"/>
          <w:szCs w:val="22"/>
          <w:lang w:eastAsia="en-AU"/>
        </w:rPr>
        <w:t xml:space="preserve"> 82005, 93033, 93041)</w:t>
      </w:r>
    </w:p>
    <w:p w14:paraId="39B40F63" w14:textId="409B1331" w:rsidR="00BF134C" w:rsidRPr="009A50DA" w:rsidRDefault="00BF134C" w:rsidP="002D6FC2">
      <w:pPr>
        <w:numPr>
          <w:ilvl w:val="0"/>
          <w:numId w:val="9"/>
        </w:numPr>
        <w:spacing w:line="240" w:lineRule="auto"/>
        <w:ind w:hanging="215"/>
        <w:rPr>
          <w:sz w:val="22"/>
          <w:szCs w:val="22"/>
          <w:lang w:eastAsia="en-AU"/>
        </w:rPr>
      </w:pPr>
      <w:r w:rsidRPr="009A50DA">
        <w:rPr>
          <w:sz w:val="22"/>
          <w:szCs w:val="22"/>
          <w:lang w:eastAsia="en-AU"/>
        </w:rPr>
        <w:t>Occupational Therapist (</w:t>
      </w:r>
      <w:r w:rsidR="00226147" w:rsidRPr="009A50DA">
        <w:rPr>
          <w:sz w:val="22"/>
          <w:szCs w:val="22"/>
          <w:lang w:eastAsia="en-AU"/>
        </w:rPr>
        <w:t xml:space="preserve">MBS items </w:t>
      </w:r>
      <w:r w:rsidRPr="009A50DA">
        <w:rPr>
          <w:sz w:val="22"/>
          <w:szCs w:val="22"/>
          <w:lang w:eastAsia="en-AU"/>
        </w:rPr>
        <w:t>82010, 93033, 93041)</w:t>
      </w:r>
    </w:p>
    <w:p w14:paraId="4BBF0A60" w14:textId="183C0DB9" w:rsidR="00BF134C" w:rsidRPr="009A50DA" w:rsidRDefault="00BF134C" w:rsidP="002D6FC2">
      <w:pPr>
        <w:numPr>
          <w:ilvl w:val="0"/>
          <w:numId w:val="9"/>
        </w:numPr>
        <w:spacing w:line="240" w:lineRule="auto"/>
        <w:ind w:hanging="215"/>
        <w:rPr>
          <w:sz w:val="22"/>
          <w:szCs w:val="22"/>
          <w:lang w:eastAsia="en-AU"/>
        </w:rPr>
      </w:pPr>
      <w:r w:rsidRPr="009A50DA">
        <w:rPr>
          <w:sz w:val="22"/>
          <w:szCs w:val="22"/>
          <w:lang w:eastAsia="en-AU"/>
        </w:rPr>
        <w:t>Audiologist, Optometrist, Orthoptist, Physiotherapist (MBS item</w:t>
      </w:r>
      <w:r w:rsidR="00226147" w:rsidRPr="009A50DA">
        <w:rPr>
          <w:sz w:val="22"/>
          <w:szCs w:val="22"/>
          <w:lang w:eastAsia="en-AU"/>
        </w:rPr>
        <w:t>s</w:t>
      </w:r>
      <w:r w:rsidRPr="009A50DA">
        <w:rPr>
          <w:sz w:val="22"/>
          <w:szCs w:val="22"/>
          <w:lang w:eastAsia="en-AU"/>
        </w:rPr>
        <w:t xml:space="preserve"> 82030, 93033, 93041)</w:t>
      </w:r>
    </w:p>
    <w:p w14:paraId="7AFDF4AA" w14:textId="77777777" w:rsidR="00BF134C" w:rsidRDefault="00BF134C" w:rsidP="00BF134C">
      <w:pPr>
        <w:spacing w:before="200" w:after="200"/>
        <w:rPr>
          <w:szCs w:val="20"/>
          <w:lang w:eastAsia="en-AU"/>
        </w:rPr>
      </w:pPr>
      <w:r>
        <w:rPr>
          <w:b/>
          <w:bCs/>
          <w:szCs w:val="20"/>
          <w:lang w:eastAsia="en-AU"/>
        </w:rPr>
        <w:t>Requirements of the referral to Allied Health practitioners</w:t>
      </w:r>
    </w:p>
    <w:p w14:paraId="7BA01E42" w14:textId="1F94B6D0" w:rsidR="00BF134C" w:rsidRPr="009A50DA" w:rsidRDefault="00BF134C" w:rsidP="00BF134C">
      <w:pPr>
        <w:spacing w:before="200" w:after="200"/>
        <w:rPr>
          <w:sz w:val="22"/>
          <w:szCs w:val="22"/>
          <w:lang w:eastAsia="en-AU"/>
        </w:rPr>
      </w:pPr>
      <w:r w:rsidRPr="009A50DA">
        <w:rPr>
          <w:sz w:val="22"/>
          <w:szCs w:val="22"/>
          <w:lang w:eastAsia="en-AU"/>
        </w:rPr>
        <w:t>Th</w:t>
      </w:r>
      <w:r w:rsidR="00F205FC" w:rsidRPr="009A50DA">
        <w:rPr>
          <w:sz w:val="22"/>
          <w:szCs w:val="22"/>
          <w:lang w:eastAsia="en-AU"/>
        </w:rPr>
        <w:t>e medical practitioner</w:t>
      </w:r>
      <w:r w:rsidRPr="009A50DA">
        <w:rPr>
          <w:sz w:val="22"/>
          <w:szCs w:val="22"/>
          <w:lang w:eastAsia="en-AU"/>
        </w:rPr>
        <w:t xml:space="preserve">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  </w:t>
      </w:r>
    </w:p>
    <w:p w14:paraId="48B5B799" w14:textId="77777777" w:rsidR="00BF134C" w:rsidRDefault="00BF134C" w:rsidP="00BF134C">
      <w:pPr>
        <w:spacing w:before="200" w:after="200"/>
        <w:rPr>
          <w:szCs w:val="20"/>
          <w:lang w:eastAsia="en-AU"/>
        </w:rPr>
      </w:pPr>
      <w:r>
        <w:rPr>
          <w:b/>
          <w:bCs/>
          <w:szCs w:val="20"/>
          <w:lang w:eastAsia="en-AU"/>
        </w:rPr>
        <w:t>Review requirements following delivery of 4 Allied Health Assessment services</w:t>
      </w:r>
    </w:p>
    <w:p w14:paraId="7E513887" w14:textId="5E2462CF" w:rsidR="00BF134C" w:rsidRPr="009A50DA" w:rsidRDefault="00BF134C" w:rsidP="00BF134C">
      <w:pPr>
        <w:spacing w:before="200" w:after="200"/>
        <w:rPr>
          <w:sz w:val="22"/>
          <w:szCs w:val="22"/>
          <w:lang w:eastAsia="en-AU"/>
        </w:rPr>
      </w:pPr>
      <w:r w:rsidRPr="009A50DA">
        <w:rPr>
          <w:sz w:val="22"/>
          <w:szCs w:val="22"/>
          <w:lang w:eastAsia="en-AU"/>
        </w:rPr>
        <w:t xml:space="preserve">Where an eligible Allied Health practitioner has provided 4 assessment services (through items 82000, 82005, 82010, 82030, 93032, 93040, 93033 or 93041) and considers additional assessment services are required, they must ensure the referring </w:t>
      </w:r>
      <w:r w:rsidR="00F205FC" w:rsidRPr="009A50DA">
        <w:rPr>
          <w:sz w:val="22"/>
          <w:szCs w:val="22"/>
          <w:lang w:eastAsia="en-AU"/>
        </w:rPr>
        <w:t xml:space="preserve">medical practitioner </w:t>
      </w:r>
      <w:r w:rsidRPr="009A50DA">
        <w:rPr>
          <w:sz w:val="22"/>
          <w:szCs w:val="22"/>
          <w:lang w:eastAsia="en-AU"/>
        </w:rPr>
        <w:t xml:space="preserve">undertakes a review. If the type of review is not specified by the referring </w:t>
      </w:r>
      <w:r w:rsidR="00F205FC" w:rsidRPr="009A50DA">
        <w:rPr>
          <w:sz w:val="22"/>
          <w:szCs w:val="22"/>
          <w:lang w:eastAsia="en-AU"/>
        </w:rPr>
        <w:t xml:space="preserve">medical practitioner </w:t>
      </w:r>
      <w:r w:rsidRPr="009A50DA">
        <w:rPr>
          <w:sz w:val="22"/>
          <w:szCs w:val="22"/>
          <w:lang w:eastAsia="en-AU"/>
        </w:rPr>
        <w:t xml:space="preserve">an acceptable means of review includes: a case conference, phone call, written correspondence, secure online messaging exchange or attendance of the patient with the referring </w:t>
      </w:r>
      <w:r w:rsidR="00F205FC" w:rsidRPr="009A50DA">
        <w:rPr>
          <w:sz w:val="22"/>
          <w:szCs w:val="22"/>
          <w:lang w:eastAsia="en-AU"/>
        </w:rPr>
        <w:t>medical practitioner.</w:t>
      </w:r>
    </w:p>
    <w:p w14:paraId="0CF28BFB" w14:textId="626275DE" w:rsidR="00BF134C" w:rsidRDefault="00BF134C" w:rsidP="00BF134C">
      <w:pPr>
        <w:spacing w:before="200" w:after="200"/>
        <w:rPr>
          <w:szCs w:val="20"/>
          <w:lang w:eastAsia="en-AU"/>
        </w:rPr>
      </w:pPr>
      <w:r>
        <w:rPr>
          <w:b/>
          <w:bCs/>
          <w:szCs w:val="20"/>
          <w:lang w:eastAsia="en-AU"/>
        </w:rPr>
        <w:t xml:space="preserve">Inter-disciplinary Allied </w:t>
      </w:r>
      <w:r w:rsidR="00B36D6B">
        <w:rPr>
          <w:b/>
          <w:bCs/>
          <w:szCs w:val="20"/>
          <w:lang w:eastAsia="en-AU"/>
        </w:rPr>
        <w:t>H</w:t>
      </w:r>
      <w:r>
        <w:rPr>
          <w:b/>
          <w:bCs/>
          <w:szCs w:val="20"/>
          <w:lang w:eastAsia="en-AU"/>
        </w:rPr>
        <w:t>ealth referral</w:t>
      </w:r>
    </w:p>
    <w:p w14:paraId="4FF0D641" w14:textId="7650A3AE" w:rsidR="00BF134C" w:rsidRPr="009A50DA" w:rsidRDefault="00BF134C" w:rsidP="00BF134C">
      <w:pPr>
        <w:spacing w:before="200" w:after="200"/>
        <w:rPr>
          <w:sz w:val="22"/>
          <w:szCs w:val="22"/>
          <w:lang w:eastAsia="en-AU"/>
        </w:rPr>
      </w:pPr>
      <w:r w:rsidRPr="009A50DA">
        <w:rPr>
          <w:sz w:val="22"/>
          <w:szCs w:val="22"/>
          <w:lang w:eastAsia="en-AU"/>
        </w:rPr>
        <w:t xml:space="preserve">Eligible Allied Health practitioners are also able to make inter-disciplinary referrals to other eligible </w:t>
      </w:r>
      <w:r w:rsidR="00F313ED">
        <w:rPr>
          <w:sz w:val="22"/>
          <w:szCs w:val="22"/>
          <w:lang w:eastAsia="en-AU"/>
        </w:rPr>
        <w:t xml:space="preserve">Allied Health </w:t>
      </w:r>
      <w:r w:rsidRPr="009A50DA">
        <w:rPr>
          <w:sz w:val="22"/>
          <w:szCs w:val="22"/>
          <w:lang w:eastAsia="en-AU"/>
        </w:rPr>
        <w:t xml:space="preserve">practitioners as clinically necessary to assist with the formulation of the diagnosis or contribute to the treatment and management plan. Inter-disciplinary referrals must be undertaken in consultation and agreement with the referring </w:t>
      </w:r>
      <w:r w:rsidR="00F205FC" w:rsidRPr="009A50DA">
        <w:rPr>
          <w:sz w:val="22"/>
          <w:szCs w:val="22"/>
          <w:lang w:eastAsia="en-AU"/>
        </w:rPr>
        <w:t>medical practitioner</w:t>
      </w:r>
      <w:r w:rsidRPr="009A50DA">
        <w:rPr>
          <w:sz w:val="22"/>
          <w:szCs w:val="22"/>
          <w:lang w:eastAsia="en-AU"/>
        </w:rPr>
        <w:t xml:space="preserve">. Whilst they do not require the need for an attendance with the patient (face-to-face or telehealth) by the referring </w:t>
      </w:r>
      <w:r w:rsidR="00F205FC" w:rsidRPr="009A50DA">
        <w:rPr>
          <w:sz w:val="22"/>
          <w:szCs w:val="22"/>
          <w:lang w:eastAsia="en-AU"/>
        </w:rPr>
        <w:t>medical practitioner</w:t>
      </w:r>
      <w:r w:rsidRPr="009A50DA">
        <w:rPr>
          <w:sz w:val="22"/>
          <w:szCs w:val="22"/>
          <w:lang w:eastAsia="en-AU"/>
        </w:rPr>
        <w:t xml:space="preserve">, they do require an agreement from the referring </w:t>
      </w:r>
      <w:r w:rsidR="00F205FC" w:rsidRPr="009A50DA">
        <w:rPr>
          <w:sz w:val="22"/>
          <w:szCs w:val="22"/>
          <w:lang w:eastAsia="en-AU"/>
        </w:rPr>
        <w:t>medical practitioner</w:t>
      </w:r>
      <w:r w:rsidRPr="009A50DA">
        <w:rPr>
          <w:sz w:val="22"/>
          <w:szCs w:val="22"/>
          <w:lang w:eastAsia="en-AU"/>
        </w:rPr>
        <w:t>. This can be undertaken (but is not limited to) an exchange by phone, written communication or secure online messaging.</w:t>
      </w:r>
    </w:p>
    <w:p w14:paraId="65584CAF" w14:textId="77777777" w:rsidR="00BF134C" w:rsidRPr="004776D9" w:rsidRDefault="00BF134C">
      <w:pPr>
        <w:pStyle w:val="Heading4"/>
      </w:pPr>
      <w:r w:rsidRPr="004776D9">
        <w:lastRenderedPageBreak/>
        <w:t>Contribution to the Treatment and Management Plan through Allied Health referral</w:t>
      </w:r>
    </w:p>
    <w:p w14:paraId="0782C3F3" w14:textId="0EA448D8" w:rsidR="00BF134C" w:rsidRPr="009A50DA" w:rsidRDefault="00BF134C" w:rsidP="00BF134C">
      <w:pPr>
        <w:spacing w:before="200" w:after="200"/>
        <w:rPr>
          <w:sz w:val="22"/>
          <w:szCs w:val="22"/>
          <w:lang w:eastAsia="en-AU"/>
        </w:rPr>
      </w:pPr>
      <w:r w:rsidRPr="009A50DA">
        <w:rPr>
          <w:sz w:val="22"/>
          <w:szCs w:val="22"/>
          <w:lang w:eastAsia="en-AU"/>
        </w:rPr>
        <w:t>In addition to referring to Allied Health practitioners for assistance with formulating a diagnosis,</w:t>
      </w:r>
      <w:r w:rsidR="00D7705F">
        <w:rPr>
          <w:sz w:val="22"/>
          <w:szCs w:val="22"/>
          <w:lang w:eastAsia="en-AU"/>
        </w:rPr>
        <w:t xml:space="preserve"> the Allied Health assessment items may be used for assistance with developing a </w:t>
      </w:r>
      <w:r w:rsidR="00F6491B">
        <w:rPr>
          <w:sz w:val="22"/>
          <w:szCs w:val="22"/>
          <w:lang w:eastAsia="en-AU"/>
        </w:rPr>
        <w:t xml:space="preserve">treatment and </w:t>
      </w:r>
      <w:r w:rsidR="00D7705F">
        <w:rPr>
          <w:sz w:val="22"/>
          <w:szCs w:val="22"/>
          <w:lang w:eastAsia="en-AU"/>
        </w:rPr>
        <w:t xml:space="preserve">management plan. </w:t>
      </w:r>
      <w:r w:rsidR="00F6491B">
        <w:rPr>
          <w:sz w:val="22"/>
          <w:szCs w:val="22"/>
          <w:lang w:eastAsia="en-AU"/>
        </w:rPr>
        <w:t>E</w:t>
      </w:r>
      <w:r w:rsidR="00D7705F">
        <w:rPr>
          <w:sz w:val="22"/>
          <w:szCs w:val="22"/>
          <w:lang w:eastAsia="en-AU"/>
        </w:rPr>
        <w:t>ven if a medical practitioner is clear that a specific diagnosis can be made, it would not be appropriate to bill</w:t>
      </w:r>
      <w:r w:rsidR="00F6491B">
        <w:rPr>
          <w:sz w:val="22"/>
          <w:szCs w:val="22"/>
          <w:lang w:eastAsia="en-AU"/>
        </w:rPr>
        <w:t xml:space="preserve"> the relevant assessment and treatment and management plan item</w:t>
      </w:r>
      <w:r w:rsidR="00D7705F">
        <w:rPr>
          <w:sz w:val="22"/>
          <w:szCs w:val="22"/>
          <w:lang w:eastAsia="en-AU"/>
        </w:rPr>
        <w:t xml:space="preserve"> </w:t>
      </w:r>
      <w:r w:rsidR="00F6491B" w:rsidRPr="00F313ED">
        <w:rPr>
          <w:sz w:val="22"/>
          <w:szCs w:val="22"/>
          <w:lang w:eastAsia="en-AU"/>
        </w:rPr>
        <w:t>(</w:t>
      </w:r>
      <w:r w:rsidR="00D7705F" w:rsidRPr="00027A47">
        <w:rPr>
          <w:sz w:val="22"/>
          <w:szCs w:val="22"/>
          <w:lang w:eastAsia="en-AU"/>
        </w:rPr>
        <w:t>135</w:t>
      </w:r>
      <w:r w:rsidR="00F6491B" w:rsidRPr="00027A47">
        <w:rPr>
          <w:sz w:val="22"/>
          <w:szCs w:val="22"/>
          <w:lang w:eastAsia="en-AU"/>
        </w:rPr>
        <w:t xml:space="preserve">, 137, 139, 289 and telehealth </w:t>
      </w:r>
      <w:r w:rsidR="00027A47" w:rsidRPr="00027A47">
        <w:rPr>
          <w:sz w:val="22"/>
          <w:szCs w:val="22"/>
          <w:lang w:eastAsia="en-AU"/>
        </w:rPr>
        <w:t xml:space="preserve">equivalents) </w:t>
      </w:r>
      <w:r w:rsidR="00027A47">
        <w:rPr>
          <w:sz w:val="22"/>
          <w:szCs w:val="22"/>
          <w:lang w:eastAsia="en-AU"/>
        </w:rPr>
        <w:t>should</w:t>
      </w:r>
      <w:r w:rsidR="00D7705F">
        <w:rPr>
          <w:sz w:val="22"/>
          <w:szCs w:val="22"/>
          <w:lang w:eastAsia="en-AU"/>
        </w:rPr>
        <w:t xml:space="preserve"> Allied Health assessment be required</w:t>
      </w:r>
      <w:r w:rsidR="00F6491B">
        <w:rPr>
          <w:sz w:val="22"/>
          <w:szCs w:val="22"/>
          <w:lang w:eastAsia="en-AU"/>
        </w:rPr>
        <w:t xml:space="preserve"> to</w:t>
      </w:r>
      <w:r w:rsidR="00D7705F">
        <w:rPr>
          <w:sz w:val="22"/>
          <w:szCs w:val="22"/>
          <w:lang w:eastAsia="en-AU"/>
        </w:rPr>
        <w:t xml:space="preserve"> </w:t>
      </w:r>
      <w:r w:rsidR="00F6491B">
        <w:rPr>
          <w:sz w:val="22"/>
          <w:szCs w:val="22"/>
          <w:lang w:eastAsia="en-AU"/>
        </w:rPr>
        <w:t>finalise the</w:t>
      </w:r>
      <w:r w:rsidR="00D7705F">
        <w:rPr>
          <w:sz w:val="22"/>
          <w:szCs w:val="22"/>
          <w:lang w:eastAsia="en-AU"/>
        </w:rPr>
        <w:t xml:space="preserve"> </w:t>
      </w:r>
      <w:r w:rsidR="00F6491B">
        <w:rPr>
          <w:sz w:val="22"/>
          <w:szCs w:val="22"/>
          <w:lang w:eastAsia="en-AU"/>
        </w:rPr>
        <w:t xml:space="preserve">treatment and </w:t>
      </w:r>
      <w:r w:rsidR="00D7705F">
        <w:rPr>
          <w:sz w:val="22"/>
          <w:szCs w:val="22"/>
          <w:lang w:eastAsia="en-AU"/>
        </w:rPr>
        <w:t>management</w:t>
      </w:r>
      <w:r w:rsidR="00F6491B">
        <w:rPr>
          <w:sz w:val="22"/>
          <w:szCs w:val="22"/>
          <w:lang w:eastAsia="en-AU"/>
        </w:rPr>
        <w:t xml:space="preserve"> plan. Once the </w:t>
      </w:r>
      <w:r w:rsidR="00F313ED">
        <w:rPr>
          <w:sz w:val="22"/>
          <w:szCs w:val="22"/>
          <w:lang w:eastAsia="en-AU"/>
        </w:rPr>
        <w:t xml:space="preserve">Allied Health </w:t>
      </w:r>
      <w:r w:rsidR="00F6491B">
        <w:rPr>
          <w:sz w:val="22"/>
          <w:szCs w:val="22"/>
          <w:lang w:eastAsia="en-AU"/>
        </w:rPr>
        <w:t>assessments are completed and the medical pract</w:t>
      </w:r>
      <w:r w:rsidR="00B36D6B">
        <w:rPr>
          <w:sz w:val="22"/>
          <w:szCs w:val="22"/>
          <w:lang w:eastAsia="en-AU"/>
        </w:rPr>
        <w:t>it</w:t>
      </w:r>
      <w:r w:rsidR="00F6491B">
        <w:rPr>
          <w:sz w:val="22"/>
          <w:szCs w:val="22"/>
          <w:lang w:eastAsia="en-AU"/>
        </w:rPr>
        <w:t xml:space="preserve">ioner is able to finalise the treatment and management plan, then treatment and management plan items can be billed. </w:t>
      </w:r>
    </w:p>
    <w:p w14:paraId="3EA3E3BF" w14:textId="4F8B390B" w:rsidR="00BF134C" w:rsidRPr="009A50DA" w:rsidRDefault="00226147" w:rsidP="00BF134C">
      <w:pPr>
        <w:spacing w:before="200" w:after="200"/>
        <w:rPr>
          <w:sz w:val="22"/>
          <w:szCs w:val="22"/>
          <w:lang w:eastAsia="en-AU"/>
        </w:rPr>
      </w:pPr>
      <w:r w:rsidRPr="009A50DA">
        <w:rPr>
          <w:sz w:val="22"/>
          <w:szCs w:val="22"/>
          <w:lang w:eastAsia="en-AU"/>
        </w:rPr>
        <w:t xml:space="preserve">Allied Health </w:t>
      </w:r>
      <w:r w:rsidR="00BA69A1">
        <w:rPr>
          <w:sz w:val="22"/>
          <w:szCs w:val="22"/>
          <w:lang w:eastAsia="en-AU"/>
        </w:rPr>
        <w:t>a</w:t>
      </w:r>
      <w:r w:rsidRPr="009A50DA">
        <w:rPr>
          <w:sz w:val="22"/>
          <w:szCs w:val="22"/>
          <w:lang w:eastAsia="en-AU"/>
        </w:rPr>
        <w:t xml:space="preserve">ssessment </w:t>
      </w:r>
      <w:r w:rsidR="00BF134C" w:rsidRPr="009A50DA">
        <w:rPr>
          <w:sz w:val="22"/>
          <w:szCs w:val="22"/>
          <w:lang w:eastAsia="en-AU"/>
        </w:rPr>
        <w:t xml:space="preserve">MBS items 82000, 82005, 82010, 82030, 93032, 93040, 93033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w:t>
      </w:r>
      <w:r w:rsidR="00F205FC" w:rsidRPr="009A50DA">
        <w:rPr>
          <w:sz w:val="22"/>
          <w:szCs w:val="22"/>
          <w:lang w:eastAsia="en-AU"/>
        </w:rPr>
        <w:t xml:space="preserve">medical practitioner </w:t>
      </w:r>
      <w:r w:rsidR="00BF134C" w:rsidRPr="009A50DA">
        <w:rPr>
          <w:sz w:val="22"/>
          <w:szCs w:val="22"/>
          <w:lang w:eastAsia="en-AU"/>
        </w:rPr>
        <w:t>should be mindful of this when referring to eligible Allied Health practitioners.</w:t>
      </w:r>
      <w:r w:rsidR="00F6491B">
        <w:rPr>
          <w:sz w:val="22"/>
          <w:szCs w:val="22"/>
          <w:lang w:eastAsia="en-AU"/>
        </w:rPr>
        <w:t xml:space="preserve"> </w:t>
      </w:r>
    </w:p>
    <w:p w14:paraId="3064DF25" w14:textId="77777777" w:rsidR="00BF134C" w:rsidRDefault="00BF134C" w:rsidP="00BF134C">
      <w:pPr>
        <w:pStyle w:val="Heading4"/>
        <w:rPr>
          <w:lang w:eastAsia="en-AU"/>
        </w:rPr>
      </w:pPr>
      <w:r>
        <w:rPr>
          <w:lang w:eastAsia="en-AU"/>
        </w:rPr>
        <w:t>Development of the Treatment and Management Plan</w:t>
      </w:r>
    </w:p>
    <w:p w14:paraId="28D1503B" w14:textId="3D784022" w:rsidR="00BF134C" w:rsidRPr="009A50DA" w:rsidRDefault="00BF134C" w:rsidP="00BF134C">
      <w:pPr>
        <w:spacing w:before="200" w:after="200"/>
        <w:rPr>
          <w:sz w:val="22"/>
          <w:szCs w:val="22"/>
          <w:lang w:eastAsia="en-AU"/>
        </w:rPr>
      </w:pPr>
      <w:r w:rsidRPr="009A50DA">
        <w:rPr>
          <w:sz w:val="22"/>
          <w:szCs w:val="22"/>
          <w:lang w:eastAsia="en-AU"/>
        </w:rPr>
        <w:t xml:space="preserve">Once the </w:t>
      </w:r>
      <w:r w:rsidR="00F205FC" w:rsidRPr="009A50DA">
        <w:rPr>
          <w:sz w:val="22"/>
          <w:szCs w:val="22"/>
          <w:lang w:eastAsia="en-AU"/>
        </w:rPr>
        <w:t>medical practitioner</w:t>
      </w:r>
      <w:r w:rsidRPr="009A50DA">
        <w:rPr>
          <w:sz w:val="22"/>
          <w:szCs w:val="22"/>
          <w:lang w:eastAsia="en-AU"/>
        </w:rPr>
        <w:t xml:space="preserve"> has made a diagnosis of a </w:t>
      </w:r>
      <w:r w:rsidR="006C1CC4">
        <w:rPr>
          <w:sz w:val="22"/>
          <w:szCs w:val="22"/>
          <w:lang w:eastAsia="en-AU"/>
        </w:rPr>
        <w:t>Complex Neurodevelopmental Disorder</w:t>
      </w:r>
      <w:r w:rsidR="00803C69" w:rsidRPr="009A50DA">
        <w:rPr>
          <w:sz w:val="22"/>
          <w:szCs w:val="22"/>
          <w:lang w:eastAsia="en-AU"/>
        </w:rPr>
        <w:t xml:space="preserve"> </w:t>
      </w:r>
      <w:r w:rsidR="00226147" w:rsidRPr="009A50DA">
        <w:rPr>
          <w:sz w:val="22"/>
          <w:szCs w:val="22"/>
          <w:lang w:eastAsia="en-AU"/>
        </w:rPr>
        <w:t xml:space="preserve">(item 135, 289 or telehealth equivalent item 92140 or 92434) </w:t>
      </w:r>
      <w:r w:rsidR="00803C69" w:rsidRPr="009A50DA">
        <w:rPr>
          <w:sz w:val="22"/>
          <w:szCs w:val="22"/>
          <w:lang w:eastAsia="en-AU"/>
        </w:rPr>
        <w:t>or eligible disability</w:t>
      </w:r>
      <w:r w:rsidR="00F205FC" w:rsidRPr="009A50DA">
        <w:rPr>
          <w:sz w:val="22"/>
          <w:szCs w:val="22"/>
          <w:lang w:eastAsia="en-AU"/>
        </w:rPr>
        <w:t xml:space="preserve"> </w:t>
      </w:r>
      <w:r w:rsidR="00803C69" w:rsidRPr="009A50DA">
        <w:rPr>
          <w:sz w:val="22"/>
          <w:szCs w:val="22"/>
          <w:lang w:eastAsia="en-AU"/>
        </w:rPr>
        <w:t>(137, 139 or telehealth equivalents</w:t>
      </w:r>
      <w:r w:rsidR="00226147" w:rsidRPr="009A50DA">
        <w:rPr>
          <w:sz w:val="22"/>
          <w:szCs w:val="22"/>
        </w:rPr>
        <w:t xml:space="preserve"> item</w:t>
      </w:r>
      <w:r w:rsidR="00803C69" w:rsidRPr="009A50DA">
        <w:rPr>
          <w:sz w:val="22"/>
          <w:szCs w:val="22"/>
        </w:rPr>
        <w:t xml:space="preserve"> 92141, 92142</w:t>
      </w:r>
      <w:r w:rsidR="00F205FC" w:rsidRPr="009A50DA">
        <w:rPr>
          <w:sz w:val="22"/>
          <w:szCs w:val="22"/>
          <w:lang w:eastAsia="en-AU"/>
        </w:rPr>
        <w:t>)</w:t>
      </w:r>
      <w:r w:rsidRPr="009A50DA">
        <w:rPr>
          <w:sz w:val="22"/>
          <w:szCs w:val="22"/>
          <w:lang w:eastAsia="en-AU"/>
        </w:rPr>
        <w:t>, to complete the item requirements they must develop a treatment and management plan which includes:</w:t>
      </w:r>
    </w:p>
    <w:p w14:paraId="00FFAD59" w14:textId="4059C7D3" w:rsidR="00BF134C" w:rsidRPr="009A50DA" w:rsidRDefault="00BF134C" w:rsidP="002D6FC2">
      <w:pPr>
        <w:numPr>
          <w:ilvl w:val="0"/>
          <w:numId w:val="18"/>
        </w:numPr>
        <w:spacing w:line="240" w:lineRule="auto"/>
        <w:ind w:hanging="218"/>
        <w:rPr>
          <w:sz w:val="22"/>
          <w:szCs w:val="22"/>
          <w:lang w:eastAsia="en-AU"/>
        </w:rPr>
      </w:pPr>
      <w:r w:rsidRPr="009A50DA">
        <w:rPr>
          <w:sz w:val="22"/>
          <w:szCs w:val="22"/>
          <w:lang w:eastAsia="en-AU"/>
        </w:rPr>
        <w:t>Written documentation of the patient’s confirmed diagnosis, including any findings of assessments performed (which assisted with the formulation of the diagnosis or contributed to the treatment and management plan)</w:t>
      </w:r>
      <w:r w:rsidR="009F6DE4">
        <w:rPr>
          <w:sz w:val="22"/>
          <w:szCs w:val="22"/>
          <w:lang w:eastAsia="en-AU"/>
        </w:rPr>
        <w:t>.</w:t>
      </w:r>
    </w:p>
    <w:p w14:paraId="6BA9CE80" w14:textId="77777777" w:rsidR="00BF134C" w:rsidRPr="009A50DA" w:rsidRDefault="00BF134C" w:rsidP="002D6FC2">
      <w:pPr>
        <w:numPr>
          <w:ilvl w:val="0"/>
          <w:numId w:val="18"/>
        </w:numPr>
        <w:spacing w:line="240" w:lineRule="auto"/>
        <w:ind w:hanging="218"/>
        <w:rPr>
          <w:sz w:val="22"/>
          <w:szCs w:val="22"/>
          <w:lang w:eastAsia="en-AU"/>
        </w:rPr>
      </w:pPr>
      <w:r w:rsidRPr="009A50DA">
        <w:rPr>
          <w:sz w:val="22"/>
          <w:szCs w:val="22"/>
          <w:lang w:eastAsia="en-AU"/>
        </w:rPr>
        <w:t xml:space="preserve">A risk assessment which means assessment of: </w:t>
      </w:r>
    </w:p>
    <w:p w14:paraId="6C63F3EB" w14:textId="55DFDD60" w:rsidR="00BF134C" w:rsidRPr="009A50DA" w:rsidRDefault="00BF134C" w:rsidP="002D6FC2">
      <w:pPr>
        <w:numPr>
          <w:ilvl w:val="1"/>
          <w:numId w:val="18"/>
        </w:numPr>
        <w:spacing w:line="240" w:lineRule="auto"/>
        <w:ind w:hanging="222"/>
        <w:rPr>
          <w:sz w:val="22"/>
          <w:szCs w:val="22"/>
          <w:lang w:eastAsia="en-AU"/>
        </w:rPr>
      </w:pPr>
      <w:r w:rsidRPr="009A50DA">
        <w:rPr>
          <w:sz w:val="22"/>
          <w:szCs w:val="22"/>
          <w:lang w:eastAsia="en-AU"/>
        </w:rPr>
        <w:t>the risk to the patient of a</w:t>
      </w:r>
      <w:r w:rsidR="00D7705F">
        <w:rPr>
          <w:sz w:val="22"/>
          <w:szCs w:val="22"/>
          <w:lang w:eastAsia="en-AU"/>
        </w:rPr>
        <w:t>ny</w:t>
      </w:r>
      <w:r w:rsidRPr="009A50DA">
        <w:rPr>
          <w:sz w:val="22"/>
          <w:szCs w:val="22"/>
          <w:lang w:eastAsia="en-AU"/>
        </w:rPr>
        <w:t xml:space="preserve"> contributing co</w:t>
      </w:r>
      <w:r w:rsidRPr="009A50DA">
        <w:rPr>
          <w:sz w:val="22"/>
          <w:szCs w:val="22"/>
          <w:lang w:eastAsia="en-AU"/>
        </w:rPr>
        <w:noBreakHyphen/>
        <w:t>morbidity and</w:t>
      </w:r>
    </w:p>
    <w:p w14:paraId="519167A5" w14:textId="77777777" w:rsidR="00BF134C" w:rsidRPr="009A50DA" w:rsidRDefault="00BF134C" w:rsidP="002D6FC2">
      <w:pPr>
        <w:numPr>
          <w:ilvl w:val="1"/>
          <w:numId w:val="18"/>
        </w:numPr>
        <w:spacing w:line="240" w:lineRule="auto"/>
        <w:ind w:hanging="222"/>
        <w:rPr>
          <w:sz w:val="22"/>
          <w:szCs w:val="22"/>
          <w:lang w:eastAsia="en-AU"/>
        </w:rPr>
      </w:pPr>
      <w:r w:rsidRPr="009A50DA">
        <w:rPr>
          <w:sz w:val="22"/>
          <w:szCs w:val="22"/>
          <w:lang w:eastAsia="en-AU"/>
        </w:rPr>
        <w:t>environmental, physical, social and emotional risk factors that may apply to the patient or to another individual.</w:t>
      </w:r>
    </w:p>
    <w:p w14:paraId="524206B9" w14:textId="77777777" w:rsidR="00BF134C" w:rsidRPr="009A50DA" w:rsidRDefault="00BF134C" w:rsidP="002D6FC2">
      <w:pPr>
        <w:numPr>
          <w:ilvl w:val="0"/>
          <w:numId w:val="18"/>
        </w:numPr>
        <w:spacing w:line="240" w:lineRule="auto"/>
        <w:ind w:hanging="218"/>
        <w:rPr>
          <w:sz w:val="22"/>
          <w:szCs w:val="22"/>
          <w:lang w:eastAsia="en-AU"/>
        </w:rPr>
      </w:pPr>
      <w:r w:rsidRPr="009A50DA">
        <w:rPr>
          <w:sz w:val="22"/>
          <w:szCs w:val="22"/>
          <w:lang w:eastAsia="en-AU"/>
        </w:rPr>
        <w:t xml:space="preserve">Treatment options which include: </w:t>
      </w:r>
    </w:p>
    <w:p w14:paraId="4A08C29F" w14:textId="77777777" w:rsidR="00BF134C" w:rsidRPr="009A50DA" w:rsidRDefault="00BF134C" w:rsidP="002D6FC2">
      <w:pPr>
        <w:numPr>
          <w:ilvl w:val="1"/>
          <w:numId w:val="19"/>
        </w:numPr>
        <w:spacing w:line="240" w:lineRule="auto"/>
        <w:ind w:hanging="222"/>
        <w:rPr>
          <w:sz w:val="22"/>
          <w:szCs w:val="22"/>
          <w:lang w:eastAsia="en-AU"/>
        </w:rPr>
      </w:pPr>
      <w:r w:rsidRPr="009A50DA">
        <w:rPr>
          <w:sz w:val="22"/>
          <w:szCs w:val="22"/>
          <w:lang w:eastAsia="en-AU"/>
        </w:rPr>
        <w:t>Recommendations using a biopsychosocial model</w:t>
      </w:r>
    </w:p>
    <w:p w14:paraId="4D1F1851" w14:textId="77777777" w:rsidR="00BF134C" w:rsidRPr="009A50DA" w:rsidRDefault="00BF134C" w:rsidP="002D6FC2">
      <w:pPr>
        <w:numPr>
          <w:ilvl w:val="1"/>
          <w:numId w:val="19"/>
        </w:numPr>
        <w:spacing w:line="240" w:lineRule="auto"/>
        <w:ind w:hanging="222"/>
        <w:rPr>
          <w:sz w:val="22"/>
          <w:szCs w:val="22"/>
          <w:lang w:eastAsia="en-AU"/>
        </w:rPr>
      </w:pPr>
      <w:r w:rsidRPr="009A50DA">
        <w:rPr>
          <w:sz w:val="22"/>
          <w:szCs w:val="22"/>
          <w:lang w:eastAsia="en-AU"/>
        </w:rPr>
        <w:t>Identify major treatment goals and important milestones and objectives</w:t>
      </w:r>
    </w:p>
    <w:p w14:paraId="3CF4AB00" w14:textId="77777777" w:rsidR="00BF134C" w:rsidRPr="009A50DA" w:rsidRDefault="00BF134C" w:rsidP="002D6FC2">
      <w:pPr>
        <w:numPr>
          <w:ilvl w:val="1"/>
          <w:numId w:val="19"/>
        </w:numPr>
        <w:spacing w:line="240" w:lineRule="auto"/>
        <w:ind w:hanging="222"/>
        <w:rPr>
          <w:sz w:val="22"/>
          <w:szCs w:val="22"/>
          <w:lang w:eastAsia="en-AU"/>
        </w:rPr>
      </w:pPr>
      <w:r w:rsidRPr="009A50DA">
        <w:rPr>
          <w:sz w:val="22"/>
          <w:szCs w:val="22"/>
          <w:lang w:eastAsia="en-AU"/>
        </w:rPr>
        <w:t>Recommendation and referral for treatment services provided by eligible Allied Health practitioners (where relevant) and who should provide this, specifying number of treatments recommended (to a maximum of 20 treatment services)</w:t>
      </w:r>
    </w:p>
    <w:p w14:paraId="1150F519" w14:textId="4F53B435" w:rsidR="00BF134C" w:rsidRPr="009A50DA" w:rsidRDefault="00BF134C" w:rsidP="002D6FC2">
      <w:pPr>
        <w:numPr>
          <w:ilvl w:val="1"/>
          <w:numId w:val="19"/>
        </w:numPr>
        <w:spacing w:line="240" w:lineRule="auto"/>
        <w:ind w:hanging="222"/>
        <w:rPr>
          <w:sz w:val="22"/>
          <w:szCs w:val="22"/>
          <w:lang w:eastAsia="en-AU"/>
        </w:rPr>
      </w:pPr>
      <w:r w:rsidRPr="009A50DA">
        <w:rPr>
          <w:sz w:val="22"/>
          <w:szCs w:val="22"/>
          <w:lang w:eastAsia="en-AU"/>
        </w:rPr>
        <w:t>Indications for review or episodes requiring escalation of treatment strategies</w:t>
      </w:r>
      <w:r w:rsidR="009F6DE4">
        <w:rPr>
          <w:sz w:val="22"/>
          <w:szCs w:val="22"/>
          <w:lang w:eastAsia="en-AU"/>
        </w:rPr>
        <w:t>.</w:t>
      </w:r>
    </w:p>
    <w:p w14:paraId="69D7683E" w14:textId="0575847E" w:rsidR="00BF134C" w:rsidRPr="009A50DA" w:rsidRDefault="00BF134C" w:rsidP="002D6FC2">
      <w:pPr>
        <w:numPr>
          <w:ilvl w:val="0"/>
          <w:numId w:val="18"/>
        </w:numPr>
        <w:spacing w:line="240" w:lineRule="auto"/>
        <w:ind w:hanging="218"/>
        <w:rPr>
          <w:sz w:val="22"/>
          <w:szCs w:val="22"/>
          <w:lang w:eastAsia="en-AU"/>
        </w:rPr>
      </w:pPr>
      <w:r w:rsidRPr="009A50DA">
        <w:rPr>
          <w:sz w:val="22"/>
          <w:szCs w:val="22"/>
          <w:lang w:eastAsia="en-AU"/>
        </w:rPr>
        <w:lastRenderedPageBreak/>
        <w:t>Documenting the Treatment and Management plan and providing a copy to the referring medical practitioner</w:t>
      </w:r>
      <w:r w:rsidR="00F205FC" w:rsidRPr="009A50DA">
        <w:rPr>
          <w:sz w:val="22"/>
          <w:szCs w:val="22"/>
          <w:lang w:eastAsia="en-AU"/>
        </w:rPr>
        <w:t xml:space="preserve"> (where relevant)</w:t>
      </w:r>
      <w:r w:rsidRPr="009A50DA">
        <w:rPr>
          <w:sz w:val="22"/>
          <w:szCs w:val="22"/>
          <w:lang w:eastAsia="en-AU"/>
        </w:rPr>
        <w:t xml:space="preserve"> and relevant Allied health practitioner/s.</w:t>
      </w:r>
    </w:p>
    <w:p w14:paraId="07C6FA27" w14:textId="77777777" w:rsidR="00BF134C" w:rsidRDefault="00BF134C" w:rsidP="00BF134C">
      <w:pPr>
        <w:pStyle w:val="Heading4"/>
        <w:rPr>
          <w:lang w:eastAsia="en-AU"/>
        </w:rPr>
      </w:pPr>
      <w:r>
        <w:rPr>
          <w:lang w:eastAsia="en-AU"/>
        </w:rPr>
        <w:t>Referral for Allied Health Treatment services</w:t>
      </w:r>
    </w:p>
    <w:p w14:paraId="777765A8" w14:textId="0C1C4B06" w:rsidR="00BF134C" w:rsidRPr="009A50DA" w:rsidRDefault="00BF134C" w:rsidP="00BF134C">
      <w:pPr>
        <w:spacing w:before="200" w:after="200"/>
        <w:rPr>
          <w:sz w:val="22"/>
          <w:szCs w:val="22"/>
          <w:lang w:eastAsia="en-AU"/>
        </w:rPr>
      </w:pPr>
      <w:r w:rsidRPr="009A50DA">
        <w:rPr>
          <w:sz w:val="22"/>
          <w:szCs w:val="22"/>
          <w:lang w:eastAsia="en-AU"/>
        </w:rPr>
        <w:t xml:space="preserve">Once a treatment and management plan is in place (after item </w:t>
      </w:r>
      <w:r w:rsidR="00F205FC" w:rsidRPr="009A50DA">
        <w:rPr>
          <w:sz w:val="22"/>
          <w:szCs w:val="22"/>
          <w:lang w:eastAsia="en-AU"/>
        </w:rPr>
        <w:t xml:space="preserve">135, 137, 139, </w:t>
      </w:r>
      <w:r w:rsidRPr="009A50DA">
        <w:rPr>
          <w:sz w:val="22"/>
          <w:szCs w:val="22"/>
          <w:lang w:eastAsia="en-AU"/>
        </w:rPr>
        <w:t xml:space="preserve">289 or </w:t>
      </w:r>
      <w:r w:rsidR="00767C9B" w:rsidRPr="009A50DA">
        <w:rPr>
          <w:sz w:val="22"/>
          <w:szCs w:val="22"/>
        </w:rPr>
        <w:t>92140, 92141, 92142 or 92434</w:t>
      </w:r>
      <w:r w:rsidR="00767C9B" w:rsidRPr="009A50DA">
        <w:rPr>
          <w:b/>
          <w:bCs/>
          <w:sz w:val="22"/>
          <w:szCs w:val="22"/>
        </w:rPr>
        <w:t xml:space="preserve"> </w:t>
      </w:r>
      <w:r w:rsidRPr="009A50DA">
        <w:rPr>
          <w:sz w:val="22"/>
          <w:szCs w:val="22"/>
          <w:lang w:eastAsia="en-AU"/>
        </w:rPr>
        <w:t xml:space="preserve">has been claimed) the </w:t>
      </w:r>
      <w:r w:rsidR="00F205FC" w:rsidRPr="009A50DA">
        <w:rPr>
          <w:sz w:val="22"/>
          <w:szCs w:val="22"/>
          <w:lang w:eastAsia="en-AU"/>
        </w:rPr>
        <w:t xml:space="preserve">medical practitioner </w:t>
      </w:r>
      <w:r w:rsidRPr="009A50DA">
        <w:rPr>
          <w:sz w:val="22"/>
          <w:szCs w:val="22"/>
          <w:lang w:eastAsia="en-AU"/>
        </w:rPr>
        <w:t>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3A83E6C7" w14:textId="77777777" w:rsidR="00BF134C" w:rsidRDefault="00BF134C" w:rsidP="00BF134C">
      <w:pPr>
        <w:spacing w:before="200" w:after="200"/>
        <w:rPr>
          <w:szCs w:val="20"/>
          <w:lang w:eastAsia="en-AU"/>
        </w:rPr>
      </w:pPr>
      <w:r>
        <w:rPr>
          <w:b/>
          <w:bCs/>
          <w:szCs w:val="20"/>
          <w:lang w:eastAsia="en-AU"/>
        </w:rPr>
        <w:t>Eligible Allied Health treatment practitioners include:</w:t>
      </w:r>
    </w:p>
    <w:p w14:paraId="713926CC" w14:textId="77777777" w:rsidR="00BF134C" w:rsidRPr="009A50DA" w:rsidRDefault="00BF134C" w:rsidP="002D6FC2">
      <w:pPr>
        <w:numPr>
          <w:ilvl w:val="0"/>
          <w:numId w:val="20"/>
        </w:numPr>
        <w:spacing w:line="240" w:lineRule="auto"/>
        <w:ind w:hanging="215"/>
        <w:rPr>
          <w:sz w:val="22"/>
          <w:szCs w:val="22"/>
          <w:lang w:eastAsia="en-AU"/>
        </w:rPr>
      </w:pPr>
      <w:r w:rsidRPr="009A50DA">
        <w:rPr>
          <w:sz w:val="22"/>
          <w:szCs w:val="22"/>
          <w:lang w:eastAsia="en-AU"/>
        </w:rPr>
        <w:t>Psychologist (MBS items 82015, 93035, 93043)</w:t>
      </w:r>
    </w:p>
    <w:p w14:paraId="38925D64" w14:textId="77777777" w:rsidR="00BF134C" w:rsidRPr="009A50DA" w:rsidRDefault="00BF134C" w:rsidP="002D6FC2">
      <w:pPr>
        <w:numPr>
          <w:ilvl w:val="0"/>
          <w:numId w:val="20"/>
        </w:numPr>
        <w:spacing w:line="240" w:lineRule="auto"/>
        <w:ind w:hanging="215"/>
        <w:rPr>
          <w:sz w:val="22"/>
          <w:szCs w:val="22"/>
          <w:lang w:eastAsia="en-AU"/>
        </w:rPr>
      </w:pPr>
      <w:r w:rsidRPr="009A50DA">
        <w:rPr>
          <w:sz w:val="22"/>
          <w:szCs w:val="22"/>
          <w:lang w:eastAsia="en-AU"/>
        </w:rPr>
        <w:t>Speech Pathologist (MBS items 82020, 93036, 93044)</w:t>
      </w:r>
    </w:p>
    <w:p w14:paraId="621593C7" w14:textId="77777777" w:rsidR="00BF134C" w:rsidRPr="009A50DA" w:rsidRDefault="00BF134C" w:rsidP="002D6FC2">
      <w:pPr>
        <w:numPr>
          <w:ilvl w:val="0"/>
          <w:numId w:val="20"/>
        </w:numPr>
        <w:spacing w:line="240" w:lineRule="auto"/>
        <w:ind w:hanging="215"/>
        <w:rPr>
          <w:sz w:val="22"/>
          <w:szCs w:val="22"/>
          <w:lang w:eastAsia="en-AU"/>
        </w:rPr>
      </w:pPr>
      <w:r w:rsidRPr="009A50DA">
        <w:rPr>
          <w:sz w:val="22"/>
          <w:szCs w:val="22"/>
          <w:lang w:eastAsia="en-AU"/>
        </w:rPr>
        <w:t>Occupational Therapist (MBS items 82025, 93036, 93044)</w:t>
      </w:r>
    </w:p>
    <w:p w14:paraId="70D319F3" w14:textId="77777777" w:rsidR="00BF134C" w:rsidRPr="009A50DA" w:rsidRDefault="00BF134C" w:rsidP="002D6FC2">
      <w:pPr>
        <w:numPr>
          <w:ilvl w:val="0"/>
          <w:numId w:val="20"/>
        </w:numPr>
        <w:spacing w:line="240" w:lineRule="auto"/>
        <w:ind w:hanging="215"/>
        <w:rPr>
          <w:sz w:val="22"/>
          <w:szCs w:val="22"/>
          <w:lang w:eastAsia="en-AU"/>
        </w:rPr>
      </w:pPr>
      <w:r w:rsidRPr="009A50DA">
        <w:rPr>
          <w:sz w:val="22"/>
          <w:szCs w:val="22"/>
          <w:lang w:eastAsia="en-AU"/>
        </w:rPr>
        <w:t>Audiologist, Optometrist, Orthoptist, Physiotherapist (MBS items 82035, 93036, 93044)</w:t>
      </w:r>
    </w:p>
    <w:p w14:paraId="6D976541" w14:textId="5E2DBF31" w:rsidR="00BF134C" w:rsidRPr="009A50DA" w:rsidRDefault="00BF134C" w:rsidP="00BF134C">
      <w:pPr>
        <w:spacing w:before="200" w:after="200"/>
        <w:rPr>
          <w:sz w:val="22"/>
          <w:szCs w:val="22"/>
          <w:lang w:eastAsia="en-AU"/>
        </w:rPr>
      </w:pPr>
      <w:r w:rsidRPr="009A50DA">
        <w:rPr>
          <w:sz w:val="22"/>
          <w:szCs w:val="22"/>
          <w:lang w:eastAsia="en-AU"/>
        </w:rPr>
        <w:t xml:space="preserve">A total of 20 Allied Health Treatment services per patient per lifetime are available through the MBS, which may consist of any combination of items 82015, 82020, 82025 or 82035 or equivalent telehealth items. Whilst the </w:t>
      </w:r>
      <w:r w:rsidR="00F205FC" w:rsidRPr="009A50DA">
        <w:rPr>
          <w:sz w:val="22"/>
          <w:szCs w:val="22"/>
          <w:lang w:eastAsia="en-AU"/>
        </w:rPr>
        <w:t>medical practitioner</w:t>
      </w:r>
      <w:r w:rsidRPr="009A50DA">
        <w:rPr>
          <w:sz w:val="22"/>
          <w:szCs w:val="22"/>
          <w:lang w:eastAsia="en-AU"/>
        </w:rPr>
        <w:t xml:space="preserve"> can refer to multiple eligible </w:t>
      </w:r>
      <w:r w:rsidR="00F313ED">
        <w:rPr>
          <w:sz w:val="22"/>
          <w:szCs w:val="22"/>
          <w:lang w:eastAsia="en-AU"/>
        </w:rPr>
        <w:t xml:space="preserve">Allied Health </w:t>
      </w:r>
      <w:r w:rsidRPr="009A50DA">
        <w:rPr>
          <w:sz w:val="22"/>
          <w:szCs w:val="22"/>
          <w:lang w:eastAsia="en-AU"/>
        </w:rPr>
        <w:t xml:space="preserve">practitioners concurrently, a separate referral letter must be provided to each </w:t>
      </w:r>
      <w:r w:rsidR="00F313ED">
        <w:rPr>
          <w:sz w:val="22"/>
          <w:szCs w:val="22"/>
          <w:lang w:eastAsia="en-AU"/>
        </w:rPr>
        <w:t xml:space="preserve">Allied Health </w:t>
      </w:r>
      <w:r w:rsidRPr="009A50DA">
        <w:rPr>
          <w:sz w:val="22"/>
          <w:szCs w:val="22"/>
          <w:lang w:eastAsia="en-AU"/>
        </w:rPr>
        <w:t>practitioner.</w:t>
      </w:r>
    </w:p>
    <w:p w14:paraId="641450B1" w14:textId="01307F53" w:rsidR="00BF134C" w:rsidRPr="009A50DA" w:rsidRDefault="00BF134C" w:rsidP="00BF134C">
      <w:pPr>
        <w:spacing w:before="200" w:after="200"/>
        <w:rPr>
          <w:sz w:val="22"/>
          <w:szCs w:val="22"/>
          <w:lang w:eastAsia="en-AU"/>
        </w:rPr>
      </w:pPr>
      <w:r w:rsidRPr="009A50DA">
        <w:rPr>
          <w:sz w:val="22"/>
          <w:szCs w:val="22"/>
          <w:lang w:eastAsia="en-AU"/>
        </w:rPr>
        <w:t xml:space="preserve">The referral should specify the goals of the treatment and if appropriate, specify the number of services to be provided. It is the responsibility of the referring </w:t>
      </w:r>
      <w:r w:rsidR="00F205FC" w:rsidRPr="009A50DA">
        <w:rPr>
          <w:sz w:val="22"/>
          <w:szCs w:val="22"/>
          <w:lang w:eastAsia="en-AU"/>
        </w:rPr>
        <w:t xml:space="preserve">medical practitioner </w:t>
      </w:r>
      <w:r w:rsidRPr="009A50DA">
        <w:rPr>
          <w:sz w:val="22"/>
          <w:szCs w:val="22"/>
          <w:lang w:eastAsia="en-AU"/>
        </w:rPr>
        <w:t>to allocate the number of treatment services (up to a maximum of 10 services per course of treatment) in keeping with the individual’s treatment and management plan.</w:t>
      </w:r>
    </w:p>
    <w:p w14:paraId="7A688DA9" w14:textId="617B34D9" w:rsidR="00BF134C" w:rsidRPr="009A50DA" w:rsidRDefault="00BF134C" w:rsidP="00BF134C">
      <w:pPr>
        <w:spacing w:before="200" w:after="200"/>
        <w:rPr>
          <w:sz w:val="22"/>
          <w:szCs w:val="22"/>
          <w:lang w:eastAsia="en-AU"/>
        </w:rPr>
      </w:pPr>
      <w:r w:rsidRPr="009A50DA">
        <w:rPr>
          <w:sz w:val="22"/>
          <w:szCs w:val="22"/>
          <w:lang w:eastAsia="en-AU"/>
        </w:rPr>
        <w:t xml:space="preserve">It is important to note, that a benefit will not be paid for the MBS Allied Health Treatment services unless </w:t>
      </w:r>
      <w:r w:rsidR="00F205FC" w:rsidRPr="009A50DA">
        <w:rPr>
          <w:sz w:val="22"/>
          <w:szCs w:val="22"/>
          <w:lang w:eastAsia="en-AU"/>
        </w:rPr>
        <w:t xml:space="preserve">one of </w:t>
      </w:r>
      <w:r w:rsidRPr="009A50DA">
        <w:rPr>
          <w:sz w:val="22"/>
          <w:szCs w:val="22"/>
          <w:lang w:eastAsia="en-AU"/>
        </w:rPr>
        <w:t>the pre-requisite items (</w:t>
      </w:r>
      <w:r w:rsidR="00153E4E" w:rsidRPr="009A50DA">
        <w:rPr>
          <w:sz w:val="22"/>
          <w:szCs w:val="22"/>
          <w:lang w:eastAsia="en-AU"/>
        </w:rPr>
        <w:t>135, 137, 139, 289 or</w:t>
      </w:r>
      <w:r w:rsidR="00B36BD2" w:rsidRPr="009A50DA">
        <w:rPr>
          <w:sz w:val="22"/>
          <w:szCs w:val="22"/>
          <w:lang w:eastAsia="en-AU"/>
        </w:rPr>
        <w:t xml:space="preserve"> telehealth equivalents</w:t>
      </w:r>
      <w:r w:rsidR="00153E4E" w:rsidRPr="009A50DA">
        <w:rPr>
          <w:sz w:val="22"/>
          <w:szCs w:val="22"/>
          <w:lang w:eastAsia="en-AU"/>
        </w:rPr>
        <w:t xml:space="preserve"> </w:t>
      </w:r>
      <w:r w:rsidR="00153E4E" w:rsidRPr="009A50DA">
        <w:rPr>
          <w:sz w:val="22"/>
          <w:szCs w:val="22"/>
        </w:rPr>
        <w:t>92140, 92141, 92142 or 92434</w:t>
      </w:r>
      <w:r w:rsidRPr="009A50DA">
        <w:rPr>
          <w:sz w:val="22"/>
          <w:szCs w:val="22"/>
          <w:lang w:eastAsia="en-AU"/>
        </w:rPr>
        <w:t>) have been processed through the Medicare claiming system.</w:t>
      </w:r>
    </w:p>
    <w:p w14:paraId="44E07CDC" w14:textId="2B3D0540" w:rsidR="00254596" w:rsidRPr="009A50DA" w:rsidRDefault="00BF134C">
      <w:pPr>
        <w:keepNext/>
        <w:spacing w:before="240" w:after="60" w:line="240" w:lineRule="auto"/>
        <w:outlineLvl w:val="1"/>
        <w:rPr>
          <w:rFonts w:eastAsia="Times New Roman" w:cs="Arial"/>
          <w:b/>
          <w:bCs/>
          <w:iCs/>
          <w:color w:val="358189"/>
          <w:sz w:val="22"/>
          <w:szCs w:val="22"/>
        </w:rPr>
      </w:pPr>
      <w:r w:rsidRPr="009A50DA">
        <w:rPr>
          <w:sz w:val="22"/>
          <w:szCs w:val="22"/>
          <w:lang w:eastAsia="en-AU"/>
        </w:rPr>
        <w:t xml:space="preserve">On the completion of a “course of treatment” (specified by the referring psychiatrist, up to maximum of 10 services), the eligible Allied Health practitioner must provide a written report to the referring </w:t>
      </w:r>
      <w:r w:rsidR="00633E24" w:rsidRPr="009A50DA">
        <w:rPr>
          <w:sz w:val="22"/>
          <w:szCs w:val="22"/>
          <w:lang w:eastAsia="en-AU"/>
        </w:rPr>
        <w:t xml:space="preserve">medical practitioner, </w:t>
      </w:r>
      <w:r w:rsidRPr="009A50DA">
        <w:rPr>
          <w:sz w:val="22"/>
          <w:szCs w:val="22"/>
          <w:lang w:eastAsia="en-AU"/>
        </w:rPr>
        <w:t>which should include information on the treatment provided, recommendations for future management of the individual’s disorder and any advice to caregivers (such as parents, carers, teachers). This written report</w:t>
      </w:r>
      <w:r w:rsidR="0061301F">
        <w:rPr>
          <w:sz w:val="22"/>
          <w:szCs w:val="22"/>
          <w:lang w:eastAsia="en-AU"/>
        </w:rPr>
        <w:t xml:space="preserve"> from the Allied Health provider</w:t>
      </w:r>
      <w:r w:rsidRPr="009A50DA">
        <w:rPr>
          <w:sz w:val="22"/>
          <w:szCs w:val="22"/>
          <w:lang w:eastAsia="en-AU"/>
        </w:rPr>
        <w:t xml:space="preserve"> will inform the referring </w:t>
      </w:r>
      <w:r w:rsidR="00F205FC" w:rsidRPr="009A50DA">
        <w:rPr>
          <w:sz w:val="22"/>
          <w:szCs w:val="22"/>
          <w:lang w:eastAsia="en-AU"/>
        </w:rPr>
        <w:t>medical practitioner’s</w:t>
      </w:r>
      <w:r w:rsidRPr="009A50DA">
        <w:rPr>
          <w:sz w:val="22"/>
          <w:szCs w:val="22"/>
          <w:lang w:eastAsia="en-AU"/>
        </w:rPr>
        <w:t xml:space="preserve"> decision to refer for further </w:t>
      </w:r>
      <w:r w:rsidRPr="009A50DA">
        <w:rPr>
          <w:sz w:val="22"/>
          <w:szCs w:val="22"/>
          <w:lang w:eastAsia="en-AU"/>
        </w:rPr>
        <w:lastRenderedPageBreak/>
        <w:t>treatment services. Where subsequent courses of treatment after the initial 10 services are required (up to a maximum of 20 services per patient per lifetime) a new referral is required.</w:t>
      </w:r>
      <w:bookmarkEnd w:id="2"/>
    </w:p>
    <w:p w14:paraId="62E71342" w14:textId="4618EA47" w:rsidR="00F205FC" w:rsidRPr="009A50DA" w:rsidRDefault="00F205FC" w:rsidP="002D6FC2">
      <w:pPr>
        <w:keepNext/>
        <w:spacing w:before="240" w:after="60" w:line="240" w:lineRule="auto"/>
        <w:outlineLvl w:val="1"/>
        <w:rPr>
          <w:rStyle w:val="BookTitle"/>
          <w:rFonts w:ascii="Arial" w:eastAsia="Times New Roman" w:hAnsi="Arial" w:cs="Arial"/>
          <w:i w:val="0"/>
          <w:color w:val="358189"/>
          <w:spacing w:val="0"/>
          <w:sz w:val="32"/>
          <w:szCs w:val="32"/>
        </w:rPr>
      </w:pPr>
      <w:r w:rsidRPr="009A50DA">
        <w:rPr>
          <w:rFonts w:eastAsia="Times New Roman" w:cs="Arial"/>
          <w:b/>
          <w:bCs/>
          <w:iCs/>
          <w:color w:val="358189"/>
          <w:sz w:val="32"/>
          <w:szCs w:val="32"/>
        </w:rPr>
        <w:t>Amended item descriptors (from 1 March 2023)</w:t>
      </w:r>
    </w:p>
    <w:p w14:paraId="0F3C9936" w14:textId="0E475DD3" w:rsidR="00EB520C" w:rsidRPr="00432212" w:rsidRDefault="002160ED" w:rsidP="00EB520C">
      <w:pPr>
        <w:rPr>
          <w:noProof/>
        </w:rPr>
        <w:sectPr w:rsidR="00EB520C" w:rsidRPr="00432212" w:rsidSect="00D66FC1">
          <w:headerReference w:type="default" r:id="rId9"/>
          <w:footerReference w:type="default" r:id="rId10"/>
          <w:headerReference w:type="first" r:id="rId11"/>
          <w:footerReference w:type="first" r:id="rId12"/>
          <w:type w:val="continuous"/>
          <w:pgSz w:w="11906" w:h="16838"/>
          <w:pgMar w:top="1276" w:right="1440" w:bottom="1440" w:left="1440" w:header="1247" w:footer="708" w:gutter="0"/>
          <w:cols w:space="567"/>
          <w:docGrid w:linePitch="360"/>
        </w:sectPr>
      </w:pPr>
      <w:r>
        <w:rPr>
          <w:rStyle w:val="BookTitle"/>
          <w:noProof/>
        </w:rPr>
        <w:pict w14:anchorId="353AF9C2">
          <v:rect id="_x0000_i1028" style="width:0;height:1.5pt" o:hralign="center" o:hrstd="t" o:hr="t" fillcolor="#a0a0a0" stroked="f"/>
        </w:pict>
      </w:r>
    </w:p>
    <w:p w14:paraId="3C712E5E" w14:textId="086D0021" w:rsidR="00EB520C" w:rsidRPr="009A50DA" w:rsidRDefault="00EB520C" w:rsidP="009C68FB">
      <w:pPr>
        <w:pStyle w:val="Heading4"/>
        <w:rPr>
          <w:lang w:eastAsia="en-AU"/>
        </w:rPr>
      </w:pPr>
      <w:r w:rsidRPr="009A50DA">
        <w:rPr>
          <w:lang w:eastAsia="en-AU"/>
        </w:rPr>
        <w:t xml:space="preserve">Amended item </w:t>
      </w:r>
      <w:r w:rsidR="009F0009" w:rsidRPr="009A50DA">
        <w:rPr>
          <w:lang w:eastAsia="en-AU"/>
        </w:rPr>
        <w:t>135</w:t>
      </w:r>
      <w:r w:rsidR="00686E62" w:rsidRPr="009A50DA">
        <w:rPr>
          <w:lang w:eastAsia="en-AU"/>
        </w:rPr>
        <w:t xml:space="preserve"> and telehealth equivalent item 92140</w:t>
      </w:r>
      <w:r w:rsidR="009F0009" w:rsidRPr="009A50DA">
        <w:rPr>
          <w:lang w:eastAsia="en-AU"/>
        </w:rPr>
        <w:t xml:space="preserve"> </w:t>
      </w:r>
      <w:r w:rsidR="00C849AD" w:rsidRPr="009A50DA">
        <w:rPr>
          <w:lang w:eastAsia="en-AU"/>
        </w:rPr>
        <w:t xml:space="preserve">– </w:t>
      </w:r>
      <w:r w:rsidR="006C486F" w:rsidRPr="009A50DA">
        <w:rPr>
          <w:lang w:eastAsia="en-AU"/>
        </w:rPr>
        <w:t xml:space="preserve">Assessment and </w:t>
      </w:r>
      <w:r w:rsidR="008A7259" w:rsidRPr="009A50DA">
        <w:rPr>
          <w:lang w:eastAsia="en-AU"/>
        </w:rPr>
        <w:t>development of a</w:t>
      </w:r>
      <w:r w:rsidR="00C849AD" w:rsidRPr="009A50DA">
        <w:rPr>
          <w:lang w:eastAsia="en-AU"/>
        </w:rPr>
        <w:t xml:space="preserve"> treatment</w:t>
      </w:r>
      <w:r w:rsidR="008A7259" w:rsidRPr="009A50DA">
        <w:rPr>
          <w:lang w:eastAsia="en-AU"/>
        </w:rPr>
        <w:t xml:space="preserve"> and management</w:t>
      </w:r>
      <w:r w:rsidR="00C849AD" w:rsidRPr="009A50DA">
        <w:rPr>
          <w:lang w:eastAsia="en-AU"/>
        </w:rPr>
        <w:t xml:space="preserve"> plan of </w:t>
      </w:r>
      <w:r w:rsidR="006C486F" w:rsidRPr="009A50DA">
        <w:rPr>
          <w:lang w:eastAsia="en-AU"/>
        </w:rPr>
        <w:t xml:space="preserve">a </w:t>
      </w:r>
      <w:r w:rsidR="00052817">
        <w:rPr>
          <w:lang w:eastAsia="en-AU"/>
        </w:rPr>
        <w:t>Complex Neurodevelopmental Disorder</w:t>
      </w:r>
      <w:r w:rsidR="008A7259" w:rsidRPr="009A50DA">
        <w:rPr>
          <w:lang w:eastAsia="en-AU"/>
        </w:rPr>
        <w:t xml:space="preserve"> following a confirmed diagnosis by a consultant paediatrician</w:t>
      </w:r>
    </w:p>
    <w:p w14:paraId="5D0C944E" w14:textId="2419693C" w:rsidR="00EB520C" w:rsidRPr="002D6FC2" w:rsidRDefault="00EB520C" w:rsidP="00F42DDA">
      <w:pPr>
        <w:pStyle w:val="Heading3"/>
        <w:rPr>
          <w:rFonts w:eastAsiaTheme="minorEastAsia"/>
          <w:b w:val="0"/>
          <w:bCs w:val="0"/>
          <w:noProof/>
          <w:color w:val="auto"/>
          <w:sz w:val="22"/>
          <w:szCs w:val="22"/>
        </w:rPr>
      </w:pPr>
      <w:r w:rsidRPr="00F42DDA">
        <w:rPr>
          <w:rStyle w:val="Descriptorheader"/>
          <w:rFonts w:ascii="Arial" w:eastAsiaTheme="minorEastAsia" w:hAnsi="Arial"/>
          <w:b/>
          <w:bCs/>
          <w:color w:val="auto"/>
          <w:szCs w:val="22"/>
        </w:rPr>
        <w:t>Item:</w:t>
      </w:r>
      <w:r w:rsidRPr="002F7CAD">
        <w:rPr>
          <w:noProof/>
          <w:sz w:val="22"/>
          <w:szCs w:val="22"/>
        </w:rPr>
        <w:t xml:space="preserve"> </w:t>
      </w:r>
      <w:r w:rsidR="00EF4D9F" w:rsidRPr="00291E5E">
        <w:rPr>
          <w:rFonts w:eastAsiaTheme="minorEastAsia"/>
          <w:b w:val="0"/>
          <w:bCs w:val="0"/>
          <w:noProof/>
          <w:color w:val="auto"/>
          <w:sz w:val="22"/>
          <w:szCs w:val="22"/>
        </w:rPr>
        <w:t xml:space="preserve">Item 135 </w:t>
      </w:r>
      <w:r w:rsidR="00EC2673">
        <w:rPr>
          <w:rFonts w:eastAsiaTheme="minorEastAsia"/>
          <w:b w:val="0"/>
          <w:bCs w:val="0"/>
          <w:noProof/>
          <w:color w:val="auto"/>
          <w:sz w:val="22"/>
          <w:szCs w:val="22"/>
        </w:rPr>
        <w:t>and telehealth equivalent item 92140 are</w:t>
      </w:r>
      <w:r w:rsidR="00291E5E">
        <w:rPr>
          <w:rFonts w:eastAsiaTheme="minorEastAsia"/>
          <w:b w:val="0"/>
          <w:bCs w:val="0"/>
          <w:noProof/>
          <w:color w:val="auto"/>
          <w:sz w:val="22"/>
          <w:szCs w:val="22"/>
        </w:rPr>
        <w:t xml:space="preserve"> </w:t>
      </w:r>
      <w:r w:rsidR="00EF4D9F" w:rsidRPr="002D6FC2">
        <w:rPr>
          <w:rFonts w:eastAsiaTheme="minorEastAsia"/>
          <w:b w:val="0"/>
          <w:bCs w:val="0"/>
          <w:noProof/>
          <w:color w:val="auto"/>
          <w:sz w:val="22"/>
          <w:szCs w:val="22"/>
        </w:rPr>
        <w:t xml:space="preserve">intended for complex conditions, characterised by multi-domain cognitive and functional impairment. Patient eligibility is for </w:t>
      </w:r>
      <w:r w:rsidR="009F6DE4">
        <w:rPr>
          <w:rFonts w:eastAsiaTheme="minorEastAsia"/>
          <w:b w:val="0"/>
          <w:bCs w:val="0"/>
          <w:noProof/>
          <w:color w:val="auto"/>
          <w:sz w:val="22"/>
          <w:szCs w:val="22"/>
        </w:rPr>
        <w:t>N</w:t>
      </w:r>
      <w:r w:rsidR="00EF4D9F" w:rsidRPr="002D6FC2">
        <w:rPr>
          <w:rFonts w:eastAsiaTheme="minorEastAsia"/>
          <w:b w:val="0"/>
          <w:bCs w:val="0"/>
          <w:noProof/>
          <w:color w:val="auto"/>
          <w:sz w:val="22"/>
          <w:szCs w:val="22"/>
        </w:rPr>
        <w:t xml:space="preserve">eurodevelopmental </w:t>
      </w:r>
      <w:r w:rsidR="009F6DE4">
        <w:rPr>
          <w:rFonts w:eastAsiaTheme="minorEastAsia"/>
          <w:b w:val="0"/>
          <w:bCs w:val="0"/>
          <w:noProof/>
          <w:color w:val="auto"/>
          <w:sz w:val="22"/>
          <w:szCs w:val="22"/>
        </w:rPr>
        <w:t>D</w:t>
      </w:r>
      <w:r w:rsidR="00EF4D9F" w:rsidRPr="002D6FC2">
        <w:rPr>
          <w:rFonts w:eastAsiaTheme="minorEastAsia"/>
          <w:b w:val="0"/>
          <w:bCs w:val="0"/>
          <w:noProof/>
          <w:color w:val="auto"/>
          <w:sz w:val="22"/>
          <w:szCs w:val="22"/>
        </w:rPr>
        <w:t>isorders, which are assessed to be complex and mean that individuals require support across multiple domains</w:t>
      </w:r>
      <w:r w:rsidR="00212DCB">
        <w:rPr>
          <w:rFonts w:eastAsiaTheme="minorEastAsia"/>
          <w:b w:val="0"/>
          <w:bCs w:val="0"/>
          <w:noProof/>
          <w:color w:val="auto"/>
          <w:sz w:val="22"/>
          <w:szCs w:val="22"/>
        </w:rPr>
        <w:t xml:space="preserve">. </w:t>
      </w:r>
    </w:p>
    <w:p w14:paraId="00F5B708" w14:textId="02FF7378" w:rsidR="00F42DDA" w:rsidRPr="002F7CAD" w:rsidRDefault="00EB520C" w:rsidP="00F42DDA">
      <w:pPr>
        <w:rPr>
          <w:rFonts w:cs="Arial"/>
          <w:noProof/>
          <w:sz w:val="22"/>
          <w:szCs w:val="22"/>
        </w:rPr>
      </w:pPr>
      <w:r w:rsidRPr="002F7CAD">
        <w:rPr>
          <w:rStyle w:val="Descriptorheader"/>
          <w:rFonts w:ascii="Arial" w:hAnsi="Arial" w:cs="Arial"/>
          <w:szCs w:val="22"/>
        </w:rPr>
        <w:t>Overview:</w:t>
      </w:r>
      <w:r w:rsidRPr="002F7CAD">
        <w:rPr>
          <w:rFonts w:cs="Arial"/>
          <w:sz w:val="22"/>
          <w:szCs w:val="22"/>
        </w:rPr>
        <w:t xml:space="preserve"> </w:t>
      </w:r>
      <w:r w:rsidR="00F42DDA">
        <w:rPr>
          <w:rFonts w:cs="Arial"/>
          <w:noProof/>
          <w:sz w:val="22"/>
          <w:szCs w:val="22"/>
        </w:rPr>
        <w:t>The amended item provide</w:t>
      </w:r>
      <w:r w:rsidR="00D2743D">
        <w:rPr>
          <w:rFonts w:cs="Arial"/>
          <w:noProof/>
          <w:sz w:val="22"/>
          <w:szCs w:val="22"/>
        </w:rPr>
        <w:t>s</w:t>
      </w:r>
      <w:r w:rsidR="00F42DDA">
        <w:rPr>
          <w:rFonts w:cs="Arial"/>
          <w:noProof/>
          <w:sz w:val="22"/>
          <w:szCs w:val="22"/>
        </w:rPr>
        <w:t xml:space="preserve"> Medicare rebates for </w:t>
      </w:r>
      <w:r w:rsidR="006C486F">
        <w:rPr>
          <w:rFonts w:cs="Arial"/>
          <w:noProof/>
          <w:sz w:val="22"/>
          <w:szCs w:val="22"/>
        </w:rPr>
        <w:t xml:space="preserve">the medical assessment and </w:t>
      </w:r>
      <w:r w:rsidR="008A7259">
        <w:rPr>
          <w:rFonts w:cs="Arial"/>
          <w:noProof/>
          <w:sz w:val="22"/>
          <w:szCs w:val="22"/>
        </w:rPr>
        <w:t>development of a treatment and management plan</w:t>
      </w:r>
      <w:r w:rsidR="00E0778A">
        <w:rPr>
          <w:rFonts w:cs="Arial"/>
          <w:noProof/>
          <w:sz w:val="22"/>
          <w:szCs w:val="22"/>
        </w:rPr>
        <w:t xml:space="preserve">, </w:t>
      </w:r>
      <w:r w:rsidR="00D7705F">
        <w:rPr>
          <w:rFonts w:cs="Arial"/>
          <w:noProof/>
          <w:sz w:val="22"/>
          <w:szCs w:val="22"/>
        </w:rPr>
        <w:t>including</w:t>
      </w:r>
      <w:r w:rsidR="00E0778A">
        <w:rPr>
          <w:rFonts w:cs="Arial"/>
          <w:noProof/>
          <w:sz w:val="22"/>
          <w:szCs w:val="22"/>
        </w:rPr>
        <w:t xml:space="preserve"> the diagnosis </w:t>
      </w:r>
      <w:r w:rsidR="00F42DDA">
        <w:rPr>
          <w:rFonts w:cs="Arial"/>
          <w:noProof/>
          <w:sz w:val="22"/>
          <w:szCs w:val="22"/>
        </w:rPr>
        <w:t xml:space="preserve">of a </w:t>
      </w:r>
      <w:r w:rsidR="00052817">
        <w:rPr>
          <w:rFonts w:cs="Arial"/>
          <w:noProof/>
          <w:sz w:val="22"/>
          <w:szCs w:val="22"/>
        </w:rPr>
        <w:t>Complex Neurodevelopmental Disorder</w:t>
      </w:r>
      <w:r w:rsidR="00E0778A">
        <w:rPr>
          <w:rFonts w:cs="Arial"/>
          <w:noProof/>
          <w:sz w:val="22"/>
          <w:szCs w:val="22"/>
        </w:rPr>
        <w:t>,</w:t>
      </w:r>
      <w:r w:rsidR="00F42DDA">
        <w:rPr>
          <w:rFonts w:cs="Arial"/>
          <w:noProof/>
          <w:sz w:val="22"/>
          <w:szCs w:val="22"/>
        </w:rPr>
        <w:t xml:space="preserve"> for individuals u</w:t>
      </w:r>
      <w:r w:rsidR="00B50C60">
        <w:rPr>
          <w:rFonts w:cs="Arial"/>
          <w:noProof/>
          <w:sz w:val="22"/>
          <w:szCs w:val="22"/>
        </w:rPr>
        <w:t>nder</w:t>
      </w:r>
      <w:r w:rsidR="00F42DDA">
        <w:rPr>
          <w:rFonts w:cs="Arial"/>
          <w:noProof/>
          <w:sz w:val="22"/>
          <w:szCs w:val="22"/>
        </w:rPr>
        <w:t xml:space="preserve"> 25</w:t>
      </w:r>
      <w:r w:rsidR="00B50C60">
        <w:rPr>
          <w:rFonts w:cs="Arial"/>
          <w:noProof/>
          <w:sz w:val="22"/>
          <w:szCs w:val="22"/>
        </w:rPr>
        <w:t xml:space="preserve"> years of age</w:t>
      </w:r>
      <w:r w:rsidR="00F42DDA" w:rsidRPr="002F7CAD">
        <w:rPr>
          <w:rFonts w:cs="Arial"/>
          <w:noProof/>
          <w:sz w:val="22"/>
          <w:szCs w:val="22"/>
        </w:rPr>
        <w:t>.</w:t>
      </w:r>
      <w:r w:rsidR="00686E62">
        <w:rPr>
          <w:rFonts w:cs="Arial"/>
          <w:noProof/>
          <w:sz w:val="22"/>
          <w:szCs w:val="22"/>
        </w:rPr>
        <w:t xml:space="preserve"> </w:t>
      </w:r>
      <w:r w:rsidR="00686E62" w:rsidRPr="00443522">
        <w:rPr>
          <w:sz w:val="22"/>
          <w:szCs w:val="22"/>
        </w:rPr>
        <w:t xml:space="preserve">The assessment and diagnosis of a </w:t>
      </w:r>
      <w:r w:rsidR="00052817">
        <w:rPr>
          <w:sz w:val="22"/>
          <w:szCs w:val="22"/>
        </w:rPr>
        <w:t>Complex Neurodevelopmental Disorder</w:t>
      </w:r>
      <w:r w:rsidR="00686E62" w:rsidRPr="00443522">
        <w:rPr>
          <w:sz w:val="22"/>
          <w:szCs w:val="22"/>
        </w:rPr>
        <w:t xml:space="preserve"> should be evaluated in the context of both a physical and developmental assessment. The paediatrician may require a number of separate attendances (through usual time-tiered or subsequent attendance items 110, 116, 119, 122, 128, 131 or telehealth equivalent items 91824, 91825, 91826 or 91836) to complete a comprehensive assessment and formulate a </w:t>
      </w:r>
      <w:r w:rsidR="00686E62" w:rsidRPr="00443522">
        <w:rPr>
          <w:rFonts w:cs="Arial"/>
          <w:sz w:val="22"/>
          <w:szCs w:val="22"/>
        </w:rPr>
        <w:t>diagnosis, exclude other disorders or assess for co-occurring conditions</w:t>
      </w:r>
    </w:p>
    <w:p w14:paraId="0536C176" w14:textId="77777777" w:rsidR="00F402E1" w:rsidRPr="009A50DA" w:rsidRDefault="00EB520C" w:rsidP="00F402E1">
      <w:pPr>
        <w:shd w:val="clear" w:color="auto" w:fill="FFFFFF"/>
        <w:rPr>
          <w:rFonts w:cs="Arial"/>
          <w:color w:val="000000"/>
          <w:sz w:val="22"/>
          <w:szCs w:val="22"/>
        </w:rPr>
      </w:pPr>
      <w:r w:rsidRPr="002747FC">
        <w:rPr>
          <w:rStyle w:val="Descriptorheader"/>
          <w:rFonts w:ascii="Arial" w:hAnsi="Arial" w:cs="Arial"/>
          <w:szCs w:val="22"/>
        </w:rPr>
        <w:t>Service/Descriptor:</w:t>
      </w:r>
      <w:r w:rsidR="00686E62" w:rsidRPr="009A50DA">
        <w:rPr>
          <w:rFonts w:cs="Arial"/>
          <w:sz w:val="22"/>
          <w:szCs w:val="22"/>
        </w:rPr>
        <w:t xml:space="preserve"> </w:t>
      </w:r>
    </w:p>
    <w:p w14:paraId="0C6680E6" w14:textId="77777777" w:rsidR="00F402E1" w:rsidRPr="009A50DA" w:rsidRDefault="00F402E1" w:rsidP="00F402E1">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t>Professional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536BB572" w14:textId="1CFD66B6" w:rsidR="00F402E1" w:rsidRPr="009A50DA"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 xml:space="preserve">(a) undertakes, or has previously undertaken in prior attendances, a comprehensive assessment in relation to which a diagnosis of a </w:t>
      </w:r>
      <w:r w:rsidR="00052817">
        <w:rPr>
          <w:rFonts w:ascii="Arial" w:hAnsi="Arial" w:cs="Arial"/>
          <w:color w:val="000000"/>
          <w:sz w:val="22"/>
          <w:szCs w:val="22"/>
        </w:rPr>
        <w:t>Complex Neurodevelopmental Disorder</w:t>
      </w:r>
      <w:r w:rsidRPr="009A50DA">
        <w:rPr>
          <w:rFonts w:ascii="Arial" w:hAnsi="Arial" w:cs="Arial"/>
          <w:color w:val="000000"/>
          <w:sz w:val="22"/>
          <w:szCs w:val="22"/>
        </w:rPr>
        <w:t xml:space="preserve"> (such as autism spectrum disorder) is made (if appropriate, using information provided by an eligible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 and</w:t>
      </w:r>
    </w:p>
    <w:p w14:paraId="661CB19A" w14:textId="77777777" w:rsidR="00F402E1" w:rsidRPr="009A50DA"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(b) develops a treatment and management plan, which must include:</w:t>
      </w:r>
    </w:p>
    <w:p w14:paraId="75D63CF4" w14:textId="77777777"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 documentation of the confirmed diagnosis; and</w:t>
      </w:r>
    </w:p>
    <w:p w14:paraId="36ED5EF1" w14:textId="77777777"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 findings of any assessments performed for the purposes of formulation of the diagnosis or contribution to the treatment and management plan; and</w:t>
      </w:r>
    </w:p>
    <w:p w14:paraId="4B601898" w14:textId="77777777"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(iii) a risk assessment; and</w:t>
      </w:r>
    </w:p>
    <w:p w14:paraId="409C5F47" w14:textId="77777777"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(iv) treatment options (which may include biopsychosocial recommendations); and</w:t>
      </w:r>
    </w:p>
    <w:p w14:paraId="49FFFB63" w14:textId="77777777" w:rsidR="00F402E1" w:rsidRPr="009A50DA"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(c) provides a copy of the treatment and management plan to:</w:t>
      </w:r>
    </w:p>
    <w:p w14:paraId="7C5BE193" w14:textId="77777777"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 the referring practitioner; and</w:t>
      </w:r>
    </w:p>
    <w:p w14:paraId="6BE9B1B8" w14:textId="34069906" w:rsidR="00F402E1" w:rsidRPr="009A50DA"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 xml:space="preserve">(ii) one or more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providers, if appropriate, for the treatment of the patient;</w:t>
      </w:r>
    </w:p>
    <w:p w14:paraId="7F53E0A4" w14:textId="77777777" w:rsidR="00F402E1" w:rsidRPr="009A50DA" w:rsidRDefault="00F402E1" w:rsidP="00F402E1">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lastRenderedPageBreak/>
        <w:t>(other than attendance on a patient for whom payment has previously been made under this item or item 137, 139, 289, 92140, 92141, 92142 or 92434)</w:t>
      </w:r>
    </w:p>
    <w:p w14:paraId="4FDDFD12" w14:textId="77777777" w:rsidR="00F402E1" w:rsidRPr="009A50DA" w:rsidRDefault="00F402E1" w:rsidP="00F402E1">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t>Applicable only once per lifetime</w:t>
      </w:r>
    </w:p>
    <w:p w14:paraId="00227911" w14:textId="77777777" w:rsidR="00F402E1" w:rsidRPr="009A50DA" w:rsidRDefault="00F402E1" w:rsidP="00F402E1">
      <w:pPr>
        <w:shd w:val="clear" w:color="auto" w:fill="FFFFFF"/>
        <w:rPr>
          <w:rFonts w:cs="Arial"/>
          <w:color w:val="000000"/>
          <w:sz w:val="22"/>
          <w:szCs w:val="22"/>
        </w:rPr>
      </w:pPr>
      <w:r w:rsidRPr="009A50DA">
        <w:rPr>
          <w:rFonts w:cs="Arial"/>
          <w:color w:val="000000"/>
          <w:sz w:val="22"/>
          <w:szCs w:val="22"/>
        </w:rPr>
        <w:t> </w:t>
      </w:r>
    </w:p>
    <w:p w14:paraId="2A4731B1" w14:textId="6408EA9F" w:rsidR="00EB520C" w:rsidRPr="009A50DA" w:rsidRDefault="00EB520C" w:rsidP="00EB520C">
      <w:pPr>
        <w:rPr>
          <w:rFonts w:cs="Arial"/>
          <w:sz w:val="22"/>
          <w:szCs w:val="22"/>
        </w:rPr>
      </w:pPr>
      <w:r w:rsidRPr="002747FC">
        <w:rPr>
          <w:rStyle w:val="Descriptorheader"/>
          <w:rFonts w:ascii="Arial" w:hAnsi="Arial" w:cs="Arial"/>
          <w:szCs w:val="22"/>
        </w:rPr>
        <w:t>Indication:</w:t>
      </w:r>
      <w:r w:rsidRPr="002747FC">
        <w:rPr>
          <w:rFonts w:cs="Arial"/>
          <w:sz w:val="22"/>
          <w:szCs w:val="22"/>
        </w:rPr>
        <w:t xml:space="preserve"> </w:t>
      </w:r>
      <w:r w:rsidR="00D2743D" w:rsidRPr="002747FC">
        <w:rPr>
          <w:rFonts w:cs="Arial"/>
          <w:sz w:val="22"/>
          <w:szCs w:val="22"/>
        </w:rPr>
        <w:t xml:space="preserve">Patient eligibility is based on functional impairment and complexity rather than diagnosis alone. The development of the treatment and management plan, follows a comprehensive medical assessment and </w:t>
      </w:r>
      <w:r w:rsidR="008A7259" w:rsidRPr="009A50DA">
        <w:rPr>
          <w:rFonts w:cs="Arial"/>
          <w:sz w:val="22"/>
          <w:szCs w:val="22"/>
        </w:rPr>
        <w:t xml:space="preserve">once item 135 </w:t>
      </w:r>
      <w:r w:rsidR="00E0778A" w:rsidRPr="009A50DA">
        <w:rPr>
          <w:rFonts w:cs="Arial"/>
          <w:sz w:val="22"/>
          <w:szCs w:val="22"/>
        </w:rPr>
        <w:t xml:space="preserve">is </w:t>
      </w:r>
      <w:r w:rsidR="00F44310">
        <w:rPr>
          <w:rFonts w:cs="Arial"/>
          <w:sz w:val="22"/>
          <w:szCs w:val="22"/>
        </w:rPr>
        <w:t>claimed</w:t>
      </w:r>
      <w:r w:rsidR="00E0778A" w:rsidRPr="009A50DA">
        <w:rPr>
          <w:rFonts w:cs="Arial"/>
          <w:sz w:val="22"/>
          <w:szCs w:val="22"/>
        </w:rPr>
        <w:t xml:space="preserve">, </w:t>
      </w:r>
      <w:r w:rsidR="00D2743D" w:rsidRPr="009A50DA">
        <w:rPr>
          <w:rFonts w:cs="Arial"/>
          <w:sz w:val="22"/>
          <w:szCs w:val="22"/>
        </w:rPr>
        <w:t xml:space="preserve">provides the opportunity to refer to Allied Health practitioners for up to 20 MBS Allied health treatment services. </w:t>
      </w:r>
    </w:p>
    <w:p w14:paraId="4EF31061" w14:textId="0323767F" w:rsidR="00E0778A" w:rsidRPr="009A50DA" w:rsidRDefault="00E0778A" w:rsidP="00AB2E31">
      <w:pPr>
        <w:rPr>
          <w:rFonts w:cs="Arial"/>
          <w:sz w:val="22"/>
          <w:szCs w:val="22"/>
        </w:rPr>
      </w:pPr>
      <w:r w:rsidRPr="009A50DA">
        <w:rPr>
          <w:rFonts w:cs="Arial"/>
          <w:sz w:val="22"/>
          <w:szCs w:val="22"/>
        </w:rPr>
        <w:t xml:space="preserve">The diagnosis of a </w:t>
      </w:r>
      <w:r w:rsidR="00052817">
        <w:rPr>
          <w:rFonts w:cs="Arial"/>
          <w:sz w:val="22"/>
          <w:szCs w:val="22"/>
        </w:rPr>
        <w:t>Complex Neurodevelopmental Disorder</w:t>
      </w:r>
      <w:r w:rsidRPr="009A50DA">
        <w:rPr>
          <w:rFonts w:cs="Arial"/>
          <w:sz w:val="22"/>
          <w:szCs w:val="22"/>
        </w:rPr>
        <w:t xml:space="preserve"> requires evidence of requiring support and showing impairment across two or more neurodevelopmental domains. Complexity is characterised by multi-domain cognitive and functional disabilities, delay or clinically significant impairment. Neurodevelopmental domains include:</w:t>
      </w:r>
    </w:p>
    <w:p w14:paraId="5DC84236" w14:textId="77777777" w:rsidR="00E0778A" w:rsidRPr="009A50DA" w:rsidRDefault="00E0778A" w:rsidP="002D6FC2">
      <w:pPr>
        <w:pStyle w:val="ListNumber2"/>
        <w:rPr>
          <w:rFonts w:cs="Arial"/>
          <w:sz w:val="22"/>
          <w:szCs w:val="22"/>
        </w:rPr>
      </w:pPr>
      <w:r w:rsidRPr="009A50DA">
        <w:rPr>
          <w:rFonts w:cs="Arial"/>
          <w:sz w:val="22"/>
          <w:szCs w:val="22"/>
        </w:rPr>
        <w:t>Cognition</w:t>
      </w:r>
    </w:p>
    <w:p w14:paraId="66A0FDD0" w14:textId="77777777" w:rsidR="00E0778A" w:rsidRPr="009A50DA" w:rsidRDefault="00E0778A" w:rsidP="002D6FC2">
      <w:pPr>
        <w:pStyle w:val="ListNumber2"/>
        <w:rPr>
          <w:rFonts w:cs="Arial"/>
          <w:sz w:val="22"/>
          <w:szCs w:val="22"/>
        </w:rPr>
      </w:pPr>
      <w:r w:rsidRPr="009A50DA">
        <w:rPr>
          <w:rFonts w:cs="Arial"/>
          <w:sz w:val="22"/>
          <w:szCs w:val="22"/>
        </w:rPr>
        <w:t>Language</w:t>
      </w:r>
    </w:p>
    <w:p w14:paraId="4935F97E" w14:textId="77777777" w:rsidR="00E0778A" w:rsidRPr="009A50DA" w:rsidRDefault="00E0778A" w:rsidP="002D6FC2">
      <w:pPr>
        <w:pStyle w:val="ListNumber2"/>
        <w:rPr>
          <w:rFonts w:cs="Arial"/>
          <w:sz w:val="22"/>
          <w:szCs w:val="22"/>
        </w:rPr>
      </w:pPr>
      <w:r w:rsidRPr="009A50DA">
        <w:rPr>
          <w:rFonts w:cs="Arial"/>
          <w:sz w:val="22"/>
          <w:szCs w:val="22"/>
        </w:rPr>
        <w:t>Social-emotional development</w:t>
      </w:r>
    </w:p>
    <w:p w14:paraId="36B123F3" w14:textId="77777777" w:rsidR="00E0778A" w:rsidRPr="009A50DA" w:rsidRDefault="00E0778A" w:rsidP="002D6FC2">
      <w:pPr>
        <w:pStyle w:val="ListNumber2"/>
        <w:rPr>
          <w:rFonts w:cs="Arial"/>
          <w:sz w:val="22"/>
          <w:szCs w:val="22"/>
        </w:rPr>
      </w:pPr>
      <w:r w:rsidRPr="009A50DA">
        <w:rPr>
          <w:rFonts w:cs="Arial"/>
          <w:sz w:val="22"/>
          <w:szCs w:val="22"/>
        </w:rPr>
        <w:t>Motor skills</w:t>
      </w:r>
    </w:p>
    <w:p w14:paraId="059559DC" w14:textId="4A94DE78" w:rsidR="00E0778A" w:rsidRPr="009A50DA" w:rsidRDefault="00E0778A" w:rsidP="00E0778A">
      <w:pPr>
        <w:pStyle w:val="ListNumber2"/>
        <w:rPr>
          <w:rFonts w:cs="Arial"/>
          <w:sz w:val="22"/>
          <w:szCs w:val="22"/>
        </w:rPr>
      </w:pPr>
      <w:r w:rsidRPr="009A50DA">
        <w:rPr>
          <w:rFonts w:cs="Arial"/>
          <w:sz w:val="22"/>
          <w:szCs w:val="22"/>
        </w:rPr>
        <w:t>Adaptive behaviour:  conceptual skills, practical skills, social skills or social communication skills</w:t>
      </w:r>
    </w:p>
    <w:p w14:paraId="4C277BBB" w14:textId="7C293984" w:rsidR="00A51163" w:rsidRPr="009A50DA" w:rsidRDefault="00A51163" w:rsidP="003C14B1">
      <w:pPr>
        <w:rPr>
          <w:rFonts w:cs="Arial"/>
          <w:sz w:val="22"/>
          <w:szCs w:val="22"/>
        </w:rPr>
      </w:pPr>
      <w:r w:rsidRPr="009A50DA">
        <w:rPr>
          <w:rFonts w:cs="Arial"/>
          <w:sz w:val="22"/>
          <w:szCs w:val="22"/>
        </w:rPr>
        <w:t xml:space="preserve">Whilst it is not expected that a paediatrician would routinely assess adult individuals (item 289 provides for assessments undertaken by a psychiatrist for patients aged over 18 years to under 25 years), item 135 provides an age ceiling which is consistent across all MBS items related to </w:t>
      </w:r>
      <w:r w:rsidR="00B93B33" w:rsidRPr="009A50DA">
        <w:rPr>
          <w:rFonts w:cs="Arial"/>
          <w:sz w:val="22"/>
          <w:szCs w:val="22"/>
        </w:rPr>
        <w:t>C</w:t>
      </w:r>
      <w:r w:rsidRPr="009A50DA">
        <w:rPr>
          <w:rFonts w:cs="Arial"/>
          <w:sz w:val="22"/>
          <w:szCs w:val="22"/>
        </w:rPr>
        <w:t xml:space="preserve">omplex </w:t>
      </w:r>
      <w:r w:rsidR="00B93B33" w:rsidRPr="009A50DA">
        <w:rPr>
          <w:rFonts w:cs="Arial"/>
          <w:sz w:val="22"/>
          <w:szCs w:val="22"/>
        </w:rPr>
        <w:t>N</w:t>
      </w:r>
      <w:r w:rsidRPr="009A50DA">
        <w:rPr>
          <w:rFonts w:cs="Arial"/>
          <w:sz w:val="22"/>
          <w:szCs w:val="22"/>
        </w:rPr>
        <w:t xml:space="preserve">eurodevelopmental </w:t>
      </w:r>
      <w:r w:rsidR="00B93B33" w:rsidRPr="009A50DA">
        <w:rPr>
          <w:rFonts w:cs="Arial"/>
          <w:sz w:val="22"/>
          <w:szCs w:val="22"/>
        </w:rPr>
        <w:t>D</w:t>
      </w:r>
      <w:r w:rsidRPr="009A50DA">
        <w:rPr>
          <w:rFonts w:cs="Arial"/>
          <w:sz w:val="22"/>
          <w:szCs w:val="22"/>
        </w:rPr>
        <w:t xml:space="preserve">isorders and related </w:t>
      </w:r>
      <w:r w:rsidR="00F313ED">
        <w:rPr>
          <w:rFonts w:cs="Arial"/>
          <w:sz w:val="22"/>
          <w:szCs w:val="22"/>
        </w:rPr>
        <w:t xml:space="preserve">Allied Health </w:t>
      </w:r>
      <w:r w:rsidRPr="009A50DA">
        <w:rPr>
          <w:rFonts w:cs="Arial"/>
          <w:sz w:val="22"/>
          <w:szCs w:val="22"/>
        </w:rPr>
        <w:t>services. Where a paediatrician has been referred a patient (under 18 years of age) and the diagnostic formulation is not completed until after their 18th birthday, the higher age limit will allow the completion of the assessment by the paediatrician (as clinically appropriate).</w:t>
      </w:r>
    </w:p>
    <w:p w14:paraId="1CA7BE4F" w14:textId="29F0DD59" w:rsidR="00EB520C" w:rsidRPr="009A50DA" w:rsidRDefault="00EB520C" w:rsidP="00EB520C">
      <w:pPr>
        <w:rPr>
          <w:rFonts w:cs="Arial"/>
          <w:noProof/>
          <w:sz w:val="22"/>
          <w:szCs w:val="22"/>
        </w:rPr>
      </w:pPr>
      <w:r w:rsidRPr="009A50DA">
        <w:rPr>
          <w:rStyle w:val="Descriptorheader"/>
          <w:rFonts w:ascii="Arial" w:hAnsi="Arial" w:cs="Arial"/>
          <w:szCs w:val="22"/>
        </w:rPr>
        <w:t>Billing requirement:</w:t>
      </w:r>
      <w:r w:rsidRPr="009A50DA">
        <w:rPr>
          <w:rFonts w:cs="Arial"/>
          <w:noProof/>
          <w:sz w:val="22"/>
          <w:szCs w:val="22"/>
        </w:rPr>
        <w:t xml:space="preserve"> </w:t>
      </w:r>
      <w:r w:rsidR="00E0778A" w:rsidRPr="009A50DA">
        <w:rPr>
          <w:rFonts w:cs="Arial"/>
          <w:noProof/>
          <w:sz w:val="22"/>
          <w:szCs w:val="22"/>
        </w:rPr>
        <w:t>This item is claimable once in a</w:t>
      </w:r>
      <w:r w:rsidR="00A51163" w:rsidRPr="009A50DA">
        <w:rPr>
          <w:rFonts w:cs="Arial"/>
          <w:noProof/>
          <w:sz w:val="22"/>
          <w:szCs w:val="22"/>
        </w:rPr>
        <w:t>n individual’s</w:t>
      </w:r>
      <w:r w:rsidR="00E0778A" w:rsidRPr="009A50DA">
        <w:rPr>
          <w:rFonts w:cs="Arial"/>
          <w:noProof/>
          <w:sz w:val="22"/>
          <w:szCs w:val="22"/>
        </w:rPr>
        <w:t xml:space="preserve"> lifetime. </w:t>
      </w:r>
    </w:p>
    <w:p w14:paraId="6A3CA980" w14:textId="3C9A5352" w:rsidR="00EB520C" w:rsidRPr="002747FC" w:rsidRDefault="00EB520C" w:rsidP="00EB520C">
      <w:pPr>
        <w:rPr>
          <w:rFonts w:cs="Arial"/>
          <w:noProof/>
          <w:sz w:val="22"/>
          <w:szCs w:val="22"/>
        </w:rPr>
      </w:pPr>
      <w:r w:rsidRPr="009A50DA">
        <w:rPr>
          <w:rStyle w:val="Descriptorheader"/>
          <w:rFonts w:ascii="Arial" w:hAnsi="Arial" w:cs="Arial"/>
          <w:szCs w:val="22"/>
        </w:rPr>
        <w:t>MBS fee:</w:t>
      </w:r>
      <w:r w:rsidRPr="009A50DA">
        <w:rPr>
          <w:rFonts w:cs="Arial"/>
          <w:noProof/>
          <w:sz w:val="22"/>
          <w:szCs w:val="22"/>
        </w:rPr>
        <w:t xml:space="preserve"> </w:t>
      </w:r>
      <w:r w:rsidR="00062A4F" w:rsidRPr="009C68FB">
        <w:rPr>
          <w:rFonts w:cs="Arial"/>
          <w:sz w:val="22"/>
          <w:szCs w:val="22"/>
        </w:rPr>
        <w:t>$283.20</w:t>
      </w:r>
      <w:r w:rsidR="00C207DA" w:rsidRPr="009C68FB">
        <w:rPr>
          <w:rFonts w:cs="Arial"/>
          <w:sz w:val="22"/>
          <w:szCs w:val="22"/>
        </w:rPr>
        <w:t xml:space="preserve"> (No change)</w:t>
      </w:r>
      <w:r w:rsidRPr="002747FC">
        <w:rPr>
          <w:rFonts w:cs="Arial"/>
          <w:noProof/>
          <w:sz w:val="22"/>
          <w:szCs w:val="22"/>
        </w:rPr>
        <w:t xml:space="preserve">. </w:t>
      </w:r>
    </w:p>
    <w:p w14:paraId="41E757DC" w14:textId="714FC29D" w:rsidR="00C207DA" w:rsidRPr="009C68FB" w:rsidRDefault="00EB520C" w:rsidP="00EB520C">
      <w:pPr>
        <w:rPr>
          <w:rFonts w:cs="Arial"/>
          <w:sz w:val="22"/>
          <w:szCs w:val="22"/>
        </w:rPr>
      </w:pPr>
      <w:r w:rsidRPr="002747FC">
        <w:rPr>
          <w:rStyle w:val="Descriptorheader"/>
          <w:rFonts w:ascii="Arial" w:hAnsi="Arial" w:cs="Arial"/>
          <w:szCs w:val="22"/>
        </w:rPr>
        <w:t>Benefit:</w:t>
      </w:r>
      <w:r w:rsidRPr="009A50DA">
        <w:rPr>
          <w:rFonts w:cs="Arial"/>
          <w:noProof/>
          <w:sz w:val="22"/>
          <w:szCs w:val="22"/>
        </w:rPr>
        <w:t xml:space="preserve"> </w:t>
      </w:r>
      <w:r w:rsidR="00C207DA" w:rsidRPr="009C68FB">
        <w:rPr>
          <w:rFonts w:cs="Arial"/>
          <w:sz w:val="22"/>
          <w:szCs w:val="22"/>
        </w:rPr>
        <w:t>75% = $212.40  85% = $240.75</w:t>
      </w:r>
    </w:p>
    <w:p w14:paraId="1D919C75" w14:textId="36078743" w:rsidR="00C92130" w:rsidRPr="009A50DA" w:rsidRDefault="00C92130" w:rsidP="00EB520C">
      <w:pPr>
        <w:rPr>
          <w:rStyle w:val="Descriptorheader"/>
          <w:rFonts w:ascii="Arial" w:hAnsi="Arial" w:cs="Arial"/>
          <w:b w:val="0"/>
          <w:bCs w:val="0"/>
          <w:szCs w:val="22"/>
        </w:rPr>
      </w:pPr>
      <w:r w:rsidRPr="002747FC">
        <w:rPr>
          <w:rStyle w:val="Descriptorheader"/>
          <w:rFonts w:ascii="Arial" w:hAnsi="Arial" w:cs="Arial"/>
          <w:szCs w:val="22"/>
        </w:rPr>
        <w:t>Private Health Insurance clinical category:</w:t>
      </w:r>
      <w:r w:rsidR="00681651" w:rsidRPr="002747FC">
        <w:rPr>
          <w:rStyle w:val="Descriptorheader"/>
          <w:rFonts w:ascii="Arial" w:hAnsi="Arial" w:cs="Arial"/>
          <w:szCs w:val="22"/>
        </w:rPr>
        <w:t xml:space="preserve"> </w:t>
      </w:r>
      <w:r w:rsidR="00033305" w:rsidRPr="002747FC">
        <w:rPr>
          <w:rStyle w:val="Descriptorheader"/>
          <w:rFonts w:ascii="Arial" w:hAnsi="Arial" w:cs="Arial"/>
          <w:szCs w:val="22"/>
        </w:rPr>
        <w:t>Common list</w:t>
      </w:r>
    </w:p>
    <w:p w14:paraId="68335175" w14:textId="0581F687" w:rsidR="00C92130" w:rsidRPr="002747FC" w:rsidRDefault="00C92130" w:rsidP="00EB520C">
      <w:pPr>
        <w:rPr>
          <w:rStyle w:val="Descriptorheader"/>
          <w:rFonts w:ascii="Arial" w:hAnsi="Arial" w:cs="Arial"/>
          <w:szCs w:val="22"/>
        </w:rPr>
      </w:pPr>
      <w:r w:rsidRPr="002747FC">
        <w:rPr>
          <w:rStyle w:val="Descriptorheader"/>
          <w:rFonts w:ascii="Arial" w:hAnsi="Arial" w:cs="Arial"/>
          <w:szCs w:val="22"/>
        </w:rPr>
        <w:t xml:space="preserve">Private Health Insurance procedure type: </w:t>
      </w:r>
      <w:r w:rsidR="00033305" w:rsidRPr="002747FC">
        <w:rPr>
          <w:rStyle w:val="Descriptorheader"/>
          <w:rFonts w:ascii="Arial" w:hAnsi="Arial" w:cs="Arial"/>
          <w:szCs w:val="22"/>
        </w:rPr>
        <w:t>Type C</w:t>
      </w:r>
    </w:p>
    <w:p w14:paraId="14EAE045" w14:textId="5A1DF0D0" w:rsidR="00F722E9" w:rsidRPr="009C68FB" w:rsidRDefault="00F722E9" w:rsidP="009C68FB">
      <w:pPr>
        <w:pStyle w:val="Heading4"/>
        <w:rPr>
          <w:lang w:eastAsia="en-AU"/>
        </w:rPr>
      </w:pPr>
      <w:r w:rsidRPr="009C68FB">
        <w:rPr>
          <w:lang w:eastAsia="en-AU"/>
        </w:rPr>
        <w:t xml:space="preserve">Amended item 289 </w:t>
      </w:r>
      <w:r w:rsidR="00686E62" w:rsidRPr="009C68FB">
        <w:rPr>
          <w:lang w:eastAsia="en-AU"/>
        </w:rPr>
        <w:t>and telehealth equivalent item 92434</w:t>
      </w:r>
      <w:r w:rsidRPr="009C68FB">
        <w:rPr>
          <w:lang w:eastAsia="en-AU"/>
        </w:rPr>
        <w:t>–</w:t>
      </w:r>
      <w:r w:rsidR="006C486F" w:rsidRPr="009C68FB">
        <w:rPr>
          <w:lang w:eastAsia="en-AU"/>
        </w:rPr>
        <w:t>Assessment and</w:t>
      </w:r>
      <w:r w:rsidRPr="009C68FB">
        <w:rPr>
          <w:lang w:eastAsia="en-AU"/>
        </w:rPr>
        <w:t xml:space="preserve"> </w:t>
      </w:r>
      <w:r w:rsidR="008A7259" w:rsidRPr="009C68FB">
        <w:rPr>
          <w:lang w:eastAsia="en-AU"/>
        </w:rPr>
        <w:t>development of a treatment and management plan of</w:t>
      </w:r>
      <w:r w:rsidR="006C486F" w:rsidRPr="009C68FB">
        <w:rPr>
          <w:lang w:eastAsia="en-AU"/>
        </w:rPr>
        <w:t xml:space="preserve"> a </w:t>
      </w:r>
      <w:r w:rsidR="00052817">
        <w:rPr>
          <w:lang w:eastAsia="en-AU"/>
        </w:rPr>
        <w:t>Complex Neurodevelopmental Disorder</w:t>
      </w:r>
      <w:r w:rsidR="008A7259" w:rsidRPr="009C68FB">
        <w:rPr>
          <w:lang w:eastAsia="en-AU"/>
        </w:rPr>
        <w:t xml:space="preserve"> following a confirmed diagnosis by a consultant psychiatrist</w:t>
      </w:r>
    </w:p>
    <w:p w14:paraId="11AA75DC" w14:textId="6AACADC0" w:rsidR="00F722E9" w:rsidRPr="002747FC" w:rsidRDefault="00F722E9" w:rsidP="00F722E9">
      <w:pPr>
        <w:rPr>
          <w:rFonts w:cs="Arial"/>
          <w:noProof/>
          <w:sz w:val="22"/>
          <w:szCs w:val="22"/>
        </w:rPr>
      </w:pPr>
      <w:r w:rsidRPr="002747FC">
        <w:rPr>
          <w:rStyle w:val="Descriptorheader"/>
          <w:rFonts w:ascii="Arial" w:hAnsi="Arial" w:cs="Arial"/>
          <w:szCs w:val="22"/>
        </w:rPr>
        <w:t>Item:</w:t>
      </w:r>
      <w:r w:rsidR="00291E5E" w:rsidRPr="009A50DA">
        <w:rPr>
          <w:rFonts w:cs="Arial"/>
          <w:noProof/>
          <w:sz w:val="22"/>
          <w:szCs w:val="22"/>
        </w:rPr>
        <w:t xml:space="preserve"> Item </w:t>
      </w:r>
      <w:r w:rsidR="006C486F" w:rsidRPr="009A50DA">
        <w:rPr>
          <w:rFonts w:cs="Arial"/>
          <w:noProof/>
          <w:sz w:val="22"/>
          <w:szCs w:val="22"/>
        </w:rPr>
        <w:t>289</w:t>
      </w:r>
      <w:r w:rsidR="00291E5E" w:rsidRPr="009A50DA">
        <w:rPr>
          <w:rFonts w:cs="Arial"/>
          <w:noProof/>
          <w:sz w:val="22"/>
          <w:szCs w:val="22"/>
        </w:rPr>
        <w:t xml:space="preserve"> </w:t>
      </w:r>
      <w:r w:rsidR="00EC2673" w:rsidRPr="009A50DA">
        <w:rPr>
          <w:rFonts w:cs="Arial"/>
          <w:noProof/>
          <w:sz w:val="22"/>
          <w:szCs w:val="22"/>
        </w:rPr>
        <w:t>and telehealth equivalent item 92434</w:t>
      </w:r>
      <w:r w:rsidR="00EC2673" w:rsidRPr="009C68FB">
        <w:rPr>
          <w:rFonts w:cs="Arial"/>
          <w:noProof/>
          <w:sz w:val="22"/>
          <w:szCs w:val="22"/>
        </w:rPr>
        <w:t xml:space="preserve"> are</w:t>
      </w:r>
      <w:r w:rsidR="00291E5E" w:rsidRPr="009C68FB">
        <w:rPr>
          <w:rFonts w:cs="Arial"/>
          <w:noProof/>
          <w:sz w:val="22"/>
          <w:szCs w:val="22"/>
        </w:rPr>
        <w:t xml:space="preserve"> intended for complex conditions, characterised by multi-domain cognitive and functional impairment. Patient eligibility is for neurodevelopmental disorders, which are assessed to be complex and mean that individuals require support across multiple domains</w:t>
      </w:r>
      <w:r w:rsidR="00291E5E" w:rsidRPr="009C68FB" w:rsidDel="00291E5E">
        <w:rPr>
          <w:rFonts w:cs="Arial"/>
          <w:noProof/>
          <w:sz w:val="22"/>
          <w:szCs w:val="22"/>
        </w:rPr>
        <w:t xml:space="preserve"> </w:t>
      </w:r>
      <w:r w:rsidRPr="002747FC">
        <w:rPr>
          <w:rFonts w:cs="Arial"/>
          <w:noProof/>
          <w:sz w:val="22"/>
          <w:szCs w:val="22"/>
        </w:rPr>
        <w:t>.</w:t>
      </w:r>
    </w:p>
    <w:p w14:paraId="537834A4" w14:textId="549081F3" w:rsidR="00F722E9" w:rsidRPr="002747FC" w:rsidRDefault="00F722E9" w:rsidP="00F722E9">
      <w:pPr>
        <w:rPr>
          <w:rFonts w:cs="Arial"/>
          <w:noProof/>
          <w:sz w:val="22"/>
          <w:szCs w:val="22"/>
        </w:rPr>
      </w:pPr>
      <w:r w:rsidRPr="002747FC">
        <w:rPr>
          <w:rStyle w:val="Descriptorheader"/>
          <w:rFonts w:ascii="Arial" w:hAnsi="Arial" w:cs="Arial"/>
          <w:szCs w:val="22"/>
        </w:rPr>
        <w:t>Overview:</w:t>
      </w:r>
      <w:r w:rsidRPr="002747FC">
        <w:rPr>
          <w:rFonts w:cs="Arial"/>
          <w:sz w:val="22"/>
          <w:szCs w:val="22"/>
        </w:rPr>
        <w:t xml:space="preserve"> </w:t>
      </w:r>
      <w:r w:rsidRPr="002747FC">
        <w:rPr>
          <w:rFonts w:cs="Arial"/>
          <w:noProof/>
          <w:sz w:val="22"/>
          <w:szCs w:val="22"/>
        </w:rPr>
        <w:t>The amended items provide Medicare rebates for</w:t>
      </w:r>
      <w:r w:rsidR="006C486F" w:rsidRPr="002747FC">
        <w:rPr>
          <w:rFonts w:cs="Arial"/>
          <w:noProof/>
          <w:sz w:val="22"/>
          <w:szCs w:val="22"/>
        </w:rPr>
        <w:t xml:space="preserve"> the m</w:t>
      </w:r>
      <w:r w:rsidR="00686E62" w:rsidRPr="002747FC">
        <w:rPr>
          <w:rFonts w:cs="Arial"/>
          <w:noProof/>
          <w:sz w:val="22"/>
          <w:szCs w:val="22"/>
        </w:rPr>
        <w:t>edi</w:t>
      </w:r>
      <w:r w:rsidR="006C486F" w:rsidRPr="002747FC">
        <w:rPr>
          <w:rFonts w:cs="Arial"/>
          <w:noProof/>
          <w:sz w:val="22"/>
          <w:szCs w:val="22"/>
        </w:rPr>
        <w:t>cal assessment and</w:t>
      </w:r>
      <w:r w:rsidR="008A7259" w:rsidRPr="002747FC">
        <w:rPr>
          <w:rFonts w:cs="Arial"/>
          <w:noProof/>
          <w:sz w:val="22"/>
          <w:szCs w:val="22"/>
        </w:rPr>
        <w:t xml:space="preserve"> development of a treatment and management plan</w:t>
      </w:r>
      <w:r w:rsidR="00E0778A" w:rsidRPr="002747FC">
        <w:rPr>
          <w:rFonts w:cs="Arial"/>
          <w:noProof/>
          <w:sz w:val="22"/>
          <w:szCs w:val="22"/>
        </w:rPr>
        <w:t xml:space="preserve">, </w:t>
      </w:r>
      <w:r w:rsidR="00995B1A">
        <w:rPr>
          <w:rFonts w:cs="Arial"/>
          <w:noProof/>
          <w:sz w:val="22"/>
          <w:szCs w:val="22"/>
        </w:rPr>
        <w:t xml:space="preserve">including </w:t>
      </w:r>
      <w:r w:rsidR="00E0778A" w:rsidRPr="002747FC">
        <w:rPr>
          <w:rFonts w:cs="Arial"/>
          <w:noProof/>
          <w:sz w:val="22"/>
          <w:szCs w:val="22"/>
        </w:rPr>
        <w:t>the diagnosis</w:t>
      </w:r>
      <w:r w:rsidR="008A7259" w:rsidRPr="002747FC">
        <w:rPr>
          <w:rFonts w:cs="Arial"/>
          <w:noProof/>
          <w:sz w:val="22"/>
          <w:szCs w:val="22"/>
        </w:rPr>
        <w:t xml:space="preserve"> </w:t>
      </w:r>
      <w:r w:rsidRPr="002747FC">
        <w:rPr>
          <w:rFonts w:cs="Arial"/>
          <w:noProof/>
          <w:sz w:val="22"/>
          <w:szCs w:val="22"/>
        </w:rPr>
        <w:t xml:space="preserve">of a </w:t>
      </w:r>
      <w:r w:rsidR="00995B1A">
        <w:rPr>
          <w:rFonts w:cs="Arial"/>
          <w:noProof/>
          <w:sz w:val="22"/>
          <w:szCs w:val="22"/>
        </w:rPr>
        <w:t>C</w:t>
      </w:r>
      <w:r w:rsidRPr="002747FC">
        <w:rPr>
          <w:rFonts w:cs="Arial"/>
          <w:noProof/>
          <w:sz w:val="22"/>
          <w:szCs w:val="22"/>
        </w:rPr>
        <w:t xml:space="preserve">omplex </w:t>
      </w:r>
      <w:r w:rsidR="00B93B33" w:rsidRPr="002747FC">
        <w:rPr>
          <w:rFonts w:cs="Arial"/>
          <w:noProof/>
          <w:sz w:val="22"/>
          <w:szCs w:val="22"/>
        </w:rPr>
        <w:lastRenderedPageBreak/>
        <w:t>N</w:t>
      </w:r>
      <w:r w:rsidRPr="002747FC">
        <w:rPr>
          <w:rFonts w:cs="Arial"/>
          <w:noProof/>
          <w:sz w:val="22"/>
          <w:szCs w:val="22"/>
        </w:rPr>
        <w:t xml:space="preserve">eurodevelopmental </w:t>
      </w:r>
      <w:r w:rsidR="00B93B33" w:rsidRPr="002747FC">
        <w:rPr>
          <w:rFonts w:cs="Arial"/>
          <w:noProof/>
          <w:sz w:val="22"/>
          <w:szCs w:val="22"/>
        </w:rPr>
        <w:t>D</w:t>
      </w:r>
      <w:r w:rsidRPr="002747FC">
        <w:rPr>
          <w:rFonts w:cs="Arial"/>
          <w:noProof/>
          <w:sz w:val="22"/>
          <w:szCs w:val="22"/>
        </w:rPr>
        <w:t xml:space="preserve">isorder </w:t>
      </w:r>
      <w:r w:rsidR="00B50C60" w:rsidRPr="002747FC">
        <w:rPr>
          <w:rFonts w:cs="Arial"/>
          <w:noProof/>
          <w:sz w:val="22"/>
          <w:szCs w:val="22"/>
        </w:rPr>
        <w:t>for individuals under 25 years of age.</w:t>
      </w:r>
      <w:r w:rsidR="00686E62" w:rsidRPr="002747FC">
        <w:rPr>
          <w:rFonts w:cs="Arial"/>
          <w:noProof/>
          <w:sz w:val="22"/>
          <w:szCs w:val="22"/>
        </w:rPr>
        <w:t xml:space="preserve"> </w:t>
      </w:r>
      <w:r w:rsidR="00686E62" w:rsidRPr="009C68FB">
        <w:rPr>
          <w:rFonts w:cs="Arial"/>
          <w:sz w:val="22"/>
          <w:szCs w:val="22"/>
        </w:rPr>
        <w:t xml:space="preserve">The assessment and diagnosis of a </w:t>
      </w:r>
      <w:r w:rsidR="00C304BC">
        <w:rPr>
          <w:rFonts w:cs="Arial"/>
          <w:sz w:val="22"/>
          <w:szCs w:val="22"/>
        </w:rPr>
        <w:t>Complex Neurodevelopmental Disorder</w:t>
      </w:r>
      <w:r w:rsidR="00686E62" w:rsidRPr="009C68FB">
        <w:rPr>
          <w:rFonts w:cs="Arial"/>
          <w:sz w:val="22"/>
          <w:szCs w:val="22"/>
        </w:rPr>
        <w:t xml:space="preserve"> should be evaluated in the context of both a physical and developmental assessment. The psychiatrist may require a number of separate attendances (through usual attendance items, such as </w:t>
      </w:r>
      <w:r w:rsidR="00686E62" w:rsidRPr="009C68FB">
        <w:rPr>
          <w:rFonts w:cs="Arial"/>
          <w:sz w:val="22"/>
          <w:szCs w:val="22"/>
          <w:lang w:eastAsia="en-AU"/>
        </w:rPr>
        <w:t>296-308, 310, 312, 314, 316, 318, 319 - 352, 91827 - 91831, 91837 - 91839, 92437, 92455 - 92460</w:t>
      </w:r>
      <w:r w:rsidR="00686E62" w:rsidRPr="002747FC">
        <w:rPr>
          <w:rFonts w:cs="Arial"/>
          <w:sz w:val="22"/>
          <w:szCs w:val="22"/>
        </w:rPr>
        <w:t xml:space="preserve">) to complete a comprehensive assessment and formulate a </w:t>
      </w:r>
      <w:r w:rsidR="00686E62" w:rsidRPr="009A50DA">
        <w:rPr>
          <w:rFonts w:cs="Arial"/>
          <w:sz w:val="22"/>
          <w:szCs w:val="22"/>
        </w:rPr>
        <w:t>diagnosis, exclude other disorders or assess for co-occurring conditions</w:t>
      </w:r>
      <w:r w:rsidR="00686E62" w:rsidRPr="002747FC">
        <w:rPr>
          <w:rFonts w:cs="Arial"/>
          <w:sz w:val="22"/>
          <w:szCs w:val="22"/>
        </w:rPr>
        <w:t>.</w:t>
      </w:r>
      <w:r w:rsidR="00F44310">
        <w:rPr>
          <w:rFonts w:cs="Arial"/>
          <w:sz w:val="22"/>
          <w:szCs w:val="22"/>
        </w:rPr>
        <w:t xml:space="preserve"> </w:t>
      </w:r>
    </w:p>
    <w:p w14:paraId="2DF4D057" w14:textId="16BE6F0E" w:rsidR="00F402E1" w:rsidRPr="009C68FB" w:rsidRDefault="00F722E9" w:rsidP="00F402E1">
      <w:pPr>
        <w:pStyle w:val="tabletext0"/>
        <w:shd w:val="clear" w:color="auto" w:fill="FFFFFF"/>
        <w:spacing w:before="60" w:after="0" w:line="240" w:lineRule="atLeast"/>
        <w:rPr>
          <w:rFonts w:ascii="Arial" w:hAnsi="Arial" w:cs="Arial"/>
          <w:color w:val="000000"/>
          <w:sz w:val="22"/>
          <w:szCs w:val="22"/>
        </w:rPr>
      </w:pPr>
      <w:r w:rsidRPr="002747FC">
        <w:rPr>
          <w:rStyle w:val="Descriptorheader"/>
          <w:rFonts w:ascii="Arial" w:hAnsi="Arial" w:cs="Arial"/>
          <w:szCs w:val="22"/>
        </w:rPr>
        <w:t>Service/Descriptor:</w:t>
      </w:r>
      <w:r w:rsidR="00686E62" w:rsidRPr="009C68FB">
        <w:rPr>
          <w:rFonts w:ascii="Arial" w:hAnsi="Arial" w:cs="Arial"/>
          <w:sz w:val="22"/>
          <w:szCs w:val="22"/>
        </w:rPr>
        <w:t xml:space="preserve"> </w:t>
      </w:r>
      <w:r w:rsidR="00F402E1" w:rsidRPr="009C68FB">
        <w:rPr>
          <w:rFonts w:ascii="Arial" w:hAnsi="Arial" w:cs="Arial"/>
          <w:color w:val="000000"/>
          <w:sz w:val="22"/>
          <w:szCs w:val="22"/>
        </w:rPr>
        <w:t xml:space="preserve"> Professional attendance lasting at least 45 minutes, by a consultant physician in the practice of the consultant physician’s specialty of psychiatry, following referral of the patient to the consultant psychiatrist by a referring practitioner, for a patient aged under 25, if the consultant psychiatrist:</w:t>
      </w:r>
    </w:p>
    <w:p w14:paraId="23E9674F" w14:textId="49AC3BC4" w:rsidR="00F402E1" w:rsidRPr="009C68FB"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C68FB">
        <w:rPr>
          <w:rFonts w:ascii="Arial" w:hAnsi="Arial" w:cs="Arial"/>
          <w:color w:val="000000"/>
          <w:sz w:val="22"/>
          <w:szCs w:val="22"/>
        </w:rPr>
        <w:t xml:space="preserve">(a) undertakes, or has previously undertaken in prior attendances, a comprehensive assessment in relation to which a diagnosis of a </w:t>
      </w:r>
      <w:r w:rsidR="00052817">
        <w:rPr>
          <w:rFonts w:ascii="Arial" w:hAnsi="Arial" w:cs="Arial"/>
          <w:color w:val="000000"/>
          <w:sz w:val="22"/>
          <w:szCs w:val="22"/>
        </w:rPr>
        <w:t>Complex Neurodevelopmental Disorder</w:t>
      </w:r>
      <w:r w:rsidRPr="009C68FB">
        <w:rPr>
          <w:rFonts w:ascii="Arial" w:hAnsi="Arial" w:cs="Arial"/>
          <w:color w:val="000000"/>
          <w:sz w:val="22"/>
          <w:szCs w:val="22"/>
        </w:rPr>
        <w:t xml:space="preserve"> (such as autism spectrum disorder) is made (if appropriate, using information provided by an eligible </w:t>
      </w:r>
      <w:r w:rsidR="00F313ED">
        <w:rPr>
          <w:rFonts w:ascii="Arial" w:hAnsi="Arial" w:cs="Arial"/>
          <w:color w:val="000000"/>
          <w:sz w:val="22"/>
          <w:szCs w:val="22"/>
        </w:rPr>
        <w:t xml:space="preserve">Allied Health </w:t>
      </w:r>
      <w:r w:rsidRPr="009C68FB">
        <w:rPr>
          <w:rFonts w:ascii="Arial" w:hAnsi="Arial" w:cs="Arial"/>
          <w:color w:val="000000"/>
          <w:sz w:val="22"/>
          <w:szCs w:val="22"/>
        </w:rPr>
        <w:t>provider); and</w:t>
      </w:r>
    </w:p>
    <w:p w14:paraId="4C2D0309" w14:textId="77777777" w:rsidR="00F402E1" w:rsidRPr="009C68FB"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C68FB">
        <w:rPr>
          <w:rFonts w:ascii="Arial" w:hAnsi="Arial" w:cs="Arial"/>
          <w:color w:val="000000"/>
          <w:sz w:val="22"/>
          <w:szCs w:val="22"/>
        </w:rPr>
        <w:t>(b) develops a treatment and management plan, which must include:</w:t>
      </w:r>
    </w:p>
    <w:p w14:paraId="75DA5917" w14:textId="77777777"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(i) documentation of the confirmed diagnosis; and</w:t>
      </w:r>
    </w:p>
    <w:p w14:paraId="5498CBFA" w14:textId="77777777"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(ii) findings of any assessments performed for the purposes of formulation of the diagnosis or contribution to the treatment and management plan; and</w:t>
      </w:r>
    </w:p>
    <w:p w14:paraId="04D62325" w14:textId="77777777"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(iii) a risk assessment; and</w:t>
      </w:r>
    </w:p>
    <w:p w14:paraId="260EF672" w14:textId="77777777"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(iv) treatment options (which may include biopsychosocial recommendations); and</w:t>
      </w:r>
    </w:p>
    <w:p w14:paraId="27112924" w14:textId="77777777" w:rsidR="00F402E1" w:rsidRPr="009C68FB" w:rsidRDefault="00F402E1" w:rsidP="00F402E1">
      <w:pPr>
        <w:pStyle w:val="tablea"/>
        <w:shd w:val="clear" w:color="auto" w:fill="FFFFFF"/>
        <w:spacing w:before="60" w:beforeAutospacing="0" w:after="0" w:afterAutospacing="0"/>
        <w:ind w:left="284" w:hanging="284"/>
        <w:rPr>
          <w:rFonts w:ascii="Arial" w:hAnsi="Arial" w:cs="Arial"/>
          <w:color w:val="000000"/>
          <w:sz w:val="22"/>
          <w:szCs w:val="22"/>
        </w:rPr>
      </w:pPr>
      <w:r w:rsidRPr="009C68FB">
        <w:rPr>
          <w:rFonts w:ascii="Arial" w:hAnsi="Arial" w:cs="Arial"/>
          <w:color w:val="000000"/>
          <w:sz w:val="22"/>
          <w:szCs w:val="22"/>
        </w:rPr>
        <w:t>(c) provides a copy of the treatment and management plan to:</w:t>
      </w:r>
    </w:p>
    <w:p w14:paraId="5864069E" w14:textId="77777777"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(i) the referring practitioner; and</w:t>
      </w:r>
    </w:p>
    <w:p w14:paraId="105ED29D" w14:textId="2222B228" w:rsidR="00F402E1" w:rsidRPr="009C68FB" w:rsidRDefault="00F402E1" w:rsidP="00F402E1">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C68FB">
        <w:rPr>
          <w:rFonts w:ascii="Arial" w:hAnsi="Arial" w:cs="Arial"/>
          <w:color w:val="000000"/>
          <w:sz w:val="22"/>
          <w:szCs w:val="22"/>
        </w:rPr>
        <w:t xml:space="preserve">(ii) one or more </w:t>
      </w:r>
      <w:r w:rsidR="00F313ED">
        <w:rPr>
          <w:rFonts w:ascii="Arial" w:hAnsi="Arial" w:cs="Arial"/>
          <w:color w:val="000000"/>
          <w:sz w:val="22"/>
          <w:szCs w:val="22"/>
        </w:rPr>
        <w:t xml:space="preserve">Allied Health </w:t>
      </w:r>
      <w:r w:rsidRPr="009C68FB">
        <w:rPr>
          <w:rFonts w:ascii="Arial" w:hAnsi="Arial" w:cs="Arial"/>
          <w:color w:val="000000"/>
          <w:sz w:val="22"/>
          <w:szCs w:val="22"/>
        </w:rPr>
        <w:t>providers, if appropriate, for the treatment of the patient;</w:t>
      </w:r>
    </w:p>
    <w:p w14:paraId="20C28423" w14:textId="77777777" w:rsidR="00F402E1" w:rsidRPr="009C68FB" w:rsidRDefault="00F402E1" w:rsidP="00F402E1">
      <w:pPr>
        <w:pStyle w:val="tabletext0"/>
        <w:shd w:val="clear" w:color="auto" w:fill="FFFFFF"/>
        <w:spacing w:before="60" w:beforeAutospacing="0" w:after="0" w:afterAutospacing="0" w:line="240" w:lineRule="atLeast"/>
        <w:rPr>
          <w:rFonts w:ascii="Arial" w:hAnsi="Arial" w:cs="Arial"/>
          <w:color w:val="000000"/>
          <w:sz w:val="22"/>
          <w:szCs w:val="22"/>
        </w:rPr>
      </w:pPr>
      <w:r w:rsidRPr="009C68FB">
        <w:rPr>
          <w:rFonts w:ascii="Arial" w:hAnsi="Arial" w:cs="Arial"/>
          <w:color w:val="000000"/>
          <w:sz w:val="22"/>
          <w:szCs w:val="22"/>
        </w:rPr>
        <w:t>(other than attendance on a patient for whom payment has previously been made under this item or item 135, 137, 139, 92140, 92141, 92142 or 92434)</w:t>
      </w:r>
    </w:p>
    <w:p w14:paraId="615407E8" w14:textId="77777777" w:rsidR="00F402E1" w:rsidRPr="009C68FB" w:rsidRDefault="00F402E1" w:rsidP="00F402E1">
      <w:pPr>
        <w:pStyle w:val="tabletext0"/>
        <w:shd w:val="clear" w:color="auto" w:fill="FFFFFF"/>
        <w:spacing w:before="60" w:beforeAutospacing="0" w:after="0" w:afterAutospacing="0" w:line="240" w:lineRule="atLeast"/>
        <w:rPr>
          <w:rFonts w:ascii="Arial" w:hAnsi="Arial" w:cs="Arial"/>
          <w:color w:val="000000"/>
          <w:sz w:val="22"/>
          <w:szCs w:val="22"/>
        </w:rPr>
      </w:pPr>
      <w:r w:rsidRPr="009C68FB">
        <w:rPr>
          <w:rFonts w:ascii="Arial" w:hAnsi="Arial" w:cs="Arial"/>
          <w:color w:val="000000"/>
          <w:sz w:val="22"/>
          <w:szCs w:val="22"/>
        </w:rPr>
        <w:t>Applicable only once per lifetime</w:t>
      </w:r>
    </w:p>
    <w:p w14:paraId="45884880" w14:textId="01769D56" w:rsidR="00F722E9" w:rsidRPr="002747FC" w:rsidRDefault="00F722E9" w:rsidP="00F722E9">
      <w:pPr>
        <w:rPr>
          <w:rFonts w:cs="Arial"/>
          <w:sz w:val="22"/>
          <w:szCs w:val="22"/>
        </w:rPr>
      </w:pPr>
    </w:p>
    <w:p w14:paraId="185236EF" w14:textId="71F9329E" w:rsidR="00F722E9" w:rsidRPr="002747FC" w:rsidRDefault="00F722E9" w:rsidP="00F722E9">
      <w:pPr>
        <w:rPr>
          <w:rFonts w:cs="Arial"/>
          <w:sz w:val="22"/>
          <w:szCs w:val="22"/>
        </w:rPr>
      </w:pPr>
      <w:r w:rsidRPr="009A50DA">
        <w:rPr>
          <w:rStyle w:val="Descriptorheader"/>
          <w:rFonts w:ascii="Arial" w:hAnsi="Arial" w:cs="Arial"/>
          <w:szCs w:val="22"/>
        </w:rPr>
        <w:t>Indication:</w:t>
      </w:r>
      <w:r w:rsidRPr="009A50DA">
        <w:rPr>
          <w:rFonts w:cs="Arial"/>
          <w:sz w:val="22"/>
          <w:szCs w:val="22"/>
        </w:rPr>
        <w:t xml:space="preserve"> </w:t>
      </w:r>
      <w:r w:rsidR="008A7259" w:rsidRPr="009A50DA">
        <w:rPr>
          <w:rFonts w:cs="Arial"/>
          <w:sz w:val="22"/>
          <w:szCs w:val="22"/>
        </w:rPr>
        <w:t xml:space="preserve">see </w:t>
      </w:r>
      <w:r w:rsidR="00EC2673" w:rsidRPr="009A50DA">
        <w:rPr>
          <w:rFonts w:cs="Arial"/>
          <w:sz w:val="22"/>
          <w:szCs w:val="22"/>
        </w:rPr>
        <w:t xml:space="preserve">indication for </w:t>
      </w:r>
      <w:r w:rsidR="006C486F" w:rsidRPr="009A50DA">
        <w:rPr>
          <w:rFonts w:cs="Arial"/>
          <w:sz w:val="22"/>
          <w:szCs w:val="22"/>
        </w:rPr>
        <w:t>item 135</w:t>
      </w:r>
    </w:p>
    <w:p w14:paraId="482A2290" w14:textId="4D7AA808" w:rsidR="00F722E9" w:rsidRPr="002747FC" w:rsidRDefault="00F722E9" w:rsidP="00F722E9">
      <w:pPr>
        <w:rPr>
          <w:rFonts w:cs="Arial"/>
          <w:noProof/>
          <w:sz w:val="22"/>
          <w:szCs w:val="22"/>
        </w:rPr>
      </w:pPr>
      <w:r w:rsidRPr="002747FC">
        <w:rPr>
          <w:rStyle w:val="Descriptorheader"/>
          <w:rFonts w:ascii="Arial" w:hAnsi="Arial" w:cs="Arial"/>
          <w:szCs w:val="22"/>
        </w:rPr>
        <w:t>Billing requirement:</w:t>
      </w:r>
      <w:r w:rsidRPr="002747FC">
        <w:rPr>
          <w:rFonts w:cs="Arial"/>
          <w:noProof/>
          <w:sz w:val="22"/>
          <w:szCs w:val="22"/>
        </w:rPr>
        <w:t xml:space="preserve"> </w:t>
      </w:r>
      <w:r w:rsidR="00563FE2" w:rsidRPr="002747FC">
        <w:rPr>
          <w:rFonts w:cs="Arial"/>
          <w:noProof/>
          <w:sz w:val="22"/>
          <w:szCs w:val="22"/>
        </w:rPr>
        <w:t>This item is claimable once in an individual’s lifetime.</w:t>
      </w:r>
    </w:p>
    <w:p w14:paraId="137CB725" w14:textId="77777777" w:rsidR="00F722E9" w:rsidRPr="002747FC" w:rsidRDefault="00F722E9" w:rsidP="00F722E9">
      <w:pPr>
        <w:rPr>
          <w:rFonts w:cs="Arial"/>
          <w:noProof/>
          <w:sz w:val="22"/>
          <w:szCs w:val="22"/>
        </w:rPr>
      </w:pPr>
      <w:r w:rsidRPr="002747FC">
        <w:rPr>
          <w:rStyle w:val="Descriptorheader"/>
          <w:rFonts w:ascii="Arial" w:hAnsi="Arial" w:cs="Arial"/>
          <w:szCs w:val="22"/>
        </w:rPr>
        <w:t>MBS fee:</w:t>
      </w:r>
      <w:r w:rsidRPr="002747FC">
        <w:rPr>
          <w:rFonts w:cs="Arial"/>
          <w:noProof/>
          <w:sz w:val="22"/>
          <w:szCs w:val="22"/>
        </w:rPr>
        <w:t xml:space="preserve"> </w:t>
      </w:r>
      <w:r w:rsidRPr="009C68FB">
        <w:rPr>
          <w:rFonts w:cs="Arial"/>
          <w:sz w:val="22"/>
          <w:szCs w:val="22"/>
        </w:rPr>
        <w:t>$283.20 (No change)</w:t>
      </w:r>
    </w:p>
    <w:p w14:paraId="328ACF33" w14:textId="77777777" w:rsidR="00F722E9" w:rsidRPr="009C68FB" w:rsidRDefault="00F722E9" w:rsidP="00F722E9">
      <w:pPr>
        <w:tabs>
          <w:tab w:val="left" w:pos="1701"/>
        </w:tabs>
        <w:rPr>
          <w:rFonts w:eastAsia="Times New Roman" w:cs="Arial"/>
          <w:b/>
          <w:sz w:val="22"/>
          <w:szCs w:val="22"/>
          <w:lang w:eastAsia="en-AU"/>
        </w:rPr>
      </w:pPr>
      <w:r w:rsidRPr="002747FC">
        <w:rPr>
          <w:rStyle w:val="Descriptorheader"/>
          <w:rFonts w:ascii="Arial" w:hAnsi="Arial" w:cs="Arial"/>
          <w:szCs w:val="22"/>
        </w:rPr>
        <w:t>Benefit:</w:t>
      </w:r>
      <w:r w:rsidRPr="002747FC">
        <w:rPr>
          <w:rFonts w:cs="Arial"/>
          <w:noProof/>
          <w:sz w:val="22"/>
          <w:szCs w:val="22"/>
        </w:rPr>
        <w:t xml:space="preserve"> </w:t>
      </w:r>
      <w:r w:rsidRPr="009C68FB">
        <w:rPr>
          <w:rFonts w:cs="Arial"/>
          <w:sz w:val="22"/>
          <w:szCs w:val="22"/>
        </w:rPr>
        <w:t>75% = $212.40    85% = $240.75</w:t>
      </w:r>
    </w:p>
    <w:p w14:paraId="123B9951" w14:textId="686C04D3" w:rsidR="00F722E9" w:rsidRPr="009C68FB" w:rsidRDefault="00F722E9" w:rsidP="00F722E9">
      <w:pPr>
        <w:tabs>
          <w:tab w:val="left" w:pos="1701"/>
        </w:tabs>
        <w:rPr>
          <w:rFonts w:cs="Arial"/>
          <w:sz w:val="22"/>
          <w:szCs w:val="22"/>
        </w:rPr>
      </w:pPr>
      <w:r w:rsidRPr="002747FC">
        <w:rPr>
          <w:rStyle w:val="Descriptorheader"/>
          <w:rFonts w:ascii="Arial" w:hAnsi="Arial" w:cs="Arial"/>
          <w:szCs w:val="22"/>
        </w:rPr>
        <w:t>Private Health Insurance clinical category:</w:t>
      </w:r>
      <w:r w:rsidR="00D2743D" w:rsidRPr="002747FC">
        <w:rPr>
          <w:rStyle w:val="Descriptorheader"/>
          <w:rFonts w:ascii="Arial" w:hAnsi="Arial" w:cs="Arial"/>
          <w:b w:val="0"/>
          <w:bCs w:val="0"/>
          <w:szCs w:val="22"/>
        </w:rPr>
        <w:t xml:space="preserve"> </w:t>
      </w:r>
      <w:r w:rsidR="00291E5E" w:rsidRPr="002747FC">
        <w:rPr>
          <w:rStyle w:val="Descriptorheader"/>
          <w:rFonts w:ascii="Arial" w:hAnsi="Arial" w:cs="Arial"/>
          <w:b w:val="0"/>
          <w:bCs w:val="0"/>
          <w:szCs w:val="22"/>
        </w:rPr>
        <w:t>Hospital Psychiatric Services</w:t>
      </w:r>
    </w:p>
    <w:p w14:paraId="13757E56" w14:textId="7076AFA0" w:rsidR="00F722E9" w:rsidRPr="002747FC" w:rsidRDefault="00F722E9" w:rsidP="00F722E9">
      <w:pPr>
        <w:rPr>
          <w:rFonts w:cs="Arial"/>
          <w:sz w:val="22"/>
          <w:szCs w:val="22"/>
        </w:rPr>
      </w:pPr>
      <w:r w:rsidRPr="002747FC">
        <w:rPr>
          <w:rStyle w:val="Descriptorheader"/>
          <w:rFonts w:ascii="Arial" w:hAnsi="Arial" w:cs="Arial"/>
          <w:szCs w:val="22"/>
        </w:rPr>
        <w:t xml:space="preserve">Private Health Insurance procedure type: </w:t>
      </w:r>
      <w:r w:rsidR="00291E5E" w:rsidRPr="002747FC">
        <w:rPr>
          <w:rStyle w:val="Descriptorheader"/>
          <w:rFonts w:ascii="Arial" w:hAnsi="Arial" w:cs="Arial"/>
          <w:szCs w:val="22"/>
        </w:rPr>
        <w:t>Type C</w:t>
      </w:r>
    </w:p>
    <w:p w14:paraId="015DC841" w14:textId="60476BE4" w:rsidR="00EB520C" w:rsidRPr="009C68FB" w:rsidRDefault="00EB520C" w:rsidP="009C68FB">
      <w:pPr>
        <w:pStyle w:val="Heading4"/>
        <w:rPr>
          <w:lang w:eastAsia="en-AU"/>
        </w:rPr>
      </w:pPr>
      <w:r w:rsidRPr="009C68FB">
        <w:rPr>
          <w:lang w:eastAsia="en-AU"/>
        </w:rPr>
        <w:t xml:space="preserve">Amended item </w:t>
      </w:r>
      <w:r w:rsidR="00C849AD" w:rsidRPr="009C68FB">
        <w:rPr>
          <w:lang w:eastAsia="en-AU"/>
        </w:rPr>
        <w:t>137</w:t>
      </w:r>
      <w:r w:rsidR="00686E62" w:rsidRPr="009C68FB">
        <w:rPr>
          <w:lang w:eastAsia="en-AU"/>
        </w:rPr>
        <w:t xml:space="preserve"> and telehealth equivalent item 92141 </w:t>
      </w:r>
      <w:r w:rsidR="00C849AD" w:rsidRPr="009C68FB">
        <w:rPr>
          <w:lang w:eastAsia="en-AU"/>
        </w:rPr>
        <w:t xml:space="preserve">- </w:t>
      </w:r>
      <w:r w:rsidR="006C486F" w:rsidRPr="009C68FB">
        <w:rPr>
          <w:lang w:eastAsia="en-AU"/>
        </w:rPr>
        <w:t>A</w:t>
      </w:r>
      <w:r w:rsidR="00C849AD" w:rsidRPr="009C68FB">
        <w:rPr>
          <w:lang w:eastAsia="en-AU"/>
        </w:rPr>
        <w:t>ssessment</w:t>
      </w:r>
      <w:r w:rsidR="006C486F" w:rsidRPr="009C68FB">
        <w:rPr>
          <w:lang w:eastAsia="en-AU"/>
        </w:rPr>
        <w:t xml:space="preserve"> </w:t>
      </w:r>
      <w:r w:rsidR="00C849AD" w:rsidRPr="009C68FB">
        <w:rPr>
          <w:lang w:eastAsia="en-AU"/>
        </w:rPr>
        <w:t xml:space="preserve">and </w:t>
      </w:r>
      <w:r w:rsidR="006C486F" w:rsidRPr="009C68FB">
        <w:rPr>
          <w:lang w:eastAsia="en-AU"/>
        </w:rPr>
        <w:t xml:space="preserve">development of a </w:t>
      </w:r>
      <w:r w:rsidR="00C849AD" w:rsidRPr="009C68FB">
        <w:rPr>
          <w:lang w:eastAsia="en-AU"/>
        </w:rPr>
        <w:t xml:space="preserve">treatment </w:t>
      </w:r>
      <w:r w:rsidR="006C486F" w:rsidRPr="009C68FB">
        <w:rPr>
          <w:lang w:eastAsia="en-AU"/>
        </w:rPr>
        <w:t xml:space="preserve">and management </w:t>
      </w:r>
      <w:r w:rsidR="00C849AD" w:rsidRPr="009C68FB">
        <w:rPr>
          <w:lang w:eastAsia="en-AU"/>
        </w:rPr>
        <w:t xml:space="preserve">plan of </w:t>
      </w:r>
      <w:r w:rsidR="006C486F" w:rsidRPr="009C68FB">
        <w:rPr>
          <w:lang w:eastAsia="en-AU"/>
        </w:rPr>
        <w:t xml:space="preserve">an </w:t>
      </w:r>
      <w:r w:rsidR="00C849AD" w:rsidRPr="009C68FB">
        <w:rPr>
          <w:lang w:eastAsia="en-AU"/>
        </w:rPr>
        <w:t>eligible disability</w:t>
      </w:r>
      <w:r w:rsidR="006C486F" w:rsidRPr="009C68FB">
        <w:rPr>
          <w:lang w:eastAsia="en-AU"/>
        </w:rPr>
        <w:t xml:space="preserve"> following a confirmed diagnosis by a specialist or consultant physician </w:t>
      </w:r>
      <w:r w:rsidR="00C849AD" w:rsidRPr="009C68FB">
        <w:rPr>
          <w:lang w:eastAsia="en-AU"/>
        </w:rPr>
        <w:t xml:space="preserve"> </w:t>
      </w:r>
    </w:p>
    <w:p w14:paraId="05D81905" w14:textId="1E7CD84D" w:rsidR="00EB520C" w:rsidRPr="002747FC" w:rsidRDefault="00EB520C" w:rsidP="00EB520C">
      <w:pPr>
        <w:rPr>
          <w:rFonts w:cs="Arial"/>
          <w:noProof/>
          <w:sz w:val="22"/>
          <w:szCs w:val="22"/>
        </w:rPr>
      </w:pPr>
      <w:r w:rsidRPr="002747FC">
        <w:rPr>
          <w:rStyle w:val="Descriptorheader"/>
          <w:rFonts w:ascii="Arial" w:hAnsi="Arial" w:cs="Arial"/>
          <w:szCs w:val="22"/>
        </w:rPr>
        <w:t>Item:</w:t>
      </w:r>
      <w:r w:rsidRPr="002747FC">
        <w:rPr>
          <w:rFonts w:cs="Arial"/>
          <w:noProof/>
          <w:sz w:val="22"/>
          <w:szCs w:val="22"/>
        </w:rPr>
        <w:t xml:space="preserve"> </w:t>
      </w:r>
      <w:r w:rsidR="00063C38" w:rsidRPr="009A50DA">
        <w:rPr>
          <w:rFonts w:cs="Arial"/>
          <w:noProof/>
          <w:sz w:val="22"/>
          <w:szCs w:val="22"/>
        </w:rPr>
        <w:t>I</w:t>
      </w:r>
      <w:r w:rsidR="00063C38" w:rsidRPr="009A50DA">
        <w:rPr>
          <w:rFonts w:cs="Arial"/>
          <w:sz w:val="22"/>
          <w:szCs w:val="22"/>
        </w:rPr>
        <w:t xml:space="preserve">tem 137 </w:t>
      </w:r>
      <w:r w:rsidR="00EC2673" w:rsidRPr="009A50DA">
        <w:rPr>
          <w:rFonts w:cs="Arial"/>
          <w:sz w:val="22"/>
          <w:szCs w:val="22"/>
        </w:rPr>
        <w:t>and</w:t>
      </w:r>
      <w:r w:rsidR="00063C38" w:rsidRPr="009A50DA">
        <w:rPr>
          <w:rFonts w:cs="Arial"/>
          <w:sz w:val="22"/>
          <w:szCs w:val="22"/>
        </w:rPr>
        <w:t xml:space="preserve"> telehealth equivalent item 92141 are intended for </w:t>
      </w:r>
      <w:r w:rsidR="00686E62" w:rsidRPr="009A50DA">
        <w:rPr>
          <w:rFonts w:cs="Arial"/>
          <w:sz w:val="22"/>
          <w:szCs w:val="22"/>
        </w:rPr>
        <w:t xml:space="preserve">assessment </w:t>
      </w:r>
      <w:r w:rsidR="00063C38" w:rsidRPr="009A50DA">
        <w:rPr>
          <w:rFonts w:cs="Arial"/>
          <w:sz w:val="22"/>
          <w:szCs w:val="22"/>
        </w:rPr>
        <w:t xml:space="preserve">and </w:t>
      </w:r>
      <w:r w:rsidR="00686E62" w:rsidRPr="009A50DA">
        <w:rPr>
          <w:rFonts w:cs="Arial"/>
          <w:sz w:val="22"/>
          <w:szCs w:val="22"/>
        </w:rPr>
        <w:t xml:space="preserve">development of a </w:t>
      </w:r>
      <w:r w:rsidR="00063C38" w:rsidRPr="009A50DA">
        <w:rPr>
          <w:rFonts w:cs="Arial"/>
          <w:sz w:val="22"/>
          <w:szCs w:val="22"/>
        </w:rPr>
        <w:t xml:space="preserve">treatment </w:t>
      </w:r>
      <w:r w:rsidR="00686E62" w:rsidRPr="009A50DA">
        <w:rPr>
          <w:rFonts w:cs="Arial"/>
          <w:sz w:val="22"/>
          <w:szCs w:val="22"/>
        </w:rPr>
        <w:t xml:space="preserve">and management plan </w:t>
      </w:r>
      <w:r w:rsidR="00063C38" w:rsidRPr="009A50DA">
        <w:rPr>
          <w:rFonts w:cs="Arial"/>
          <w:sz w:val="22"/>
          <w:szCs w:val="22"/>
        </w:rPr>
        <w:t>for patients under 25 years of age with an eligible disability by a specialist or consultant physician.</w:t>
      </w:r>
    </w:p>
    <w:p w14:paraId="08B6A5A6" w14:textId="3BA9733A" w:rsidR="00800501" w:rsidRPr="009A50DA" w:rsidRDefault="00EB520C" w:rsidP="00800501">
      <w:pPr>
        <w:rPr>
          <w:rFonts w:cs="Arial"/>
          <w:sz w:val="22"/>
          <w:szCs w:val="22"/>
        </w:rPr>
      </w:pPr>
      <w:r w:rsidRPr="009A50DA">
        <w:rPr>
          <w:rStyle w:val="Descriptorheader"/>
          <w:rFonts w:ascii="Arial" w:hAnsi="Arial" w:cs="Arial"/>
          <w:szCs w:val="22"/>
        </w:rPr>
        <w:lastRenderedPageBreak/>
        <w:t>Overview:</w:t>
      </w:r>
      <w:r w:rsidRPr="009A50DA">
        <w:rPr>
          <w:rFonts w:cs="Arial"/>
          <w:sz w:val="22"/>
          <w:szCs w:val="22"/>
        </w:rPr>
        <w:t xml:space="preserve"> </w:t>
      </w:r>
      <w:r w:rsidR="00686E62" w:rsidRPr="009A50DA">
        <w:rPr>
          <w:rFonts w:cs="Arial"/>
          <w:noProof/>
          <w:sz w:val="22"/>
          <w:szCs w:val="22"/>
        </w:rPr>
        <w:t>The amended items provide Medicare rebates for the medical assessment and development of a treatment and management plan, following the diagnosis of an eligible disability for individuals under 25 years of age.</w:t>
      </w:r>
    </w:p>
    <w:p w14:paraId="5F846AD4" w14:textId="086FB06C" w:rsidR="00CF5E64" w:rsidRPr="009A50DA" w:rsidRDefault="00EB520C" w:rsidP="00CF5E64">
      <w:pPr>
        <w:pStyle w:val="tabletext0"/>
        <w:shd w:val="clear" w:color="auto" w:fill="FFFFFF"/>
        <w:spacing w:before="60" w:after="0" w:line="240" w:lineRule="atLeast"/>
        <w:rPr>
          <w:rFonts w:ascii="Arial" w:hAnsi="Arial" w:cs="Arial"/>
          <w:color w:val="000000"/>
          <w:sz w:val="22"/>
          <w:szCs w:val="22"/>
        </w:rPr>
      </w:pPr>
      <w:r w:rsidRPr="009A50DA">
        <w:rPr>
          <w:rStyle w:val="Descriptorheader"/>
          <w:rFonts w:ascii="Arial" w:hAnsi="Arial" w:cs="Arial"/>
          <w:szCs w:val="22"/>
        </w:rPr>
        <w:t>Service/Descriptor:</w:t>
      </w:r>
      <w:r w:rsidRPr="009A50DA">
        <w:rPr>
          <w:rFonts w:ascii="Arial" w:hAnsi="Arial" w:cs="Arial"/>
          <w:sz w:val="22"/>
          <w:szCs w:val="22"/>
        </w:rPr>
        <w:t xml:space="preserve"> </w:t>
      </w:r>
      <w:r w:rsidR="00CF5E64" w:rsidRPr="009A50DA">
        <w:rPr>
          <w:rFonts w:ascii="Arial" w:hAnsi="Arial" w:cs="Arial"/>
          <w:color w:val="000000"/>
          <w:sz w:val="22"/>
          <w:szCs w:val="22"/>
        </w:rPr>
        <w:t>Professional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76033096" w14:textId="28196440" w:rsidR="00CF5E64" w:rsidRPr="009A50DA" w:rsidRDefault="00CF5E64" w:rsidP="00CF5E64">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 xml:space="preserve">(a) undertakes, or has previously undertaken in prior attendances, a comprehensive assessment in relation to which a diagnosis of an eligible disability is made (if appropriate, using information provided by an eligible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 and</w:t>
      </w:r>
    </w:p>
    <w:p w14:paraId="736BE812" w14:textId="77777777" w:rsidR="00CF5E64" w:rsidRPr="009A50DA" w:rsidRDefault="00CF5E64" w:rsidP="00CF5E64">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(b) develops a treatment and management plan, which must include:</w:t>
      </w:r>
    </w:p>
    <w:p w14:paraId="0DB2E4DE" w14:textId="77777777"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 documentation of the confirmed diagnosis; and</w:t>
      </w:r>
    </w:p>
    <w:p w14:paraId="2302C289" w14:textId="77777777"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 findings of any assessments performed for the purposes of formulation of the diagnosis or contribution to the treatment and management plan; and</w:t>
      </w:r>
    </w:p>
    <w:p w14:paraId="3BEDC9DA" w14:textId="77777777"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(iii) a risk assessment; and</w:t>
      </w:r>
    </w:p>
    <w:p w14:paraId="2C657FFF" w14:textId="77777777"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(iv) treatment options (which may include biopsychosocial recommendations); and</w:t>
      </w:r>
    </w:p>
    <w:p w14:paraId="4CEC1E45" w14:textId="77777777" w:rsidR="00CF5E64" w:rsidRPr="009A50DA" w:rsidRDefault="00CF5E64" w:rsidP="00CF5E64">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(c) provides a copy of the treatment and management plan to:</w:t>
      </w:r>
    </w:p>
    <w:p w14:paraId="19522598" w14:textId="77777777"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 the referring practitioner; and</w:t>
      </w:r>
    </w:p>
    <w:p w14:paraId="7F78FA9A" w14:textId="7127BC2B" w:rsidR="00CF5E64" w:rsidRPr="009A50DA" w:rsidRDefault="00CF5E64" w:rsidP="00CF5E64">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 xml:space="preserve">(ii) one or more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providers, if appropriate, for the treatment of the patient;</w:t>
      </w:r>
    </w:p>
    <w:p w14:paraId="5F32E399" w14:textId="77777777" w:rsidR="00CF5E64" w:rsidRPr="009A50DA" w:rsidRDefault="00CF5E64" w:rsidP="00CF5E64">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t>(other than attendance on a patient for whom payment has previously been made under this item or item 135, 139, 289, 92140, 92141, 92142 or 92434)</w:t>
      </w:r>
    </w:p>
    <w:p w14:paraId="3E5255F3" w14:textId="77777777" w:rsidR="00CF5E64" w:rsidRPr="009A50DA" w:rsidRDefault="00CF5E64" w:rsidP="00CF5E64">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t>Applicable only once per lifetime</w:t>
      </w:r>
    </w:p>
    <w:p w14:paraId="33E8DC8A" w14:textId="725C2189" w:rsidR="00EB520C" w:rsidRPr="009A50DA" w:rsidRDefault="00EB520C" w:rsidP="002D6FC2">
      <w:pPr>
        <w:spacing w:before="200" w:after="200"/>
        <w:rPr>
          <w:rFonts w:cs="Arial"/>
          <w:sz w:val="22"/>
          <w:szCs w:val="22"/>
        </w:rPr>
      </w:pPr>
    </w:p>
    <w:p w14:paraId="54898864" w14:textId="67F3C516" w:rsidR="00063C38" w:rsidRPr="009A50DA" w:rsidRDefault="00EB520C" w:rsidP="00063C38">
      <w:pPr>
        <w:spacing w:before="200" w:after="200"/>
        <w:rPr>
          <w:rFonts w:eastAsia="Times New Roman" w:cs="Arial"/>
          <w:sz w:val="22"/>
          <w:szCs w:val="22"/>
          <w:lang w:eastAsia="en-AU"/>
        </w:rPr>
      </w:pPr>
      <w:r w:rsidRPr="002747FC">
        <w:rPr>
          <w:rStyle w:val="Descriptorheader"/>
          <w:rFonts w:ascii="Arial" w:hAnsi="Arial" w:cs="Arial"/>
          <w:szCs w:val="22"/>
        </w:rPr>
        <w:t>Indication:</w:t>
      </w:r>
      <w:r w:rsidRPr="002747FC">
        <w:rPr>
          <w:rFonts w:cs="Arial"/>
          <w:sz w:val="22"/>
          <w:szCs w:val="22"/>
        </w:rPr>
        <w:t xml:space="preserve"> </w:t>
      </w:r>
      <w:r w:rsidR="00063C38" w:rsidRPr="009A50DA">
        <w:rPr>
          <w:rFonts w:cs="Arial"/>
          <w:sz w:val="22"/>
          <w:szCs w:val="22"/>
        </w:rPr>
        <w:t>'Eligible disabilities' for the purpose of these services means any of the following conditions: </w:t>
      </w:r>
      <w:r w:rsidR="00EC2673" w:rsidRPr="009A50DA">
        <w:rPr>
          <w:rFonts w:cs="Arial"/>
          <w:sz w:val="22"/>
          <w:szCs w:val="22"/>
        </w:rPr>
        <w:t xml:space="preserve">(This list is legislated and can be found </w:t>
      </w:r>
      <w:r w:rsidR="004776D9" w:rsidRPr="009A50DA">
        <w:rPr>
          <w:rFonts w:cs="Arial"/>
          <w:sz w:val="22"/>
          <w:szCs w:val="22"/>
        </w:rPr>
        <w:t xml:space="preserve">on MBSONLINE </w:t>
      </w:r>
      <w:r w:rsidR="00EC2673" w:rsidRPr="009A50DA">
        <w:rPr>
          <w:rFonts w:cs="Arial"/>
          <w:sz w:val="22"/>
          <w:szCs w:val="22"/>
        </w:rPr>
        <w:t xml:space="preserve">at AR.29.1) </w:t>
      </w:r>
    </w:p>
    <w:p w14:paraId="3B4239D2" w14:textId="77777777" w:rsidR="00063C38" w:rsidRPr="009A50DA" w:rsidRDefault="00063C38" w:rsidP="00063C38">
      <w:pPr>
        <w:spacing w:before="200" w:after="200"/>
        <w:rPr>
          <w:rFonts w:cs="Arial"/>
          <w:sz w:val="22"/>
          <w:szCs w:val="22"/>
        </w:rPr>
      </w:pPr>
      <w:r w:rsidRPr="009A50DA">
        <w:rPr>
          <w:rFonts w:cs="Arial"/>
          <w:sz w:val="22"/>
          <w:szCs w:val="22"/>
        </w:rPr>
        <w:t>(a)  sight impairment that results in vision of less than or equal to 6/18 vision or equivalent field loss in the better eye, with correction;</w:t>
      </w:r>
    </w:p>
    <w:p w14:paraId="76B110CA" w14:textId="77777777" w:rsidR="00063C38" w:rsidRPr="009A50DA" w:rsidRDefault="00063C38" w:rsidP="00063C38">
      <w:pPr>
        <w:spacing w:before="200" w:after="200"/>
        <w:rPr>
          <w:rFonts w:cs="Arial"/>
          <w:sz w:val="22"/>
          <w:szCs w:val="22"/>
        </w:rPr>
      </w:pPr>
      <w:r w:rsidRPr="009A50DA">
        <w:rPr>
          <w:rFonts w:cs="Arial"/>
          <w:sz w:val="22"/>
          <w:szCs w:val="22"/>
        </w:rPr>
        <w:t>(b)  hearing impairment that results in:</w:t>
      </w:r>
    </w:p>
    <w:p w14:paraId="01DE1DFB" w14:textId="77777777" w:rsidR="00063C38" w:rsidRPr="009A50DA" w:rsidRDefault="00063C38" w:rsidP="00063C38">
      <w:pPr>
        <w:spacing w:before="200" w:after="200"/>
        <w:ind w:left="450"/>
        <w:rPr>
          <w:rFonts w:cs="Arial"/>
          <w:sz w:val="22"/>
          <w:szCs w:val="22"/>
        </w:rPr>
      </w:pPr>
      <w:r w:rsidRPr="009A50DA">
        <w:rPr>
          <w:rFonts w:cs="Arial"/>
          <w:sz w:val="22"/>
          <w:szCs w:val="22"/>
        </w:rPr>
        <w:t>(i)  a hearing loss of 40 decibels or greater in the better ear, across 4 frequencies; or</w:t>
      </w:r>
    </w:p>
    <w:p w14:paraId="4130DEC1" w14:textId="77777777" w:rsidR="00063C38" w:rsidRPr="009A50DA" w:rsidRDefault="00063C38" w:rsidP="00063C38">
      <w:pPr>
        <w:spacing w:before="200" w:after="200"/>
        <w:ind w:left="450"/>
        <w:rPr>
          <w:rFonts w:cs="Arial"/>
          <w:sz w:val="22"/>
          <w:szCs w:val="22"/>
        </w:rPr>
      </w:pPr>
      <w:r w:rsidRPr="009A50DA">
        <w:rPr>
          <w:rFonts w:cs="Arial"/>
          <w:sz w:val="22"/>
          <w:szCs w:val="22"/>
        </w:rPr>
        <w:t>(ii)  permanent conductive hearing loss and auditory neuropathy;</w:t>
      </w:r>
    </w:p>
    <w:p w14:paraId="0ADE7147" w14:textId="77777777" w:rsidR="00063C38" w:rsidRPr="009A50DA" w:rsidRDefault="00063C38" w:rsidP="00063C38">
      <w:pPr>
        <w:spacing w:before="200" w:after="200"/>
        <w:rPr>
          <w:rFonts w:cs="Arial"/>
          <w:sz w:val="22"/>
          <w:szCs w:val="22"/>
        </w:rPr>
      </w:pPr>
      <w:r w:rsidRPr="009A50DA">
        <w:rPr>
          <w:rFonts w:cs="Arial"/>
          <w:sz w:val="22"/>
          <w:szCs w:val="22"/>
        </w:rPr>
        <w:t>(c)  deafblindness;</w:t>
      </w:r>
    </w:p>
    <w:p w14:paraId="12AC6F23" w14:textId="77777777" w:rsidR="00063C38" w:rsidRPr="009A50DA" w:rsidRDefault="00063C38" w:rsidP="00063C38">
      <w:pPr>
        <w:spacing w:before="200" w:after="200"/>
        <w:rPr>
          <w:rFonts w:cs="Arial"/>
          <w:sz w:val="22"/>
          <w:szCs w:val="22"/>
        </w:rPr>
      </w:pPr>
      <w:r w:rsidRPr="009A50DA">
        <w:rPr>
          <w:rFonts w:cs="Arial"/>
          <w:sz w:val="22"/>
          <w:szCs w:val="22"/>
        </w:rPr>
        <w:t>(d)  cerebral palsy;</w:t>
      </w:r>
    </w:p>
    <w:p w14:paraId="7C3049FC" w14:textId="77777777" w:rsidR="00063C38" w:rsidRPr="009A50DA" w:rsidRDefault="00063C38" w:rsidP="00063C38">
      <w:pPr>
        <w:spacing w:before="200" w:after="200"/>
        <w:rPr>
          <w:rFonts w:cs="Arial"/>
          <w:sz w:val="22"/>
          <w:szCs w:val="22"/>
        </w:rPr>
      </w:pPr>
      <w:r w:rsidRPr="009A50DA">
        <w:rPr>
          <w:rFonts w:cs="Arial"/>
          <w:sz w:val="22"/>
          <w:szCs w:val="22"/>
        </w:rPr>
        <w:t>(e)  Down syndrome;</w:t>
      </w:r>
    </w:p>
    <w:p w14:paraId="63933232" w14:textId="77777777" w:rsidR="00063C38" w:rsidRPr="009A50DA" w:rsidRDefault="00063C38" w:rsidP="00063C38">
      <w:pPr>
        <w:spacing w:before="200" w:after="200"/>
        <w:rPr>
          <w:rFonts w:cs="Arial"/>
          <w:sz w:val="22"/>
          <w:szCs w:val="22"/>
        </w:rPr>
      </w:pPr>
      <w:r w:rsidRPr="009A50DA">
        <w:rPr>
          <w:rFonts w:cs="Arial"/>
          <w:sz w:val="22"/>
          <w:szCs w:val="22"/>
        </w:rPr>
        <w:t>(f)  Fragile X syndrome;</w:t>
      </w:r>
    </w:p>
    <w:p w14:paraId="20F98680" w14:textId="77777777" w:rsidR="00063C38" w:rsidRPr="009A50DA" w:rsidRDefault="00063C38" w:rsidP="00063C38">
      <w:pPr>
        <w:spacing w:before="200" w:after="200"/>
        <w:rPr>
          <w:rFonts w:cs="Arial"/>
          <w:sz w:val="22"/>
          <w:szCs w:val="22"/>
        </w:rPr>
      </w:pPr>
      <w:r w:rsidRPr="009A50DA">
        <w:rPr>
          <w:rFonts w:cs="Arial"/>
          <w:sz w:val="22"/>
          <w:szCs w:val="22"/>
        </w:rPr>
        <w:t>(g)  Prader</w:t>
      </w:r>
      <w:r w:rsidRPr="009A50DA">
        <w:rPr>
          <w:rFonts w:cs="Arial"/>
          <w:sz w:val="22"/>
          <w:szCs w:val="22"/>
        </w:rPr>
        <w:noBreakHyphen/>
        <w:t>Willi syndrome;</w:t>
      </w:r>
    </w:p>
    <w:p w14:paraId="1FA9AA47" w14:textId="77777777" w:rsidR="00063C38" w:rsidRPr="009A50DA" w:rsidRDefault="00063C38" w:rsidP="00063C38">
      <w:pPr>
        <w:spacing w:before="200" w:after="200"/>
        <w:rPr>
          <w:rFonts w:cs="Arial"/>
          <w:sz w:val="22"/>
          <w:szCs w:val="22"/>
        </w:rPr>
      </w:pPr>
      <w:r w:rsidRPr="009A50DA">
        <w:rPr>
          <w:rFonts w:cs="Arial"/>
          <w:sz w:val="22"/>
          <w:szCs w:val="22"/>
        </w:rPr>
        <w:t>(h)  Williams syndrome;</w:t>
      </w:r>
    </w:p>
    <w:p w14:paraId="4AF62E19" w14:textId="77777777" w:rsidR="00063C38" w:rsidRPr="009A50DA" w:rsidRDefault="00063C38" w:rsidP="00063C38">
      <w:pPr>
        <w:spacing w:before="200" w:after="200"/>
        <w:rPr>
          <w:rFonts w:cs="Arial"/>
          <w:sz w:val="22"/>
          <w:szCs w:val="22"/>
        </w:rPr>
      </w:pPr>
      <w:r w:rsidRPr="009A50DA">
        <w:rPr>
          <w:rFonts w:cs="Arial"/>
          <w:sz w:val="22"/>
          <w:szCs w:val="22"/>
        </w:rPr>
        <w:t>(i)  Angelman syndrome;</w:t>
      </w:r>
    </w:p>
    <w:p w14:paraId="615359C9" w14:textId="77777777" w:rsidR="00063C38" w:rsidRPr="009A50DA" w:rsidRDefault="00063C38" w:rsidP="00063C38">
      <w:pPr>
        <w:spacing w:before="200" w:after="200"/>
        <w:rPr>
          <w:rFonts w:cs="Arial"/>
          <w:sz w:val="22"/>
          <w:szCs w:val="22"/>
        </w:rPr>
      </w:pPr>
      <w:r w:rsidRPr="009A50DA">
        <w:rPr>
          <w:rFonts w:cs="Arial"/>
          <w:sz w:val="22"/>
          <w:szCs w:val="22"/>
        </w:rPr>
        <w:lastRenderedPageBreak/>
        <w:t>(j)  Kabuki syndrome;</w:t>
      </w:r>
    </w:p>
    <w:p w14:paraId="55A852A7" w14:textId="77777777" w:rsidR="00063C38" w:rsidRPr="009A50DA" w:rsidRDefault="00063C38" w:rsidP="00063C38">
      <w:pPr>
        <w:spacing w:before="200" w:after="200"/>
        <w:rPr>
          <w:rFonts w:cs="Arial"/>
          <w:sz w:val="22"/>
          <w:szCs w:val="22"/>
        </w:rPr>
      </w:pPr>
      <w:r w:rsidRPr="009A50DA">
        <w:rPr>
          <w:rFonts w:cs="Arial"/>
          <w:sz w:val="22"/>
          <w:szCs w:val="22"/>
        </w:rPr>
        <w:t>(k)  Smith</w:t>
      </w:r>
      <w:r w:rsidRPr="009A50DA">
        <w:rPr>
          <w:rFonts w:cs="Arial"/>
          <w:sz w:val="22"/>
          <w:szCs w:val="22"/>
        </w:rPr>
        <w:noBreakHyphen/>
        <w:t>Magenis syndrome;</w:t>
      </w:r>
    </w:p>
    <w:p w14:paraId="3577BA51" w14:textId="77777777" w:rsidR="00063C38" w:rsidRPr="009A50DA" w:rsidRDefault="00063C38" w:rsidP="00063C38">
      <w:pPr>
        <w:spacing w:before="200" w:after="200"/>
        <w:rPr>
          <w:rFonts w:cs="Arial"/>
          <w:sz w:val="22"/>
          <w:szCs w:val="22"/>
        </w:rPr>
      </w:pPr>
      <w:r w:rsidRPr="009A50DA">
        <w:rPr>
          <w:rFonts w:cs="Arial"/>
          <w:sz w:val="22"/>
          <w:szCs w:val="22"/>
        </w:rPr>
        <w:t>(l)  CHARGE syndrome;</w:t>
      </w:r>
    </w:p>
    <w:p w14:paraId="4D33939C" w14:textId="77777777" w:rsidR="00063C38" w:rsidRPr="009A50DA" w:rsidRDefault="00063C38" w:rsidP="00063C38">
      <w:pPr>
        <w:spacing w:before="200" w:after="200"/>
        <w:rPr>
          <w:rFonts w:cs="Arial"/>
          <w:sz w:val="22"/>
          <w:szCs w:val="22"/>
        </w:rPr>
      </w:pPr>
      <w:r w:rsidRPr="009A50DA">
        <w:rPr>
          <w:rFonts w:cs="Arial"/>
          <w:sz w:val="22"/>
          <w:szCs w:val="22"/>
        </w:rPr>
        <w:t>(m)  Cri du Chat syndrome;</w:t>
      </w:r>
    </w:p>
    <w:p w14:paraId="4EB2ADE0" w14:textId="77777777" w:rsidR="00063C38" w:rsidRPr="009A50DA" w:rsidRDefault="00063C38" w:rsidP="00063C38">
      <w:pPr>
        <w:spacing w:before="200" w:after="200"/>
        <w:rPr>
          <w:rFonts w:cs="Arial"/>
          <w:sz w:val="22"/>
          <w:szCs w:val="22"/>
        </w:rPr>
      </w:pPr>
      <w:r w:rsidRPr="009A50DA">
        <w:rPr>
          <w:rFonts w:cs="Arial"/>
          <w:sz w:val="22"/>
          <w:szCs w:val="22"/>
        </w:rPr>
        <w:t>(n)  Cornelia de Lange syndrome;</w:t>
      </w:r>
    </w:p>
    <w:p w14:paraId="37C53AEC" w14:textId="77777777" w:rsidR="00063C38" w:rsidRPr="009A50DA" w:rsidRDefault="00063C38" w:rsidP="00063C38">
      <w:pPr>
        <w:spacing w:before="200" w:after="200"/>
        <w:rPr>
          <w:rFonts w:cs="Arial"/>
          <w:sz w:val="22"/>
          <w:szCs w:val="22"/>
        </w:rPr>
      </w:pPr>
      <w:r w:rsidRPr="009A50DA">
        <w:rPr>
          <w:rFonts w:cs="Arial"/>
          <w:sz w:val="22"/>
          <w:szCs w:val="22"/>
        </w:rPr>
        <w:t>(o)  microcephaly, if a child has:</w:t>
      </w:r>
    </w:p>
    <w:p w14:paraId="247253B1" w14:textId="77777777" w:rsidR="00063C38" w:rsidRPr="009A50DA" w:rsidRDefault="00063C38" w:rsidP="00063C38">
      <w:pPr>
        <w:spacing w:before="200" w:after="200"/>
        <w:ind w:left="450"/>
        <w:rPr>
          <w:rFonts w:cs="Arial"/>
          <w:sz w:val="22"/>
          <w:szCs w:val="22"/>
        </w:rPr>
      </w:pPr>
      <w:r w:rsidRPr="009A50DA">
        <w:rPr>
          <w:rFonts w:cs="Arial"/>
          <w:sz w:val="22"/>
          <w:szCs w:val="22"/>
        </w:rPr>
        <w:t>(i)  a head circumference less than the third percentile for age and sex; and</w:t>
      </w:r>
    </w:p>
    <w:p w14:paraId="51016C9D" w14:textId="77777777" w:rsidR="00063C38" w:rsidRPr="009A50DA" w:rsidRDefault="00063C38" w:rsidP="00063C38">
      <w:pPr>
        <w:spacing w:before="200" w:after="200"/>
        <w:ind w:left="450"/>
        <w:rPr>
          <w:rFonts w:cs="Arial"/>
          <w:sz w:val="22"/>
          <w:szCs w:val="22"/>
        </w:rPr>
      </w:pPr>
      <w:r w:rsidRPr="009A50DA">
        <w:rPr>
          <w:rFonts w:cs="Arial"/>
          <w:sz w:val="22"/>
          <w:szCs w:val="22"/>
        </w:rPr>
        <w:t>(ii)  a functional level at or below 2 standard deviations below the mean for age on a standard development test or an IQ score of less than 70 on a standardised test of intelligence*;</w:t>
      </w:r>
    </w:p>
    <w:p w14:paraId="3EB0AF88" w14:textId="77777777" w:rsidR="00063C38" w:rsidRPr="009A50DA" w:rsidRDefault="00063C38" w:rsidP="00063C38">
      <w:pPr>
        <w:spacing w:before="200" w:after="200"/>
        <w:rPr>
          <w:rFonts w:cs="Arial"/>
          <w:sz w:val="22"/>
          <w:szCs w:val="22"/>
        </w:rPr>
      </w:pPr>
      <w:r w:rsidRPr="009A50DA">
        <w:rPr>
          <w:rFonts w:cs="Arial"/>
          <w:sz w:val="22"/>
          <w:szCs w:val="22"/>
        </w:rPr>
        <w:t>(p)  Rett’s disorder;</w:t>
      </w:r>
    </w:p>
    <w:p w14:paraId="1B4ACED9" w14:textId="77777777" w:rsidR="00063C38" w:rsidRPr="009A50DA" w:rsidRDefault="00063C38" w:rsidP="00063C38">
      <w:pPr>
        <w:spacing w:before="200" w:after="200"/>
        <w:rPr>
          <w:rFonts w:cs="Arial"/>
          <w:sz w:val="22"/>
          <w:szCs w:val="22"/>
        </w:rPr>
      </w:pPr>
      <w:r w:rsidRPr="009A50DA">
        <w:rPr>
          <w:rFonts w:cs="Arial"/>
          <w:sz w:val="22"/>
          <w:szCs w:val="22"/>
        </w:rPr>
        <w:t>(q)  Fetal Alcohol Spectrum Disorder (FASD);</w:t>
      </w:r>
    </w:p>
    <w:p w14:paraId="1FEE1787" w14:textId="77777777" w:rsidR="00063C38" w:rsidRPr="009A50DA" w:rsidRDefault="00063C38" w:rsidP="00063C38">
      <w:pPr>
        <w:spacing w:before="200" w:after="200"/>
        <w:rPr>
          <w:rFonts w:cs="Arial"/>
          <w:sz w:val="22"/>
          <w:szCs w:val="22"/>
        </w:rPr>
      </w:pPr>
      <w:r w:rsidRPr="009A50DA">
        <w:rPr>
          <w:rFonts w:cs="Arial"/>
          <w:sz w:val="22"/>
          <w:szCs w:val="22"/>
        </w:rPr>
        <w:t>(r)  Lesch</w:t>
      </w:r>
      <w:r w:rsidRPr="009A50DA">
        <w:rPr>
          <w:rFonts w:cs="Arial"/>
          <w:sz w:val="22"/>
          <w:szCs w:val="22"/>
        </w:rPr>
        <w:noBreakHyphen/>
        <w:t>Nyhan syndrome;</w:t>
      </w:r>
    </w:p>
    <w:p w14:paraId="07616F08" w14:textId="6409153E" w:rsidR="00EB520C" w:rsidRPr="002747FC" w:rsidRDefault="00063C38" w:rsidP="00842565">
      <w:pPr>
        <w:spacing w:before="200" w:after="200"/>
        <w:rPr>
          <w:rFonts w:cs="Arial"/>
          <w:sz w:val="22"/>
          <w:szCs w:val="22"/>
        </w:rPr>
      </w:pPr>
      <w:r w:rsidRPr="009A50DA">
        <w:rPr>
          <w:rFonts w:cs="Arial"/>
          <w:sz w:val="22"/>
          <w:szCs w:val="22"/>
        </w:rPr>
        <w:t>(s)  22q deletion syndrome.</w:t>
      </w:r>
    </w:p>
    <w:p w14:paraId="6F142712" w14:textId="6B10D1C2" w:rsidR="00686E62" w:rsidRPr="009A50DA" w:rsidRDefault="00EB520C" w:rsidP="00EB520C">
      <w:pPr>
        <w:rPr>
          <w:rFonts w:cs="Arial"/>
          <w:noProof/>
          <w:sz w:val="22"/>
          <w:szCs w:val="22"/>
        </w:rPr>
      </w:pPr>
      <w:r w:rsidRPr="009A50DA">
        <w:rPr>
          <w:rStyle w:val="Descriptorheader"/>
          <w:rFonts w:ascii="Arial" w:hAnsi="Arial" w:cs="Arial"/>
          <w:szCs w:val="22"/>
        </w:rPr>
        <w:t>Billing requirement:</w:t>
      </w:r>
      <w:r w:rsidRPr="009A50DA">
        <w:rPr>
          <w:rFonts w:cs="Arial"/>
          <w:noProof/>
          <w:sz w:val="22"/>
          <w:szCs w:val="22"/>
        </w:rPr>
        <w:t xml:space="preserve"> </w:t>
      </w:r>
      <w:r w:rsidR="00686E62" w:rsidRPr="009A50DA">
        <w:rPr>
          <w:rFonts w:cs="Arial"/>
          <w:noProof/>
          <w:sz w:val="22"/>
          <w:szCs w:val="22"/>
        </w:rPr>
        <w:t xml:space="preserve"> This item is claimable once in an individual’s lifetime.</w:t>
      </w:r>
    </w:p>
    <w:p w14:paraId="063D5A16" w14:textId="7342E3B4" w:rsidR="00EB520C" w:rsidRPr="002747FC" w:rsidRDefault="00EB520C" w:rsidP="00EB520C">
      <w:pPr>
        <w:rPr>
          <w:rFonts w:cs="Arial"/>
          <w:noProof/>
          <w:sz w:val="22"/>
          <w:szCs w:val="22"/>
        </w:rPr>
      </w:pPr>
      <w:r w:rsidRPr="009A50DA">
        <w:rPr>
          <w:rStyle w:val="Descriptorheader"/>
          <w:rFonts w:ascii="Arial" w:hAnsi="Arial" w:cs="Arial"/>
          <w:szCs w:val="22"/>
        </w:rPr>
        <w:t>MBS fee:</w:t>
      </w:r>
      <w:r w:rsidRPr="009A50DA">
        <w:rPr>
          <w:rFonts w:cs="Arial"/>
          <w:noProof/>
          <w:sz w:val="22"/>
          <w:szCs w:val="22"/>
        </w:rPr>
        <w:t xml:space="preserve"> $</w:t>
      </w:r>
      <w:r w:rsidR="00264D6B" w:rsidRPr="009A50DA">
        <w:rPr>
          <w:rFonts w:cs="Arial"/>
          <w:sz w:val="22"/>
          <w:szCs w:val="22"/>
        </w:rPr>
        <w:t xml:space="preserve"> $283.20 (No change)</w:t>
      </w:r>
    </w:p>
    <w:p w14:paraId="27F75D74" w14:textId="27FB9D93" w:rsidR="00EB520C" w:rsidRPr="009A50DA" w:rsidRDefault="00EB520C" w:rsidP="00264D6B">
      <w:pPr>
        <w:tabs>
          <w:tab w:val="left" w:pos="1701"/>
        </w:tabs>
        <w:rPr>
          <w:rFonts w:eastAsia="Times New Roman" w:cs="Arial"/>
          <w:b/>
          <w:sz w:val="22"/>
          <w:szCs w:val="22"/>
          <w:lang w:eastAsia="en-AU"/>
        </w:rPr>
      </w:pPr>
      <w:r w:rsidRPr="002747FC">
        <w:rPr>
          <w:rStyle w:val="Descriptorheader"/>
          <w:rFonts w:ascii="Arial" w:hAnsi="Arial" w:cs="Arial"/>
          <w:szCs w:val="22"/>
        </w:rPr>
        <w:t>Benefit:</w:t>
      </w:r>
      <w:r w:rsidRPr="002747FC">
        <w:rPr>
          <w:rFonts w:cs="Arial"/>
          <w:noProof/>
          <w:sz w:val="22"/>
          <w:szCs w:val="22"/>
        </w:rPr>
        <w:t xml:space="preserve"> </w:t>
      </w:r>
      <w:r w:rsidR="00264D6B" w:rsidRPr="009A50DA">
        <w:rPr>
          <w:rFonts w:cs="Arial"/>
          <w:sz w:val="22"/>
          <w:szCs w:val="22"/>
        </w:rPr>
        <w:t>75% = $212.40    85% = $240.75</w:t>
      </w:r>
    </w:p>
    <w:p w14:paraId="501AE67D" w14:textId="6C2D4AA9" w:rsidR="00C92130" w:rsidRPr="002747FC" w:rsidRDefault="00C92130" w:rsidP="00C92130">
      <w:pPr>
        <w:rPr>
          <w:rStyle w:val="Descriptorheader"/>
          <w:rFonts w:ascii="Arial" w:hAnsi="Arial" w:cs="Arial"/>
          <w:szCs w:val="22"/>
        </w:rPr>
      </w:pPr>
      <w:r w:rsidRPr="002747FC">
        <w:rPr>
          <w:rStyle w:val="Descriptorheader"/>
          <w:rFonts w:ascii="Arial" w:hAnsi="Arial" w:cs="Arial"/>
          <w:szCs w:val="22"/>
        </w:rPr>
        <w:t>Private Health Insurance clinical category:</w:t>
      </w:r>
      <w:r w:rsidR="00D2743D" w:rsidRPr="002747FC">
        <w:rPr>
          <w:rStyle w:val="Descriptorheader"/>
          <w:rFonts w:ascii="Arial" w:hAnsi="Arial" w:cs="Arial"/>
          <w:szCs w:val="22"/>
        </w:rPr>
        <w:t xml:space="preserve"> </w:t>
      </w:r>
      <w:r w:rsidR="004125F0" w:rsidRPr="002747FC">
        <w:rPr>
          <w:rStyle w:val="Descriptorheader"/>
          <w:rFonts w:ascii="Arial" w:hAnsi="Arial" w:cs="Arial"/>
          <w:b w:val="0"/>
          <w:bCs w:val="0"/>
          <w:szCs w:val="22"/>
        </w:rPr>
        <w:t>Common list</w:t>
      </w:r>
    </w:p>
    <w:p w14:paraId="37ABAD0F" w14:textId="6BA9AD18" w:rsidR="00C92130" w:rsidRPr="009A50DA" w:rsidRDefault="00C92130" w:rsidP="00EB520C">
      <w:pPr>
        <w:rPr>
          <w:rFonts w:cs="Arial"/>
          <w:sz w:val="22"/>
          <w:szCs w:val="22"/>
        </w:rPr>
      </w:pPr>
      <w:r w:rsidRPr="009A50DA">
        <w:rPr>
          <w:rStyle w:val="Descriptorheader"/>
          <w:rFonts w:ascii="Arial" w:hAnsi="Arial" w:cs="Arial"/>
          <w:szCs w:val="22"/>
        </w:rPr>
        <w:t xml:space="preserve">Private Health Insurance procedure type: </w:t>
      </w:r>
      <w:r w:rsidR="004125F0" w:rsidRPr="009A50DA">
        <w:rPr>
          <w:rStyle w:val="Descriptorheader"/>
          <w:rFonts w:ascii="Arial" w:hAnsi="Arial" w:cs="Arial"/>
          <w:b w:val="0"/>
          <w:bCs w:val="0"/>
          <w:szCs w:val="22"/>
        </w:rPr>
        <w:t>Type C</w:t>
      </w:r>
    </w:p>
    <w:p w14:paraId="761FC76A" w14:textId="7F4C006D" w:rsidR="00EB520C" w:rsidRPr="009A50DA" w:rsidRDefault="00EB520C" w:rsidP="009C68FB">
      <w:pPr>
        <w:pStyle w:val="Heading4"/>
        <w:rPr>
          <w:lang w:eastAsia="en-AU"/>
        </w:rPr>
      </w:pPr>
      <w:r w:rsidRPr="009A50DA">
        <w:rPr>
          <w:lang w:eastAsia="en-AU"/>
        </w:rPr>
        <w:t xml:space="preserve">Amended item </w:t>
      </w:r>
      <w:r w:rsidR="001D6475" w:rsidRPr="009A50DA">
        <w:rPr>
          <w:lang w:eastAsia="en-AU"/>
        </w:rPr>
        <w:t>139</w:t>
      </w:r>
      <w:r w:rsidR="00EC2673" w:rsidRPr="009A50DA">
        <w:rPr>
          <w:lang w:eastAsia="en-AU"/>
        </w:rPr>
        <w:t xml:space="preserve"> and telehealth equivalent item 92142</w:t>
      </w:r>
      <w:r w:rsidRPr="009A50DA">
        <w:rPr>
          <w:lang w:eastAsia="en-AU"/>
        </w:rPr>
        <w:t xml:space="preserve"> – </w:t>
      </w:r>
      <w:r w:rsidR="00686E62" w:rsidRPr="009A50DA">
        <w:rPr>
          <w:lang w:eastAsia="en-AU"/>
        </w:rPr>
        <w:t>Assessment and development of a treatment and management plan of an eligible disability following a confirmed diagnosis by a GP</w:t>
      </w:r>
    </w:p>
    <w:p w14:paraId="7E9B63C5" w14:textId="15CC9323" w:rsidR="00BF3D07" w:rsidRPr="002747FC" w:rsidRDefault="00BF3D07" w:rsidP="00BF3D07">
      <w:pPr>
        <w:rPr>
          <w:rFonts w:cs="Arial"/>
          <w:noProof/>
          <w:sz w:val="22"/>
          <w:szCs w:val="22"/>
        </w:rPr>
      </w:pPr>
      <w:r w:rsidRPr="002747FC">
        <w:rPr>
          <w:rStyle w:val="Descriptorheader"/>
          <w:rFonts w:ascii="Arial" w:hAnsi="Arial" w:cs="Arial"/>
          <w:szCs w:val="22"/>
        </w:rPr>
        <w:t>Item:</w:t>
      </w:r>
      <w:r w:rsidRPr="002747FC">
        <w:rPr>
          <w:rFonts w:cs="Arial"/>
          <w:noProof/>
          <w:sz w:val="22"/>
          <w:szCs w:val="22"/>
        </w:rPr>
        <w:t xml:space="preserve"> </w:t>
      </w:r>
      <w:r w:rsidR="00EC2673" w:rsidRPr="009A50DA">
        <w:rPr>
          <w:rFonts w:cs="Arial"/>
          <w:noProof/>
          <w:sz w:val="22"/>
          <w:szCs w:val="22"/>
        </w:rPr>
        <w:t>I</w:t>
      </w:r>
      <w:r w:rsidR="00EC2673" w:rsidRPr="009A50DA">
        <w:rPr>
          <w:rFonts w:cs="Arial"/>
          <w:sz w:val="22"/>
          <w:szCs w:val="22"/>
        </w:rPr>
        <w:t>tem 139 and telehealth equivalent item 92142 are intended for assessment and development of a treatment and management plan for patients under 25 years of age with an eligible disability by a GP</w:t>
      </w:r>
      <w:r w:rsidR="00122A56" w:rsidRPr="009A50DA">
        <w:rPr>
          <w:rFonts w:cs="Arial"/>
          <w:sz w:val="22"/>
          <w:szCs w:val="22"/>
        </w:rPr>
        <w:t>.</w:t>
      </w:r>
    </w:p>
    <w:p w14:paraId="53818578" w14:textId="261795CA" w:rsidR="00BF3D07" w:rsidRPr="009A50DA" w:rsidRDefault="00BF3D07" w:rsidP="00BF3D07">
      <w:pPr>
        <w:rPr>
          <w:rFonts w:cs="Arial"/>
          <w:sz w:val="22"/>
          <w:szCs w:val="22"/>
        </w:rPr>
      </w:pPr>
      <w:r w:rsidRPr="002747FC">
        <w:rPr>
          <w:rStyle w:val="Descriptorheader"/>
          <w:rFonts w:ascii="Arial" w:hAnsi="Arial" w:cs="Arial"/>
          <w:szCs w:val="22"/>
        </w:rPr>
        <w:t>Overview:</w:t>
      </w:r>
      <w:r w:rsidRPr="002747FC">
        <w:rPr>
          <w:rFonts w:cs="Arial"/>
          <w:sz w:val="22"/>
          <w:szCs w:val="22"/>
        </w:rPr>
        <w:t xml:space="preserve"> </w:t>
      </w:r>
      <w:r w:rsidR="00EC2673" w:rsidRPr="009A50DA">
        <w:rPr>
          <w:rFonts w:cs="Arial"/>
          <w:noProof/>
          <w:sz w:val="22"/>
          <w:szCs w:val="22"/>
        </w:rPr>
        <w:t>The amended items provide Medicare rebates for the medical assessment and development of a treatment and management plan, following the diagnosis of an eligible disability for individuals under 25 years of age.</w:t>
      </w:r>
    </w:p>
    <w:p w14:paraId="1C6989DD" w14:textId="0672D7F9" w:rsidR="00077128" w:rsidRPr="009A50DA" w:rsidRDefault="00BF3D07" w:rsidP="00077128">
      <w:pPr>
        <w:pStyle w:val="tabletext0"/>
        <w:shd w:val="clear" w:color="auto" w:fill="FFFFFF"/>
        <w:spacing w:before="60" w:after="0" w:line="240" w:lineRule="atLeast"/>
        <w:rPr>
          <w:rFonts w:ascii="Arial" w:hAnsi="Arial" w:cs="Arial"/>
          <w:color w:val="000000"/>
          <w:sz w:val="22"/>
          <w:szCs w:val="22"/>
        </w:rPr>
      </w:pPr>
      <w:r w:rsidRPr="009A50DA">
        <w:rPr>
          <w:rStyle w:val="Descriptorheader"/>
          <w:rFonts w:ascii="Arial" w:hAnsi="Arial" w:cs="Arial"/>
          <w:szCs w:val="22"/>
        </w:rPr>
        <w:t>Service/Descriptor:</w:t>
      </w:r>
      <w:r w:rsidRPr="009A50DA">
        <w:rPr>
          <w:rFonts w:ascii="Arial" w:hAnsi="Arial" w:cs="Arial"/>
          <w:sz w:val="22"/>
          <w:szCs w:val="22"/>
        </w:rPr>
        <w:t xml:space="preserve"> </w:t>
      </w:r>
      <w:r w:rsidR="00077128" w:rsidRPr="009A50DA">
        <w:rPr>
          <w:rFonts w:ascii="Arial" w:hAnsi="Arial" w:cs="Arial"/>
          <w:color w:val="000000"/>
          <w:sz w:val="22"/>
          <w:szCs w:val="22"/>
        </w:rPr>
        <w:t>Professional attendance lasting at least 45 minutes, at a place other than a hospital, by a general practitioner (not including a specialist or consultant physician), for a patient aged under 25, if the general practitioner:</w:t>
      </w:r>
    </w:p>
    <w:p w14:paraId="17DAA201" w14:textId="1C6AC46B" w:rsidR="00077128" w:rsidRPr="009A50DA" w:rsidRDefault="00077128" w:rsidP="00077128">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 xml:space="preserve">(a) undertakes, or has previously undertaken in prior attendances, a comprehensive assessment in relation to which a diagnosis of an eligible disability is made (if appropriate, using information provided by an eligible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 and</w:t>
      </w:r>
    </w:p>
    <w:p w14:paraId="3985B51D" w14:textId="77777777" w:rsidR="00077128" w:rsidRPr="009A50DA" w:rsidRDefault="00077128" w:rsidP="00077128">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lastRenderedPageBreak/>
        <w:t>(b) develops a treatment and management plan, which must include:</w:t>
      </w:r>
    </w:p>
    <w:p w14:paraId="5981EE94" w14:textId="77777777" w:rsidR="00077128" w:rsidRPr="009A50DA" w:rsidRDefault="00077128" w:rsidP="00077128">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 documentation of the confirmed diagnosis; and</w:t>
      </w:r>
    </w:p>
    <w:p w14:paraId="68AA83D2" w14:textId="77777777" w:rsidR="00077128" w:rsidRPr="009A50DA" w:rsidRDefault="00077128" w:rsidP="00077128">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 findings of any assessments performed for the purposes of formulation of the diagnosis or contribution to the treatment and management plan; and</w:t>
      </w:r>
    </w:p>
    <w:p w14:paraId="70900A3E" w14:textId="77777777" w:rsidR="00077128" w:rsidRPr="009A50DA" w:rsidRDefault="00077128" w:rsidP="00077128">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(iii) a risk assessment; and</w:t>
      </w:r>
    </w:p>
    <w:p w14:paraId="60E5EF7F" w14:textId="77777777" w:rsidR="00077128" w:rsidRPr="009A50DA" w:rsidRDefault="00077128" w:rsidP="00077128">
      <w:pPr>
        <w:pStyle w:val="tablei"/>
        <w:shd w:val="clear" w:color="auto" w:fill="FFFFFF"/>
        <w:spacing w:before="0" w:beforeAutospacing="0" w:after="0" w:afterAutospacing="0" w:line="240" w:lineRule="atLeast"/>
        <w:ind w:left="828" w:hanging="284"/>
        <w:rPr>
          <w:rFonts w:ascii="Arial" w:hAnsi="Arial" w:cs="Arial"/>
          <w:color w:val="000000"/>
          <w:sz w:val="22"/>
          <w:szCs w:val="22"/>
        </w:rPr>
      </w:pPr>
      <w:r w:rsidRPr="009A50DA">
        <w:rPr>
          <w:rFonts w:ascii="Arial" w:hAnsi="Arial" w:cs="Arial"/>
          <w:color w:val="000000"/>
          <w:sz w:val="22"/>
          <w:szCs w:val="22"/>
        </w:rPr>
        <w:t>(iv) treatment options (which may include biopsychosocial recommendations); and</w:t>
      </w:r>
    </w:p>
    <w:p w14:paraId="7021C874" w14:textId="46FE0E05" w:rsidR="00077128" w:rsidRPr="009A50DA" w:rsidRDefault="00077128" w:rsidP="00077128">
      <w:pPr>
        <w:pStyle w:val="tablea"/>
        <w:shd w:val="clear" w:color="auto" w:fill="FFFFFF"/>
        <w:spacing w:before="60" w:beforeAutospacing="0" w:after="0" w:afterAutospacing="0"/>
        <w:ind w:left="284" w:hanging="284"/>
        <w:rPr>
          <w:rFonts w:ascii="Arial" w:hAnsi="Arial" w:cs="Arial"/>
          <w:color w:val="000000"/>
          <w:sz w:val="22"/>
          <w:szCs w:val="22"/>
        </w:rPr>
      </w:pPr>
      <w:r w:rsidRPr="009A50DA">
        <w:rPr>
          <w:rFonts w:ascii="Arial" w:hAnsi="Arial" w:cs="Arial"/>
          <w:color w:val="000000"/>
          <w:sz w:val="22"/>
          <w:szCs w:val="22"/>
        </w:rPr>
        <w:t xml:space="preserve">(c) provides a copy of the treatment and management plan to one or more </w:t>
      </w:r>
      <w:r w:rsidR="00F313ED">
        <w:rPr>
          <w:rFonts w:ascii="Arial" w:hAnsi="Arial" w:cs="Arial"/>
          <w:color w:val="000000"/>
          <w:sz w:val="22"/>
          <w:szCs w:val="22"/>
        </w:rPr>
        <w:t xml:space="preserve">Allied Health </w:t>
      </w:r>
      <w:r w:rsidRPr="009A50DA">
        <w:rPr>
          <w:rFonts w:ascii="Arial" w:hAnsi="Arial" w:cs="Arial"/>
          <w:color w:val="000000"/>
          <w:sz w:val="22"/>
          <w:szCs w:val="22"/>
        </w:rPr>
        <w:t>providers, if appropriate, for the treatment of the patient;</w:t>
      </w:r>
    </w:p>
    <w:p w14:paraId="5B140ADE" w14:textId="77777777" w:rsidR="00077128" w:rsidRPr="009A50DA" w:rsidRDefault="00077128" w:rsidP="00077128">
      <w:pPr>
        <w:pStyle w:val="tabletext0"/>
        <w:shd w:val="clear" w:color="auto" w:fill="FFFFFF"/>
        <w:spacing w:before="60" w:beforeAutospacing="0" w:after="0" w:afterAutospacing="0" w:line="240" w:lineRule="atLeast"/>
        <w:rPr>
          <w:rFonts w:ascii="Arial" w:hAnsi="Arial" w:cs="Arial"/>
          <w:color w:val="000000"/>
          <w:sz w:val="22"/>
          <w:szCs w:val="22"/>
        </w:rPr>
      </w:pPr>
      <w:r w:rsidRPr="009A50DA">
        <w:rPr>
          <w:rFonts w:ascii="Arial" w:hAnsi="Arial" w:cs="Arial"/>
          <w:color w:val="000000"/>
          <w:sz w:val="22"/>
          <w:szCs w:val="22"/>
        </w:rPr>
        <w:t>(other than attendance on a patient for whom payment has previously been made under this item or item 135, 137, 289, 92140, 92141, 92142 or 92434)</w:t>
      </w:r>
    </w:p>
    <w:p w14:paraId="7A832DA8" w14:textId="0F9D5FEA" w:rsidR="00EC2673" w:rsidRPr="002747FC" w:rsidRDefault="00077128" w:rsidP="009C68FB">
      <w:pPr>
        <w:pStyle w:val="tabletext0"/>
        <w:shd w:val="clear" w:color="auto" w:fill="FFFFFF"/>
        <w:spacing w:before="60" w:beforeAutospacing="0" w:after="0" w:afterAutospacing="0" w:line="240" w:lineRule="atLeast"/>
      </w:pPr>
      <w:r w:rsidRPr="009A50DA">
        <w:rPr>
          <w:rFonts w:ascii="Arial" w:hAnsi="Arial" w:cs="Arial"/>
          <w:color w:val="000000"/>
          <w:sz w:val="22"/>
          <w:szCs w:val="22"/>
        </w:rPr>
        <w:t>Applicable only once per lifetime</w:t>
      </w:r>
    </w:p>
    <w:p w14:paraId="778E76ED" w14:textId="78800031" w:rsidR="00BF3D07" w:rsidRPr="009A50DA" w:rsidRDefault="00BF3D07" w:rsidP="00842565">
      <w:pPr>
        <w:spacing w:before="200" w:after="200"/>
        <w:rPr>
          <w:rFonts w:cs="Arial"/>
          <w:sz w:val="22"/>
          <w:szCs w:val="22"/>
        </w:rPr>
      </w:pPr>
      <w:r w:rsidRPr="002747FC">
        <w:rPr>
          <w:rStyle w:val="Descriptorheader"/>
          <w:rFonts w:ascii="Arial" w:hAnsi="Arial" w:cs="Arial"/>
          <w:szCs w:val="22"/>
        </w:rPr>
        <w:t>Indication:</w:t>
      </w:r>
      <w:r w:rsidRPr="002747FC">
        <w:rPr>
          <w:rFonts w:cs="Arial"/>
          <w:sz w:val="22"/>
          <w:szCs w:val="22"/>
        </w:rPr>
        <w:t xml:space="preserve"> </w:t>
      </w:r>
      <w:r w:rsidR="00EC2673" w:rsidRPr="009A50DA">
        <w:rPr>
          <w:rFonts w:cs="Arial"/>
          <w:sz w:val="22"/>
          <w:szCs w:val="22"/>
        </w:rPr>
        <w:t>see indication for item 137</w:t>
      </w:r>
    </w:p>
    <w:p w14:paraId="46880770" w14:textId="0091F504" w:rsidR="00BF3D07" w:rsidRPr="009A50DA" w:rsidRDefault="00BF3D07" w:rsidP="00BF3D07">
      <w:pPr>
        <w:rPr>
          <w:rFonts w:cs="Arial"/>
          <w:noProof/>
          <w:sz w:val="22"/>
          <w:szCs w:val="22"/>
        </w:rPr>
      </w:pPr>
      <w:r w:rsidRPr="009A50DA">
        <w:rPr>
          <w:rStyle w:val="Descriptorheader"/>
          <w:rFonts w:ascii="Arial" w:hAnsi="Arial" w:cs="Arial"/>
          <w:szCs w:val="22"/>
        </w:rPr>
        <w:t>Billing requirement:</w:t>
      </w:r>
      <w:r w:rsidRPr="009A50DA">
        <w:rPr>
          <w:rFonts w:cs="Arial"/>
          <w:noProof/>
          <w:sz w:val="22"/>
          <w:szCs w:val="22"/>
        </w:rPr>
        <w:t xml:space="preserve"> </w:t>
      </w:r>
      <w:r w:rsidR="00EC2673" w:rsidRPr="009A50DA">
        <w:rPr>
          <w:rFonts w:cs="Arial"/>
          <w:noProof/>
          <w:sz w:val="22"/>
          <w:szCs w:val="22"/>
        </w:rPr>
        <w:t>This item is claimable once in an individual’s lifetime.</w:t>
      </w:r>
    </w:p>
    <w:p w14:paraId="6B923DEF" w14:textId="5D55CCBE" w:rsidR="00BF3D07" w:rsidRPr="002747FC" w:rsidRDefault="00BF3D07" w:rsidP="00BF3D07">
      <w:pPr>
        <w:rPr>
          <w:rFonts w:cs="Arial"/>
          <w:noProof/>
          <w:sz w:val="22"/>
          <w:szCs w:val="22"/>
        </w:rPr>
      </w:pPr>
      <w:r w:rsidRPr="009A50DA">
        <w:rPr>
          <w:rStyle w:val="Descriptorheader"/>
          <w:rFonts w:ascii="Arial" w:hAnsi="Arial" w:cs="Arial"/>
          <w:szCs w:val="22"/>
        </w:rPr>
        <w:t>MBS fee:</w:t>
      </w:r>
      <w:r w:rsidRPr="009A50DA">
        <w:rPr>
          <w:rFonts w:cs="Arial"/>
          <w:noProof/>
          <w:sz w:val="22"/>
          <w:szCs w:val="22"/>
        </w:rPr>
        <w:t xml:space="preserve"> </w:t>
      </w:r>
      <w:r w:rsidR="00243026" w:rsidRPr="009A50DA">
        <w:rPr>
          <w:rFonts w:cs="Arial"/>
          <w:sz w:val="22"/>
          <w:szCs w:val="22"/>
        </w:rPr>
        <w:t xml:space="preserve">$142.20 </w:t>
      </w:r>
      <w:r w:rsidRPr="009A50DA">
        <w:rPr>
          <w:rFonts w:cs="Arial"/>
          <w:sz w:val="22"/>
          <w:szCs w:val="22"/>
        </w:rPr>
        <w:t>(No change)</w:t>
      </w:r>
    </w:p>
    <w:p w14:paraId="3B4EDE6E" w14:textId="77777777" w:rsidR="00AC4E6E" w:rsidRPr="009A50DA" w:rsidRDefault="00BF3D07" w:rsidP="00AC4E6E">
      <w:pPr>
        <w:tabs>
          <w:tab w:val="left" w:pos="1701"/>
        </w:tabs>
        <w:rPr>
          <w:rFonts w:eastAsia="Times New Roman" w:cs="Arial"/>
          <w:b/>
          <w:sz w:val="22"/>
          <w:szCs w:val="22"/>
          <w:lang w:eastAsia="en-AU"/>
        </w:rPr>
      </w:pPr>
      <w:r w:rsidRPr="009A50DA">
        <w:rPr>
          <w:rStyle w:val="Descriptorheader"/>
          <w:rFonts w:ascii="Arial" w:hAnsi="Arial" w:cs="Arial"/>
          <w:szCs w:val="22"/>
        </w:rPr>
        <w:t>Benefit:</w:t>
      </w:r>
      <w:r w:rsidRPr="009A50DA">
        <w:rPr>
          <w:rFonts w:cs="Arial"/>
          <w:noProof/>
          <w:sz w:val="22"/>
          <w:szCs w:val="22"/>
        </w:rPr>
        <w:t xml:space="preserve"> </w:t>
      </w:r>
      <w:r w:rsidR="00AC4E6E" w:rsidRPr="009A50DA">
        <w:rPr>
          <w:rFonts w:cs="Arial"/>
          <w:sz w:val="22"/>
          <w:szCs w:val="22"/>
        </w:rPr>
        <w:t>100% = $142.20</w:t>
      </w:r>
    </w:p>
    <w:p w14:paraId="282C8D00" w14:textId="668B435C" w:rsidR="00BF3D07" w:rsidRPr="009A50DA" w:rsidRDefault="00BF3D07" w:rsidP="00AC4E6E">
      <w:pPr>
        <w:tabs>
          <w:tab w:val="left" w:pos="1701"/>
        </w:tabs>
        <w:rPr>
          <w:rFonts w:cs="Arial"/>
          <w:sz w:val="22"/>
          <w:szCs w:val="22"/>
        </w:rPr>
      </w:pPr>
      <w:r w:rsidRPr="002747FC">
        <w:rPr>
          <w:rStyle w:val="Descriptorheader"/>
          <w:rFonts w:ascii="Arial" w:hAnsi="Arial" w:cs="Arial"/>
          <w:szCs w:val="22"/>
        </w:rPr>
        <w:t>Private Health Insurance clinical category:</w:t>
      </w:r>
      <w:r w:rsidR="00CD0478" w:rsidRPr="002747FC">
        <w:rPr>
          <w:rStyle w:val="Descriptorheader"/>
          <w:rFonts w:ascii="Arial" w:hAnsi="Arial" w:cs="Arial"/>
          <w:b w:val="0"/>
          <w:bCs w:val="0"/>
          <w:szCs w:val="22"/>
        </w:rPr>
        <w:t>N</w:t>
      </w:r>
      <w:r w:rsidR="00EC2673" w:rsidRPr="009A50DA">
        <w:rPr>
          <w:rStyle w:val="Descriptorheader"/>
          <w:rFonts w:ascii="Arial" w:hAnsi="Arial" w:cs="Arial"/>
          <w:b w:val="0"/>
          <w:bCs w:val="0"/>
          <w:szCs w:val="22"/>
        </w:rPr>
        <w:t>/</w:t>
      </w:r>
      <w:r w:rsidR="00CD0478" w:rsidRPr="009A50DA">
        <w:rPr>
          <w:rStyle w:val="Descriptorheader"/>
          <w:rFonts w:ascii="Arial" w:hAnsi="Arial" w:cs="Arial"/>
          <w:b w:val="0"/>
          <w:bCs w:val="0"/>
          <w:szCs w:val="22"/>
        </w:rPr>
        <w:t>A (Not hospital treatment)</w:t>
      </w:r>
    </w:p>
    <w:p w14:paraId="502A1383" w14:textId="5953D8AC" w:rsidR="00BF3D07" w:rsidRPr="009A50DA" w:rsidRDefault="00BF3D07" w:rsidP="00BF3D07">
      <w:pPr>
        <w:rPr>
          <w:rStyle w:val="Descriptorheader"/>
          <w:rFonts w:ascii="Arial" w:hAnsi="Arial" w:cs="Arial"/>
          <w:szCs w:val="22"/>
        </w:rPr>
      </w:pPr>
      <w:r w:rsidRPr="002747FC">
        <w:rPr>
          <w:rStyle w:val="Descriptorheader"/>
          <w:rFonts w:ascii="Arial" w:hAnsi="Arial" w:cs="Arial"/>
          <w:szCs w:val="22"/>
        </w:rPr>
        <w:t xml:space="preserve">Private Health Insurance procedure type: </w:t>
      </w:r>
      <w:r w:rsidR="00CD0478" w:rsidRPr="002747FC">
        <w:rPr>
          <w:rStyle w:val="Descriptorheader"/>
          <w:rFonts w:ascii="Arial" w:hAnsi="Arial" w:cs="Arial"/>
          <w:b w:val="0"/>
          <w:bCs w:val="0"/>
          <w:szCs w:val="22"/>
        </w:rPr>
        <w:t>Type C</w:t>
      </w:r>
    </w:p>
    <w:bookmarkEnd w:id="0"/>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AB2E31">
      <w:headerReference w:type="default" r:id="rId13"/>
      <w:footerReference w:type="default" r:id="rId14"/>
      <w:headerReference w:type="first" r:id="rId15"/>
      <w:footerReference w:type="first" r:id="rId16"/>
      <w:type w:val="continuous"/>
      <w:pgSz w:w="11906" w:h="16838"/>
      <w:pgMar w:top="170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C12B" w14:textId="77777777" w:rsidR="002160ED" w:rsidRDefault="002160ED" w:rsidP="006B56BB">
      <w:r>
        <w:separator/>
      </w:r>
    </w:p>
    <w:p w14:paraId="67085FEB" w14:textId="77777777" w:rsidR="002160ED" w:rsidRDefault="002160ED"/>
  </w:endnote>
  <w:endnote w:type="continuationSeparator" w:id="0">
    <w:p w14:paraId="133C87FD" w14:textId="77777777" w:rsidR="002160ED" w:rsidRDefault="002160ED" w:rsidP="006B56BB">
      <w:r>
        <w:continuationSeparator/>
      </w:r>
    </w:p>
    <w:p w14:paraId="1439BECB" w14:textId="77777777" w:rsidR="002160ED" w:rsidRDefault="002160ED"/>
  </w:endnote>
  <w:endnote w:type="continuationNotice" w:id="1">
    <w:p w14:paraId="258586EA" w14:textId="77777777" w:rsidR="002160ED" w:rsidRDefault="0021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1BDF" w14:textId="3256ACFE" w:rsidR="00D66FC1" w:rsidRPr="00FD68CC" w:rsidRDefault="002160ED" w:rsidP="00FD68CC">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r w:rsidR="00FD68CC">
      <w:rPr>
        <w:color w:val="3F4A75" w:themeColor="text2"/>
        <w:sz w:val="16"/>
      </w:rPr>
      <w:t xml:space="preserve">                                                                                                                                                </w:t>
    </w:r>
    <w:r w:rsidR="00D66FC1">
      <w:rPr>
        <w:b/>
        <w:color w:val="3F4A75" w:themeColor="text2"/>
        <w:sz w:val="16"/>
      </w:rPr>
      <w:t xml:space="preserve">Changes to </w:t>
    </w:r>
    <w:r w:rsidR="00CC2B35">
      <w:rPr>
        <w:b/>
        <w:color w:val="3F4A75" w:themeColor="text2"/>
        <w:sz w:val="16"/>
      </w:rPr>
      <w:t>C</w:t>
    </w:r>
    <w:r w:rsidR="00D66FC1">
      <w:rPr>
        <w:b/>
        <w:color w:val="3F4A75" w:themeColor="text2"/>
        <w:sz w:val="16"/>
      </w:rPr>
      <w:t xml:space="preserve">omplex </w:t>
    </w:r>
    <w:r w:rsidR="00CC2B35">
      <w:rPr>
        <w:b/>
        <w:color w:val="3F4A75" w:themeColor="text2"/>
        <w:sz w:val="16"/>
      </w:rPr>
      <w:t>N</w:t>
    </w:r>
    <w:r w:rsidR="00D66FC1">
      <w:rPr>
        <w:b/>
        <w:color w:val="3F4A75" w:themeColor="text2"/>
        <w:sz w:val="16"/>
      </w:rPr>
      <w:t>eurodevelopmental</w:t>
    </w:r>
    <w:r w:rsidR="00CC2B35">
      <w:rPr>
        <w:b/>
        <w:color w:val="3F4A75" w:themeColor="text2"/>
        <w:sz w:val="16"/>
      </w:rPr>
      <w:t xml:space="preserve"> Disorder</w:t>
    </w:r>
    <w:r w:rsidR="00D66FC1">
      <w:rPr>
        <w:b/>
        <w:color w:val="3F4A75" w:themeColor="text2"/>
        <w:sz w:val="16"/>
      </w:rPr>
      <w:t xml:space="preserve"> and </w:t>
    </w:r>
    <w:r w:rsidR="00CC2B35">
      <w:rPr>
        <w:b/>
        <w:color w:val="3F4A75" w:themeColor="text2"/>
        <w:sz w:val="16"/>
      </w:rPr>
      <w:t>E</w:t>
    </w:r>
    <w:r w:rsidR="00D66FC1">
      <w:rPr>
        <w:b/>
        <w:color w:val="3F4A75" w:themeColor="text2"/>
        <w:sz w:val="16"/>
      </w:rPr>
      <w:t>ligible disability items</w:t>
    </w:r>
    <w:r w:rsidR="00D66FC1" w:rsidRPr="00C64B9E">
      <w:rPr>
        <w:b/>
        <w:color w:val="3F4A75" w:themeColor="text2"/>
        <w:sz w:val="16"/>
      </w:rPr>
      <w:t xml:space="preserve"> </w:t>
    </w:r>
    <w:r w:rsidR="00EB520C"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FD68CC">
          <w:rPr>
            <w:color w:val="3F4A75" w:themeColor="text2"/>
            <w:sz w:val="16"/>
          </w:rPr>
          <w:t xml:space="preserve">                                   </w:t>
        </w:r>
      </w:sdtContent>
    </w:sdt>
    <w:hyperlink r:id="rId1" w:history="1">
      <w:r w:rsidR="00EB520C" w:rsidRPr="00AD581A">
        <w:rPr>
          <w:color w:val="0000FF" w:themeColor="hyperlink"/>
          <w:sz w:val="16"/>
          <w:szCs w:val="18"/>
          <w:u w:val="single"/>
        </w:rPr>
        <w:t>MBS Online</w:t>
      </w:r>
    </w:hyperlink>
    <w:bookmarkStart w:id="3" w:name="_Hlk6912109"/>
    <w:bookmarkStart w:id="4" w:name="_Hlk6912110"/>
  </w:p>
  <w:p w14:paraId="0D181533" w14:textId="7D868B8F" w:rsidR="00EB520C" w:rsidRPr="00D66FC1" w:rsidRDefault="00EB520C" w:rsidP="00FD68CC">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w:t>
    </w:r>
    <w:r w:rsidR="004348BA">
      <w:rPr>
        <w:color w:val="3F4A75" w:themeColor="text2"/>
        <w:sz w:val="16"/>
      </w:rPr>
      <w:t>02</w:t>
    </w:r>
    <w:r>
      <w:rPr>
        <w:color w:val="3F4A75" w:themeColor="text2"/>
        <w:sz w:val="16"/>
      </w:rPr>
      <w:t xml:space="preserve"> </w:t>
    </w:r>
    <w:r w:rsidR="004348BA">
      <w:rPr>
        <w:color w:val="3F4A75" w:themeColor="text2"/>
        <w:sz w:val="16"/>
      </w:rPr>
      <w:t>February</w:t>
    </w:r>
    <w:r>
      <w:rPr>
        <w:color w:val="3F4A75" w:themeColor="text2"/>
        <w:sz w:val="16"/>
      </w:rPr>
      <w:t xml:space="preserve"> 20</w:t>
    </w:r>
    <w:bookmarkEnd w:id="3"/>
    <w:bookmarkEnd w:id="4"/>
    <w:r w:rsidR="004348BA">
      <w:rPr>
        <w:color w:val="3F4A75" w:themeColor="text2"/>
        <w:sz w:val="16"/>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2160ED"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77777777" w:rsidR="0094106D" w:rsidRPr="00C64B9E" w:rsidRDefault="0094106D" w:rsidP="0094106D">
    <w:pPr>
      <w:tabs>
        <w:tab w:val="center" w:pos="4513"/>
        <w:tab w:val="right" w:pos="10466"/>
      </w:tabs>
      <w:spacing w:after="0" w:line="240" w:lineRule="auto"/>
      <w:rPr>
        <w:color w:val="3F4A75" w:themeColor="text2"/>
        <w:sz w:val="16"/>
      </w:rPr>
    </w:pPr>
    <w:r w:rsidRPr="00C64B9E">
      <w:rPr>
        <w:b/>
        <w:color w:val="3F4A75" w:themeColor="text2"/>
        <w:sz w:val="16"/>
      </w:rPr>
      <w:t xml:space="preserve">[Title] – </w:t>
    </w:r>
    <w:r>
      <w:rPr>
        <w:b/>
        <w:color w:val="3F4A75" w:themeColor="text2"/>
        <w:sz w:val="16"/>
      </w:rPr>
      <w:t>Quick reference guide</w:t>
    </w:r>
    <w:r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1640E9B2" w14:textId="77777777" w:rsidR="0094106D" w:rsidRDefault="002160ED"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760374CB"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D Month 20YY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8D4" w14:textId="0917E1E5" w:rsidR="007A3517" w:rsidRPr="00C64B9E" w:rsidRDefault="002160ED" w:rsidP="009E6676">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r w:rsidR="009E6676">
      <w:rPr>
        <w:color w:val="3F4A75" w:themeColor="text2"/>
        <w:sz w:val="16"/>
      </w:rPr>
      <w:br/>
    </w:r>
    <w:r w:rsidR="008447CB">
      <w:rPr>
        <w:b/>
        <w:color w:val="3F4A75" w:themeColor="text2"/>
        <w:sz w:val="16"/>
      </w:rPr>
      <w:t>Changes to complex neurodevelopmental and eligible disability items</w:t>
    </w:r>
    <w:r w:rsidR="007A3517" w:rsidRPr="00C64B9E">
      <w:rPr>
        <w:b/>
        <w:color w:val="3F4A75" w:themeColor="text2"/>
        <w:sz w:val="16"/>
      </w:rPr>
      <w:t xml:space="preserve"> –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0376DE64" w14:textId="6F09B8D4" w:rsidR="007A3517" w:rsidRPr="005B7573" w:rsidRDefault="002160ED" w:rsidP="009E6676">
    <w:pPr>
      <w:pStyle w:val="Footer"/>
      <w:jc w:val="left"/>
      <w:rPr>
        <w:color w:val="3F4A75" w:themeColor="text2"/>
        <w:sz w:val="16"/>
      </w:rPr>
    </w:pPr>
    <w:hyperlink r:id="rId1" w:history="1">
      <w:r w:rsidR="007A3517" w:rsidRPr="00AD581A">
        <w:rPr>
          <w:color w:val="0000FF" w:themeColor="hyperlink"/>
          <w:sz w:val="16"/>
          <w:szCs w:val="18"/>
          <w:u w:val="single"/>
        </w:rPr>
        <w:t>MBS Online</w:t>
      </w:r>
    </w:hyperlink>
    <w:r w:rsidR="009E6676">
      <w:rPr>
        <w:color w:val="0000FF" w:themeColor="hyperlink"/>
        <w:sz w:val="16"/>
        <w:szCs w:val="18"/>
        <w:u w:val="single"/>
      </w:rPr>
      <w:br/>
    </w:r>
    <w:r w:rsidR="007A3517" w:rsidRPr="005B7573">
      <w:rPr>
        <w:color w:val="3F4A75" w:themeColor="text2"/>
        <w:sz w:val="16"/>
      </w:rPr>
      <w:t>Last updated</w:t>
    </w:r>
    <w:r w:rsidR="007A3517">
      <w:rPr>
        <w:color w:val="3F4A75" w:themeColor="text2"/>
        <w:sz w:val="16"/>
      </w:rPr>
      <w:t xml:space="preserve"> – </w:t>
    </w:r>
    <w:r w:rsidR="009E6676">
      <w:rPr>
        <w:color w:val="3F4A75" w:themeColor="text2"/>
        <w:sz w:val="16"/>
      </w:rPr>
      <w:t>02</w:t>
    </w:r>
    <w:r w:rsidR="007A3517">
      <w:rPr>
        <w:color w:val="3F4A75" w:themeColor="text2"/>
        <w:sz w:val="16"/>
      </w:rPr>
      <w:t xml:space="preserve"> </w:t>
    </w:r>
    <w:r w:rsidR="009E6676">
      <w:rPr>
        <w:color w:val="3F4A75" w:themeColor="text2"/>
        <w:sz w:val="16"/>
      </w:rPr>
      <w:t xml:space="preserve">February </w:t>
    </w:r>
    <w:r w:rsidR="007A3517">
      <w:rPr>
        <w:color w:val="3F4A75" w:themeColor="text2"/>
        <w:sz w:val="16"/>
      </w:rPr>
      <w:t>20</w:t>
    </w:r>
    <w:r w:rsidR="009E6676">
      <w:rPr>
        <w:color w:val="3F4A75" w:themeColor="text2"/>
        <w:sz w:val="16"/>
      </w:rPr>
      <w:t>23</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4904" w14:textId="77777777" w:rsidR="002160ED" w:rsidRDefault="002160ED" w:rsidP="006B56BB">
      <w:r>
        <w:separator/>
      </w:r>
    </w:p>
    <w:p w14:paraId="50E6DF57" w14:textId="77777777" w:rsidR="002160ED" w:rsidRDefault="002160ED"/>
  </w:footnote>
  <w:footnote w:type="continuationSeparator" w:id="0">
    <w:p w14:paraId="25DA212C" w14:textId="77777777" w:rsidR="002160ED" w:rsidRDefault="002160ED" w:rsidP="006B56BB">
      <w:r>
        <w:continuationSeparator/>
      </w:r>
    </w:p>
    <w:p w14:paraId="3C37598B" w14:textId="77777777" w:rsidR="002160ED" w:rsidRDefault="002160ED"/>
  </w:footnote>
  <w:footnote w:type="continuationNotice" w:id="1">
    <w:p w14:paraId="027BDE99" w14:textId="77777777" w:rsidR="002160ED" w:rsidRDefault="00216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AED1" w14:textId="0E6E0E24" w:rsidR="00D27A64" w:rsidRDefault="00D27A64">
    <w:pPr>
      <w:pStyle w:val="Header"/>
    </w:pPr>
    <w:r>
      <w:rPr>
        <w:noProof/>
      </w:rPr>
      <w:drawing>
        <wp:inline distT="0" distB="0" distL="0" distR="0" wp14:anchorId="2F214555" wp14:editId="1CA429AE">
          <wp:extent cx="5731510" cy="937137"/>
          <wp:effectExtent l="0" t="0" r="2540" b="0"/>
          <wp:docPr id="4" name="Picture 4" descr="Australian Government Department of Health and Aged Care banner"/>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o"/>
      <w:lvlJc w:val="left"/>
      <w:pPr>
        <w:tabs>
          <w:tab w:val="num" w:pos="720"/>
        </w:tabs>
        <w:ind w:left="720" w:hanging="360"/>
      </w:pPr>
      <w:rPr>
        <w:rFonts w:ascii="Courier New" w:hAnsi="Courier New"/>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o"/>
      <w:lvlJc w:val="left"/>
      <w:pPr>
        <w:tabs>
          <w:tab w:val="num" w:pos="720"/>
        </w:tabs>
        <w:ind w:left="720" w:hanging="360"/>
      </w:pPr>
      <w:rPr>
        <w:rFonts w:ascii="Courier New" w:hAnsi="Courier New"/>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o"/>
      <w:lvlJc w:val="left"/>
      <w:pPr>
        <w:tabs>
          <w:tab w:val="num" w:pos="720"/>
        </w:tabs>
        <w:ind w:left="720" w:hanging="360"/>
      </w:pPr>
      <w:rPr>
        <w:rFonts w:ascii="Courier New" w:hAnsi="Courier New"/>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o"/>
      <w:lvlJc w:val="left"/>
      <w:pPr>
        <w:tabs>
          <w:tab w:val="num" w:pos="720"/>
        </w:tabs>
        <w:ind w:left="720" w:hanging="360"/>
      </w:pPr>
      <w:rPr>
        <w:rFonts w:ascii="Courier New" w:hAnsi="Courier New"/>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873B78"/>
    <w:multiLevelType w:val="hybridMultilevel"/>
    <w:tmpl w:val="DC0A2B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0E06CD2"/>
    <w:multiLevelType w:val="hybridMultilevel"/>
    <w:tmpl w:val="27D2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30"/>
  </w:num>
  <w:num w:numId="4">
    <w:abstractNumId w:val="22"/>
  </w:num>
  <w:num w:numId="5">
    <w:abstractNumId w:val="23"/>
  </w:num>
  <w:num w:numId="6">
    <w:abstractNumId w:val="29"/>
  </w:num>
  <w:num w:numId="7">
    <w:abstractNumId w:val="25"/>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7"/>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94D"/>
    <w:rsid w:val="00007FD8"/>
    <w:rsid w:val="000117F8"/>
    <w:rsid w:val="0001460F"/>
    <w:rsid w:val="00022629"/>
    <w:rsid w:val="00026139"/>
    <w:rsid w:val="00027601"/>
    <w:rsid w:val="00027A47"/>
    <w:rsid w:val="00033305"/>
    <w:rsid w:val="00033321"/>
    <w:rsid w:val="000338E5"/>
    <w:rsid w:val="00033ECC"/>
    <w:rsid w:val="0003422F"/>
    <w:rsid w:val="00046FF0"/>
    <w:rsid w:val="00050176"/>
    <w:rsid w:val="00050342"/>
    <w:rsid w:val="00052817"/>
    <w:rsid w:val="00052F18"/>
    <w:rsid w:val="00062A4F"/>
    <w:rsid w:val="00063C38"/>
    <w:rsid w:val="00064A28"/>
    <w:rsid w:val="00065B70"/>
    <w:rsid w:val="00066E68"/>
    <w:rsid w:val="00067456"/>
    <w:rsid w:val="00071506"/>
    <w:rsid w:val="0007154F"/>
    <w:rsid w:val="00077128"/>
    <w:rsid w:val="00081AB1"/>
    <w:rsid w:val="00090316"/>
    <w:rsid w:val="00093981"/>
    <w:rsid w:val="000B0485"/>
    <w:rsid w:val="000B067A"/>
    <w:rsid w:val="000B1540"/>
    <w:rsid w:val="000B1E53"/>
    <w:rsid w:val="000B33FD"/>
    <w:rsid w:val="000B4ABA"/>
    <w:rsid w:val="000B521E"/>
    <w:rsid w:val="000C4B16"/>
    <w:rsid w:val="000C50C3"/>
    <w:rsid w:val="000C5775"/>
    <w:rsid w:val="000C5E14"/>
    <w:rsid w:val="000D0477"/>
    <w:rsid w:val="000D21F6"/>
    <w:rsid w:val="000D4500"/>
    <w:rsid w:val="000D7AEA"/>
    <w:rsid w:val="000E2C66"/>
    <w:rsid w:val="000E73C9"/>
    <w:rsid w:val="000F123C"/>
    <w:rsid w:val="000F1A5B"/>
    <w:rsid w:val="000F2FED"/>
    <w:rsid w:val="0010616D"/>
    <w:rsid w:val="00110478"/>
    <w:rsid w:val="0011711B"/>
    <w:rsid w:val="00117F8A"/>
    <w:rsid w:val="00121B9B"/>
    <w:rsid w:val="00122A56"/>
    <w:rsid w:val="00122ADC"/>
    <w:rsid w:val="00130F59"/>
    <w:rsid w:val="00133EC0"/>
    <w:rsid w:val="00141CE5"/>
    <w:rsid w:val="00144908"/>
    <w:rsid w:val="00153E4E"/>
    <w:rsid w:val="00156D96"/>
    <w:rsid w:val="001571C7"/>
    <w:rsid w:val="00161094"/>
    <w:rsid w:val="00175EFF"/>
    <w:rsid w:val="0017665C"/>
    <w:rsid w:val="00177AD2"/>
    <w:rsid w:val="001815A8"/>
    <w:rsid w:val="00181A40"/>
    <w:rsid w:val="0018409D"/>
    <w:rsid w:val="001840FA"/>
    <w:rsid w:val="00190079"/>
    <w:rsid w:val="00190229"/>
    <w:rsid w:val="0019622E"/>
    <w:rsid w:val="001966A7"/>
    <w:rsid w:val="001A18DB"/>
    <w:rsid w:val="001A45DB"/>
    <w:rsid w:val="001A4627"/>
    <w:rsid w:val="001A4979"/>
    <w:rsid w:val="001B15D3"/>
    <w:rsid w:val="001B3443"/>
    <w:rsid w:val="001C0326"/>
    <w:rsid w:val="001C192F"/>
    <w:rsid w:val="001C3C42"/>
    <w:rsid w:val="001D6475"/>
    <w:rsid w:val="001D7869"/>
    <w:rsid w:val="001D7F90"/>
    <w:rsid w:val="001E6D01"/>
    <w:rsid w:val="001E79F3"/>
    <w:rsid w:val="002026CD"/>
    <w:rsid w:val="00202FC4"/>
    <w:rsid w:val="002033FC"/>
    <w:rsid w:val="002044BB"/>
    <w:rsid w:val="0020626E"/>
    <w:rsid w:val="00210B09"/>
    <w:rsid w:val="00210C9E"/>
    <w:rsid w:val="00211840"/>
    <w:rsid w:val="00212DCB"/>
    <w:rsid w:val="002160ED"/>
    <w:rsid w:val="00220E5F"/>
    <w:rsid w:val="002212B5"/>
    <w:rsid w:val="002256AD"/>
    <w:rsid w:val="00226147"/>
    <w:rsid w:val="00226668"/>
    <w:rsid w:val="00233809"/>
    <w:rsid w:val="00240046"/>
    <w:rsid w:val="00243026"/>
    <w:rsid w:val="002441E3"/>
    <w:rsid w:val="0024797F"/>
    <w:rsid w:val="0025119E"/>
    <w:rsid w:val="00251269"/>
    <w:rsid w:val="0025287E"/>
    <w:rsid w:val="002535C0"/>
    <w:rsid w:val="00254596"/>
    <w:rsid w:val="002579FE"/>
    <w:rsid w:val="00260552"/>
    <w:rsid w:val="0026311C"/>
    <w:rsid w:val="00264D6B"/>
    <w:rsid w:val="0026668C"/>
    <w:rsid w:val="00266AC1"/>
    <w:rsid w:val="0027178C"/>
    <w:rsid w:val="002718A4"/>
    <w:rsid w:val="002719FA"/>
    <w:rsid w:val="00272668"/>
    <w:rsid w:val="0027330B"/>
    <w:rsid w:val="00273A59"/>
    <w:rsid w:val="002747FC"/>
    <w:rsid w:val="002803AD"/>
    <w:rsid w:val="00282052"/>
    <w:rsid w:val="002831A3"/>
    <w:rsid w:val="0028519E"/>
    <w:rsid w:val="002856A5"/>
    <w:rsid w:val="002872ED"/>
    <w:rsid w:val="002905C2"/>
    <w:rsid w:val="00291E5E"/>
    <w:rsid w:val="00295AF2"/>
    <w:rsid w:val="00295C91"/>
    <w:rsid w:val="00297151"/>
    <w:rsid w:val="002A4410"/>
    <w:rsid w:val="002B20E6"/>
    <w:rsid w:val="002B42A3"/>
    <w:rsid w:val="002C0CDD"/>
    <w:rsid w:val="002C38C4"/>
    <w:rsid w:val="002D6FC2"/>
    <w:rsid w:val="002E1A1D"/>
    <w:rsid w:val="002E4081"/>
    <w:rsid w:val="002E5B78"/>
    <w:rsid w:val="002E7FFC"/>
    <w:rsid w:val="002F2E00"/>
    <w:rsid w:val="002F3AE3"/>
    <w:rsid w:val="002F712D"/>
    <w:rsid w:val="002F75B3"/>
    <w:rsid w:val="002F7CAD"/>
    <w:rsid w:val="002F7F1F"/>
    <w:rsid w:val="00301CB4"/>
    <w:rsid w:val="0030464B"/>
    <w:rsid w:val="0030786C"/>
    <w:rsid w:val="00316EFE"/>
    <w:rsid w:val="003233DE"/>
    <w:rsid w:val="0032466B"/>
    <w:rsid w:val="00330CA3"/>
    <w:rsid w:val="00330ED9"/>
    <w:rsid w:val="0033208A"/>
    <w:rsid w:val="003330EB"/>
    <w:rsid w:val="003415FD"/>
    <w:rsid w:val="003429F0"/>
    <w:rsid w:val="00345A82"/>
    <w:rsid w:val="0035097A"/>
    <w:rsid w:val="003540A4"/>
    <w:rsid w:val="0035538F"/>
    <w:rsid w:val="003557C5"/>
    <w:rsid w:val="00357BCC"/>
    <w:rsid w:val="00360E4E"/>
    <w:rsid w:val="00361850"/>
    <w:rsid w:val="003633DA"/>
    <w:rsid w:val="00364FB5"/>
    <w:rsid w:val="00365906"/>
    <w:rsid w:val="00370AAA"/>
    <w:rsid w:val="00371934"/>
    <w:rsid w:val="00372506"/>
    <w:rsid w:val="00375F77"/>
    <w:rsid w:val="00377179"/>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738B"/>
    <w:rsid w:val="003C0FEC"/>
    <w:rsid w:val="003C11FC"/>
    <w:rsid w:val="003C14B1"/>
    <w:rsid w:val="003C2AC8"/>
    <w:rsid w:val="003D033A"/>
    <w:rsid w:val="003D0B12"/>
    <w:rsid w:val="003D17F9"/>
    <w:rsid w:val="003D1951"/>
    <w:rsid w:val="003D2D88"/>
    <w:rsid w:val="003D41EA"/>
    <w:rsid w:val="003D4850"/>
    <w:rsid w:val="003D4EC9"/>
    <w:rsid w:val="003D535A"/>
    <w:rsid w:val="003E5265"/>
    <w:rsid w:val="003F0955"/>
    <w:rsid w:val="003F5F4D"/>
    <w:rsid w:val="003F646F"/>
    <w:rsid w:val="00400F00"/>
    <w:rsid w:val="00404F8B"/>
    <w:rsid w:val="00405256"/>
    <w:rsid w:val="00410031"/>
    <w:rsid w:val="004125F0"/>
    <w:rsid w:val="00415C81"/>
    <w:rsid w:val="004207EC"/>
    <w:rsid w:val="00432378"/>
    <w:rsid w:val="004348BA"/>
    <w:rsid w:val="00440D65"/>
    <w:rsid w:val="004435E6"/>
    <w:rsid w:val="00446934"/>
    <w:rsid w:val="00446D40"/>
    <w:rsid w:val="00447E31"/>
    <w:rsid w:val="00453923"/>
    <w:rsid w:val="00454B9B"/>
    <w:rsid w:val="00457858"/>
    <w:rsid w:val="00460B0B"/>
    <w:rsid w:val="00461023"/>
    <w:rsid w:val="00462FAC"/>
    <w:rsid w:val="00464631"/>
    <w:rsid w:val="00464B79"/>
    <w:rsid w:val="00467BBF"/>
    <w:rsid w:val="00473E3F"/>
    <w:rsid w:val="004776D9"/>
    <w:rsid w:val="0048593C"/>
    <w:rsid w:val="004867E2"/>
    <w:rsid w:val="004929A9"/>
    <w:rsid w:val="00495804"/>
    <w:rsid w:val="004A78D9"/>
    <w:rsid w:val="004C1BCD"/>
    <w:rsid w:val="004C5E82"/>
    <w:rsid w:val="004C6BCF"/>
    <w:rsid w:val="004C7FA2"/>
    <w:rsid w:val="004D0589"/>
    <w:rsid w:val="004D58BF"/>
    <w:rsid w:val="004E35C9"/>
    <w:rsid w:val="004E4335"/>
    <w:rsid w:val="004F13EE"/>
    <w:rsid w:val="004F2022"/>
    <w:rsid w:val="004F7C05"/>
    <w:rsid w:val="00501C94"/>
    <w:rsid w:val="00506432"/>
    <w:rsid w:val="00506E82"/>
    <w:rsid w:val="00507E03"/>
    <w:rsid w:val="00511443"/>
    <w:rsid w:val="0052051D"/>
    <w:rsid w:val="00540729"/>
    <w:rsid w:val="00545EE6"/>
    <w:rsid w:val="00551C38"/>
    <w:rsid w:val="00553202"/>
    <w:rsid w:val="00553A06"/>
    <w:rsid w:val="005550E7"/>
    <w:rsid w:val="005564FB"/>
    <w:rsid w:val="005572C7"/>
    <w:rsid w:val="00563FE2"/>
    <w:rsid w:val="005650ED"/>
    <w:rsid w:val="00575754"/>
    <w:rsid w:val="00581FBA"/>
    <w:rsid w:val="00591E20"/>
    <w:rsid w:val="005949C6"/>
    <w:rsid w:val="00595408"/>
    <w:rsid w:val="00595E84"/>
    <w:rsid w:val="005A0C59"/>
    <w:rsid w:val="005A2790"/>
    <w:rsid w:val="005A44ED"/>
    <w:rsid w:val="005A48EB"/>
    <w:rsid w:val="005A6CFB"/>
    <w:rsid w:val="005B4167"/>
    <w:rsid w:val="005C29A3"/>
    <w:rsid w:val="005C5AEB"/>
    <w:rsid w:val="005D365D"/>
    <w:rsid w:val="005D40FA"/>
    <w:rsid w:val="005E0A3F"/>
    <w:rsid w:val="005E6883"/>
    <w:rsid w:val="005E772F"/>
    <w:rsid w:val="005F33A8"/>
    <w:rsid w:val="005F4ECA"/>
    <w:rsid w:val="00602CF1"/>
    <w:rsid w:val="006041BE"/>
    <w:rsid w:val="006043C7"/>
    <w:rsid w:val="0061301F"/>
    <w:rsid w:val="00615EE2"/>
    <w:rsid w:val="00624B52"/>
    <w:rsid w:val="00630794"/>
    <w:rsid w:val="00631DF4"/>
    <w:rsid w:val="00633E24"/>
    <w:rsid w:val="00634175"/>
    <w:rsid w:val="006408AC"/>
    <w:rsid w:val="00640A2B"/>
    <w:rsid w:val="006511B6"/>
    <w:rsid w:val="00652F35"/>
    <w:rsid w:val="00657FF8"/>
    <w:rsid w:val="00670D99"/>
    <w:rsid w:val="00670E2B"/>
    <w:rsid w:val="006713ED"/>
    <w:rsid w:val="006734BB"/>
    <w:rsid w:val="0067697A"/>
    <w:rsid w:val="00681651"/>
    <w:rsid w:val="006821EB"/>
    <w:rsid w:val="00686E62"/>
    <w:rsid w:val="00696E97"/>
    <w:rsid w:val="006B15E7"/>
    <w:rsid w:val="006B2286"/>
    <w:rsid w:val="006B56BB"/>
    <w:rsid w:val="006C0B7C"/>
    <w:rsid w:val="006C1CC4"/>
    <w:rsid w:val="006C259E"/>
    <w:rsid w:val="006C486F"/>
    <w:rsid w:val="006C77A8"/>
    <w:rsid w:val="006D4098"/>
    <w:rsid w:val="006D7681"/>
    <w:rsid w:val="006D7B2E"/>
    <w:rsid w:val="006E02EA"/>
    <w:rsid w:val="006E0968"/>
    <w:rsid w:val="006E2AF6"/>
    <w:rsid w:val="006E5BD7"/>
    <w:rsid w:val="00701275"/>
    <w:rsid w:val="00707F56"/>
    <w:rsid w:val="00710675"/>
    <w:rsid w:val="00713558"/>
    <w:rsid w:val="007168DE"/>
    <w:rsid w:val="00720D08"/>
    <w:rsid w:val="007263B9"/>
    <w:rsid w:val="00731BD3"/>
    <w:rsid w:val="007334F8"/>
    <w:rsid w:val="007339CD"/>
    <w:rsid w:val="007359D8"/>
    <w:rsid w:val="007362D4"/>
    <w:rsid w:val="00752397"/>
    <w:rsid w:val="00755CC8"/>
    <w:rsid w:val="007620DA"/>
    <w:rsid w:val="0076672A"/>
    <w:rsid w:val="00767C9B"/>
    <w:rsid w:val="00771E5C"/>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FB8"/>
    <w:rsid w:val="007E4D09"/>
    <w:rsid w:val="007F17B8"/>
    <w:rsid w:val="007F2220"/>
    <w:rsid w:val="007F49DA"/>
    <w:rsid w:val="007F4B3E"/>
    <w:rsid w:val="007F7052"/>
    <w:rsid w:val="00800501"/>
    <w:rsid w:val="00803C69"/>
    <w:rsid w:val="008127AF"/>
    <w:rsid w:val="00812B46"/>
    <w:rsid w:val="00813C55"/>
    <w:rsid w:val="00815700"/>
    <w:rsid w:val="0082110E"/>
    <w:rsid w:val="0082246B"/>
    <w:rsid w:val="00825AE7"/>
    <w:rsid w:val="008264EB"/>
    <w:rsid w:val="00826B8F"/>
    <w:rsid w:val="00831E8A"/>
    <w:rsid w:val="00835C76"/>
    <w:rsid w:val="0083733E"/>
    <w:rsid w:val="008376E2"/>
    <w:rsid w:val="00842565"/>
    <w:rsid w:val="00843049"/>
    <w:rsid w:val="008447CB"/>
    <w:rsid w:val="0085209B"/>
    <w:rsid w:val="00856B66"/>
    <w:rsid w:val="008601AC"/>
    <w:rsid w:val="00861A5F"/>
    <w:rsid w:val="008644AD"/>
    <w:rsid w:val="00865735"/>
    <w:rsid w:val="00865DDB"/>
    <w:rsid w:val="00867538"/>
    <w:rsid w:val="00873D90"/>
    <w:rsid w:val="00873FC8"/>
    <w:rsid w:val="00884C63"/>
    <w:rsid w:val="00885908"/>
    <w:rsid w:val="008864B7"/>
    <w:rsid w:val="00886D0D"/>
    <w:rsid w:val="0089677E"/>
    <w:rsid w:val="008A478C"/>
    <w:rsid w:val="008A7259"/>
    <w:rsid w:val="008A7438"/>
    <w:rsid w:val="008B1334"/>
    <w:rsid w:val="008B25C7"/>
    <w:rsid w:val="008C0278"/>
    <w:rsid w:val="008C24E9"/>
    <w:rsid w:val="008D0533"/>
    <w:rsid w:val="008D42CB"/>
    <w:rsid w:val="008D48C9"/>
    <w:rsid w:val="008D6381"/>
    <w:rsid w:val="008D6E86"/>
    <w:rsid w:val="008E0C77"/>
    <w:rsid w:val="008E10D0"/>
    <w:rsid w:val="008E625F"/>
    <w:rsid w:val="008F264D"/>
    <w:rsid w:val="008F5CFA"/>
    <w:rsid w:val="008F6686"/>
    <w:rsid w:val="009040E9"/>
    <w:rsid w:val="00905531"/>
    <w:rsid w:val="009074E1"/>
    <w:rsid w:val="009112F7"/>
    <w:rsid w:val="009122AF"/>
    <w:rsid w:val="00912D25"/>
    <w:rsid w:val="00912D54"/>
    <w:rsid w:val="0091389F"/>
    <w:rsid w:val="009208F7"/>
    <w:rsid w:val="00921649"/>
    <w:rsid w:val="00922517"/>
    <w:rsid w:val="00922722"/>
    <w:rsid w:val="009261E6"/>
    <w:rsid w:val="009268E1"/>
    <w:rsid w:val="009271B9"/>
    <w:rsid w:val="009271EE"/>
    <w:rsid w:val="009344AE"/>
    <w:rsid w:val="009344DE"/>
    <w:rsid w:val="009363A3"/>
    <w:rsid w:val="009369F7"/>
    <w:rsid w:val="0094106D"/>
    <w:rsid w:val="00942BFC"/>
    <w:rsid w:val="00945E7F"/>
    <w:rsid w:val="009527FA"/>
    <w:rsid w:val="009557C1"/>
    <w:rsid w:val="00960D6E"/>
    <w:rsid w:val="00974B59"/>
    <w:rsid w:val="0098340B"/>
    <w:rsid w:val="00986830"/>
    <w:rsid w:val="009924C3"/>
    <w:rsid w:val="00993102"/>
    <w:rsid w:val="00995B1A"/>
    <w:rsid w:val="009A0ADD"/>
    <w:rsid w:val="009A0BEE"/>
    <w:rsid w:val="009A50DA"/>
    <w:rsid w:val="009B1570"/>
    <w:rsid w:val="009C68FB"/>
    <w:rsid w:val="009C6F10"/>
    <w:rsid w:val="009D148F"/>
    <w:rsid w:val="009D3D70"/>
    <w:rsid w:val="009E6676"/>
    <w:rsid w:val="009E6F7E"/>
    <w:rsid w:val="009E7A57"/>
    <w:rsid w:val="009F0009"/>
    <w:rsid w:val="009F4803"/>
    <w:rsid w:val="009F4F6A"/>
    <w:rsid w:val="009F6DE4"/>
    <w:rsid w:val="00A13EB5"/>
    <w:rsid w:val="00A151A0"/>
    <w:rsid w:val="00A16E36"/>
    <w:rsid w:val="00A21F28"/>
    <w:rsid w:val="00A23A96"/>
    <w:rsid w:val="00A24961"/>
    <w:rsid w:val="00A24B10"/>
    <w:rsid w:val="00A277EF"/>
    <w:rsid w:val="00A30E9B"/>
    <w:rsid w:val="00A31E9B"/>
    <w:rsid w:val="00A3297C"/>
    <w:rsid w:val="00A36804"/>
    <w:rsid w:val="00A400EF"/>
    <w:rsid w:val="00A4512D"/>
    <w:rsid w:val="00A50244"/>
    <w:rsid w:val="00A51163"/>
    <w:rsid w:val="00A560DC"/>
    <w:rsid w:val="00A5661E"/>
    <w:rsid w:val="00A6145E"/>
    <w:rsid w:val="00A627D7"/>
    <w:rsid w:val="00A651E4"/>
    <w:rsid w:val="00A656C7"/>
    <w:rsid w:val="00A705AF"/>
    <w:rsid w:val="00A719F6"/>
    <w:rsid w:val="00A72454"/>
    <w:rsid w:val="00A757B9"/>
    <w:rsid w:val="00A77696"/>
    <w:rsid w:val="00A80557"/>
    <w:rsid w:val="00A81D33"/>
    <w:rsid w:val="00A8341C"/>
    <w:rsid w:val="00A930AE"/>
    <w:rsid w:val="00AA1A95"/>
    <w:rsid w:val="00AA260F"/>
    <w:rsid w:val="00AA6575"/>
    <w:rsid w:val="00AB1EE7"/>
    <w:rsid w:val="00AB2E31"/>
    <w:rsid w:val="00AB4B37"/>
    <w:rsid w:val="00AB5762"/>
    <w:rsid w:val="00AC2679"/>
    <w:rsid w:val="00AC4BE4"/>
    <w:rsid w:val="00AC4E6E"/>
    <w:rsid w:val="00AD05E6"/>
    <w:rsid w:val="00AD0D3F"/>
    <w:rsid w:val="00AE1D7D"/>
    <w:rsid w:val="00AE2A8B"/>
    <w:rsid w:val="00AE3F64"/>
    <w:rsid w:val="00AF17C6"/>
    <w:rsid w:val="00AF347F"/>
    <w:rsid w:val="00AF7386"/>
    <w:rsid w:val="00AF7934"/>
    <w:rsid w:val="00B0084E"/>
    <w:rsid w:val="00B00B81"/>
    <w:rsid w:val="00B04580"/>
    <w:rsid w:val="00B04B09"/>
    <w:rsid w:val="00B16A51"/>
    <w:rsid w:val="00B32222"/>
    <w:rsid w:val="00B3618D"/>
    <w:rsid w:val="00B36233"/>
    <w:rsid w:val="00B36BD2"/>
    <w:rsid w:val="00B36D6B"/>
    <w:rsid w:val="00B42851"/>
    <w:rsid w:val="00B45891"/>
    <w:rsid w:val="00B45AC7"/>
    <w:rsid w:val="00B50C60"/>
    <w:rsid w:val="00B5372F"/>
    <w:rsid w:val="00B53987"/>
    <w:rsid w:val="00B61129"/>
    <w:rsid w:val="00B62786"/>
    <w:rsid w:val="00B63D58"/>
    <w:rsid w:val="00B67E7F"/>
    <w:rsid w:val="00B810E7"/>
    <w:rsid w:val="00B839B2"/>
    <w:rsid w:val="00B93B33"/>
    <w:rsid w:val="00B94252"/>
    <w:rsid w:val="00B9715A"/>
    <w:rsid w:val="00BA14BE"/>
    <w:rsid w:val="00BA2732"/>
    <w:rsid w:val="00BA293D"/>
    <w:rsid w:val="00BA49BC"/>
    <w:rsid w:val="00BA56B7"/>
    <w:rsid w:val="00BA69A1"/>
    <w:rsid w:val="00BA7A1E"/>
    <w:rsid w:val="00BB2F6C"/>
    <w:rsid w:val="00BB3875"/>
    <w:rsid w:val="00BB5860"/>
    <w:rsid w:val="00BB6AAD"/>
    <w:rsid w:val="00BC0240"/>
    <w:rsid w:val="00BC2F4C"/>
    <w:rsid w:val="00BC4A19"/>
    <w:rsid w:val="00BC4E6D"/>
    <w:rsid w:val="00BC6D6A"/>
    <w:rsid w:val="00BD0617"/>
    <w:rsid w:val="00BD2E9B"/>
    <w:rsid w:val="00BD7FB2"/>
    <w:rsid w:val="00BE22A9"/>
    <w:rsid w:val="00BF134C"/>
    <w:rsid w:val="00BF3D07"/>
    <w:rsid w:val="00BF7CE5"/>
    <w:rsid w:val="00C00930"/>
    <w:rsid w:val="00C060AD"/>
    <w:rsid w:val="00C113BF"/>
    <w:rsid w:val="00C207DA"/>
    <w:rsid w:val="00C2176E"/>
    <w:rsid w:val="00C23430"/>
    <w:rsid w:val="00C2626E"/>
    <w:rsid w:val="00C27D67"/>
    <w:rsid w:val="00C304BC"/>
    <w:rsid w:val="00C317C9"/>
    <w:rsid w:val="00C41690"/>
    <w:rsid w:val="00C4529E"/>
    <w:rsid w:val="00C4631F"/>
    <w:rsid w:val="00C47CDE"/>
    <w:rsid w:val="00C50E16"/>
    <w:rsid w:val="00C55258"/>
    <w:rsid w:val="00C71950"/>
    <w:rsid w:val="00C73A98"/>
    <w:rsid w:val="00C82EEB"/>
    <w:rsid w:val="00C849AD"/>
    <w:rsid w:val="00C92130"/>
    <w:rsid w:val="00C971DC"/>
    <w:rsid w:val="00CA15E7"/>
    <w:rsid w:val="00CA16B7"/>
    <w:rsid w:val="00CA62AE"/>
    <w:rsid w:val="00CB0D30"/>
    <w:rsid w:val="00CB3422"/>
    <w:rsid w:val="00CB5B0A"/>
    <w:rsid w:val="00CB5B1A"/>
    <w:rsid w:val="00CC220B"/>
    <w:rsid w:val="00CC2B35"/>
    <w:rsid w:val="00CC5C43"/>
    <w:rsid w:val="00CC7219"/>
    <w:rsid w:val="00CD02AE"/>
    <w:rsid w:val="00CD0478"/>
    <w:rsid w:val="00CD2A4F"/>
    <w:rsid w:val="00CE03CA"/>
    <w:rsid w:val="00CE22F1"/>
    <w:rsid w:val="00CE50F2"/>
    <w:rsid w:val="00CE6502"/>
    <w:rsid w:val="00CF5E64"/>
    <w:rsid w:val="00CF7D3C"/>
    <w:rsid w:val="00D01F09"/>
    <w:rsid w:val="00D0443C"/>
    <w:rsid w:val="00D147EB"/>
    <w:rsid w:val="00D2743D"/>
    <w:rsid w:val="00D27A64"/>
    <w:rsid w:val="00D34667"/>
    <w:rsid w:val="00D401E1"/>
    <w:rsid w:val="00D408B4"/>
    <w:rsid w:val="00D43F17"/>
    <w:rsid w:val="00D44330"/>
    <w:rsid w:val="00D524C8"/>
    <w:rsid w:val="00D63179"/>
    <w:rsid w:val="00D66FC1"/>
    <w:rsid w:val="00D70E24"/>
    <w:rsid w:val="00D72B61"/>
    <w:rsid w:val="00D7705F"/>
    <w:rsid w:val="00D870BD"/>
    <w:rsid w:val="00D947CF"/>
    <w:rsid w:val="00DA02DF"/>
    <w:rsid w:val="00DA096D"/>
    <w:rsid w:val="00DA3D1D"/>
    <w:rsid w:val="00DB57FC"/>
    <w:rsid w:val="00DB6286"/>
    <w:rsid w:val="00DB645F"/>
    <w:rsid w:val="00DB76E9"/>
    <w:rsid w:val="00DC0A67"/>
    <w:rsid w:val="00DC0FDE"/>
    <w:rsid w:val="00DC1D5E"/>
    <w:rsid w:val="00DC5220"/>
    <w:rsid w:val="00DD2061"/>
    <w:rsid w:val="00DD7DAB"/>
    <w:rsid w:val="00DE3355"/>
    <w:rsid w:val="00DE3441"/>
    <w:rsid w:val="00DF0C60"/>
    <w:rsid w:val="00DF2193"/>
    <w:rsid w:val="00DF486F"/>
    <w:rsid w:val="00DF5B5B"/>
    <w:rsid w:val="00DF7619"/>
    <w:rsid w:val="00E042D8"/>
    <w:rsid w:val="00E0778A"/>
    <w:rsid w:val="00E07EE7"/>
    <w:rsid w:val="00E1103B"/>
    <w:rsid w:val="00E116B0"/>
    <w:rsid w:val="00E17B44"/>
    <w:rsid w:val="00E20F27"/>
    <w:rsid w:val="00E22443"/>
    <w:rsid w:val="00E25B1F"/>
    <w:rsid w:val="00E27FEA"/>
    <w:rsid w:val="00E4086F"/>
    <w:rsid w:val="00E43B3C"/>
    <w:rsid w:val="00E50188"/>
    <w:rsid w:val="00E50BB3"/>
    <w:rsid w:val="00E515CB"/>
    <w:rsid w:val="00E52260"/>
    <w:rsid w:val="00E52510"/>
    <w:rsid w:val="00E639B6"/>
    <w:rsid w:val="00E6434B"/>
    <w:rsid w:val="00E6463D"/>
    <w:rsid w:val="00E65CCE"/>
    <w:rsid w:val="00E72E9B"/>
    <w:rsid w:val="00E76659"/>
    <w:rsid w:val="00E850C3"/>
    <w:rsid w:val="00E87DF2"/>
    <w:rsid w:val="00E9462E"/>
    <w:rsid w:val="00EA470E"/>
    <w:rsid w:val="00EA47A7"/>
    <w:rsid w:val="00EA57EB"/>
    <w:rsid w:val="00EB3226"/>
    <w:rsid w:val="00EB41A2"/>
    <w:rsid w:val="00EB520C"/>
    <w:rsid w:val="00EC213A"/>
    <w:rsid w:val="00EC2673"/>
    <w:rsid w:val="00EC7744"/>
    <w:rsid w:val="00ED0DAD"/>
    <w:rsid w:val="00ED0F46"/>
    <w:rsid w:val="00ED2373"/>
    <w:rsid w:val="00ED3F6F"/>
    <w:rsid w:val="00EE3E8A"/>
    <w:rsid w:val="00EF4D9F"/>
    <w:rsid w:val="00EF58B8"/>
    <w:rsid w:val="00EF6ECA"/>
    <w:rsid w:val="00F00CB3"/>
    <w:rsid w:val="00F024E1"/>
    <w:rsid w:val="00F06C10"/>
    <w:rsid w:val="00F079D6"/>
    <w:rsid w:val="00F1096F"/>
    <w:rsid w:val="00F12589"/>
    <w:rsid w:val="00F12595"/>
    <w:rsid w:val="00F134D9"/>
    <w:rsid w:val="00F1403D"/>
    <w:rsid w:val="00F1463F"/>
    <w:rsid w:val="00F175B9"/>
    <w:rsid w:val="00F205FC"/>
    <w:rsid w:val="00F21302"/>
    <w:rsid w:val="00F2430D"/>
    <w:rsid w:val="00F313ED"/>
    <w:rsid w:val="00F321DE"/>
    <w:rsid w:val="00F33777"/>
    <w:rsid w:val="00F402E1"/>
    <w:rsid w:val="00F40648"/>
    <w:rsid w:val="00F42DDA"/>
    <w:rsid w:val="00F44310"/>
    <w:rsid w:val="00F47DA2"/>
    <w:rsid w:val="00F50CCE"/>
    <w:rsid w:val="00F519FC"/>
    <w:rsid w:val="00F54941"/>
    <w:rsid w:val="00F6239D"/>
    <w:rsid w:val="00F627B5"/>
    <w:rsid w:val="00F645EC"/>
    <w:rsid w:val="00F6491B"/>
    <w:rsid w:val="00F715D2"/>
    <w:rsid w:val="00F722E9"/>
    <w:rsid w:val="00F7274F"/>
    <w:rsid w:val="00F74E84"/>
    <w:rsid w:val="00F76FA8"/>
    <w:rsid w:val="00F80872"/>
    <w:rsid w:val="00F8208C"/>
    <w:rsid w:val="00F86CAE"/>
    <w:rsid w:val="00F93F08"/>
    <w:rsid w:val="00F94CED"/>
    <w:rsid w:val="00FA02BB"/>
    <w:rsid w:val="00FA2CEE"/>
    <w:rsid w:val="00FA318C"/>
    <w:rsid w:val="00FA7E93"/>
    <w:rsid w:val="00FB2A54"/>
    <w:rsid w:val="00FB66EE"/>
    <w:rsid w:val="00FB6F92"/>
    <w:rsid w:val="00FC026E"/>
    <w:rsid w:val="00FC32BA"/>
    <w:rsid w:val="00FC4E23"/>
    <w:rsid w:val="00FC5124"/>
    <w:rsid w:val="00FD0C0D"/>
    <w:rsid w:val="00FD4731"/>
    <w:rsid w:val="00FD6768"/>
    <w:rsid w:val="00FD68C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3"/>
      </w:numPr>
    </w:pPr>
    <w:rPr>
      <w:szCs w:val="20"/>
    </w:rPr>
  </w:style>
  <w:style w:type="paragraph" w:customStyle="1" w:styleId="Tablelistnumber">
    <w:name w:val="Table list number"/>
    <w:basedOn w:val="Tabletextleft"/>
    <w:qFormat/>
    <w:rsid w:val="00A719F6"/>
    <w:pPr>
      <w:numPr>
        <w:numId w:val="4"/>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nhideWhenUsed/>
    <w:rsid w:val="00813C55"/>
    <w:pPr>
      <w:spacing w:line="240" w:lineRule="auto"/>
    </w:pPr>
    <w:rPr>
      <w:szCs w:val="20"/>
    </w:rPr>
  </w:style>
  <w:style w:type="character" w:customStyle="1" w:styleId="CommentTextChar">
    <w:name w:val="Comment Text Char"/>
    <w:basedOn w:val="DefaultParagraphFont"/>
    <w:link w:val="CommentText"/>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5"/>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9A0BEE"/>
    <w:pPr>
      <w:ind w:left="720"/>
      <w:contextualSpacing/>
    </w:pPr>
  </w:style>
  <w:style w:type="character" w:styleId="CommentReference">
    <w:name w:val="annotation reference"/>
    <w:basedOn w:val="DefaultParagraphFont"/>
    <w:unhideWhenUsed/>
    <w:rsid w:val="000F1A5B"/>
    <w:rPr>
      <w:sz w:val="16"/>
      <w:szCs w:val="16"/>
    </w:rPr>
  </w:style>
  <w:style w:type="paragraph" w:styleId="CommentSubject">
    <w:name w:val="annotation subject"/>
    <w:basedOn w:val="CommentText"/>
    <w:next w:val="CommentText"/>
    <w:link w:val="CommentSubjectChar"/>
    <w:semiHidden/>
    <w:unhideWhenUsed/>
    <w:rsid w:val="000F1A5B"/>
    <w:rPr>
      <w:b/>
      <w:bCs/>
    </w:rPr>
  </w:style>
  <w:style w:type="character" w:customStyle="1" w:styleId="CommentSubjectChar">
    <w:name w:val="Comment Subject Char"/>
    <w:basedOn w:val="CommentTextChar"/>
    <w:link w:val="CommentSubject"/>
    <w:semiHidden/>
    <w:rsid w:val="000F1A5B"/>
    <w:rPr>
      <w:rFonts w:ascii="Arial" w:eastAsiaTheme="minorEastAsia" w:hAnsi="Arial" w:cstheme="minorBidi"/>
      <w:b/>
      <w:bCs/>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locked/>
    <w:rsid w:val="00066E68"/>
    <w:rPr>
      <w:rFonts w:ascii="Arial" w:eastAsiaTheme="minorEastAsia" w:hAnsi="Arial" w:cstheme="minorBidi"/>
      <w:szCs w:val="21"/>
      <w:lang w:eastAsia="en-US"/>
    </w:rPr>
  </w:style>
  <w:style w:type="paragraph" w:customStyle="1" w:styleId="tabletext0">
    <w:name w:val="tabletext"/>
    <w:basedOn w:val="Normal"/>
    <w:rsid w:val="00F402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F402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
    <w:name w:val="tablei"/>
    <w:basedOn w:val="Normal"/>
    <w:rsid w:val="00F402E1"/>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3-Accent2">
    <w:name w:val="Grid Table 3 Accent 2"/>
    <w:basedOn w:val="TableNormal"/>
    <w:uiPriority w:val="48"/>
    <w:rsid w:val="002E7FFC"/>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AED" w:themeFill="accent2" w:themeFillTint="33"/>
      </w:tcPr>
    </w:tblStylePr>
    <w:tblStylePr w:type="band1Horz">
      <w:tblPr/>
      <w:tcPr>
        <w:shd w:val="clear" w:color="auto" w:fill="D0EAED" w:themeFill="accent2" w:themeFillTint="33"/>
      </w:tcPr>
    </w:tblStylePr>
    <w:tblStylePr w:type="neCell">
      <w:tblPr/>
      <w:tcPr>
        <w:tcBorders>
          <w:bottom w:val="single" w:sz="4" w:space="0" w:color="74C1C9" w:themeColor="accent2" w:themeTint="99"/>
        </w:tcBorders>
      </w:tcPr>
    </w:tblStylePr>
    <w:tblStylePr w:type="nwCell">
      <w:tblPr/>
      <w:tcPr>
        <w:tcBorders>
          <w:bottom w:val="single" w:sz="4" w:space="0" w:color="74C1C9" w:themeColor="accent2" w:themeTint="99"/>
        </w:tcBorders>
      </w:tcPr>
    </w:tblStylePr>
    <w:tblStylePr w:type="seCell">
      <w:tblPr/>
      <w:tcPr>
        <w:tcBorders>
          <w:top w:val="single" w:sz="4" w:space="0" w:color="74C1C9" w:themeColor="accent2" w:themeTint="99"/>
        </w:tcBorders>
      </w:tcPr>
    </w:tblStylePr>
    <w:tblStylePr w:type="swCell">
      <w:tblPr/>
      <w:tcPr>
        <w:tcBorders>
          <w:top w:val="single" w:sz="4" w:space="0" w:color="74C1C9" w:themeColor="accent2" w:themeTint="99"/>
        </w:tcBorders>
      </w:tcPr>
    </w:tblStylePr>
  </w:style>
  <w:style w:type="character" w:styleId="UnresolvedMention">
    <w:name w:val="Unresolved Mention"/>
    <w:basedOn w:val="DefaultParagraphFont"/>
    <w:uiPriority w:val="99"/>
    <w:semiHidden/>
    <w:unhideWhenUsed/>
    <w:rsid w:val="0055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566">
      <w:bodyDiv w:val="1"/>
      <w:marLeft w:val="0"/>
      <w:marRight w:val="0"/>
      <w:marTop w:val="0"/>
      <w:marBottom w:val="0"/>
      <w:divBdr>
        <w:top w:val="none" w:sz="0" w:space="0" w:color="auto"/>
        <w:left w:val="none" w:sz="0" w:space="0" w:color="auto"/>
        <w:bottom w:val="none" w:sz="0" w:space="0" w:color="auto"/>
        <w:right w:val="none" w:sz="0" w:space="0" w:color="auto"/>
      </w:divBdr>
    </w:div>
    <w:div w:id="165290093">
      <w:bodyDiv w:val="1"/>
      <w:marLeft w:val="0"/>
      <w:marRight w:val="0"/>
      <w:marTop w:val="0"/>
      <w:marBottom w:val="0"/>
      <w:divBdr>
        <w:top w:val="none" w:sz="0" w:space="0" w:color="auto"/>
        <w:left w:val="none" w:sz="0" w:space="0" w:color="auto"/>
        <w:bottom w:val="none" w:sz="0" w:space="0" w:color="auto"/>
        <w:right w:val="none" w:sz="0" w:space="0" w:color="auto"/>
      </w:divBdr>
    </w:div>
    <w:div w:id="303899490">
      <w:bodyDiv w:val="1"/>
      <w:marLeft w:val="0"/>
      <w:marRight w:val="0"/>
      <w:marTop w:val="0"/>
      <w:marBottom w:val="0"/>
      <w:divBdr>
        <w:top w:val="none" w:sz="0" w:space="0" w:color="auto"/>
        <w:left w:val="none" w:sz="0" w:space="0" w:color="auto"/>
        <w:bottom w:val="none" w:sz="0" w:space="0" w:color="auto"/>
        <w:right w:val="none" w:sz="0" w:space="0" w:color="auto"/>
      </w:divBdr>
    </w:div>
    <w:div w:id="326829236">
      <w:bodyDiv w:val="1"/>
      <w:marLeft w:val="0"/>
      <w:marRight w:val="0"/>
      <w:marTop w:val="0"/>
      <w:marBottom w:val="0"/>
      <w:divBdr>
        <w:top w:val="none" w:sz="0" w:space="0" w:color="auto"/>
        <w:left w:val="none" w:sz="0" w:space="0" w:color="auto"/>
        <w:bottom w:val="none" w:sz="0" w:space="0" w:color="auto"/>
        <w:right w:val="none" w:sz="0" w:space="0" w:color="auto"/>
      </w:divBdr>
    </w:div>
    <w:div w:id="32914398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141698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2564002">
      <w:bodyDiv w:val="1"/>
      <w:marLeft w:val="0"/>
      <w:marRight w:val="0"/>
      <w:marTop w:val="0"/>
      <w:marBottom w:val="0"/>
      <w:divBdr>
        <w:top w:val="none" w:sz="0" w:space="0" w:color="auto"/>
        <w:left w:val="none" w:sz="0" w:space="0" w:color="auto"/>
        <w:bottom w:val="none" w:sz="0" w:space="0" w:color="auto"/>
        <w:right w:val="none" w:sz="0" w:space="0" w:color="auto"/>
      </w:divBdr>
    </w:div>
    <w:div w:id="1275939692">
      <w:bodyDiv w:val="1"/>
      <w:marLeft w:val="0"/>
      <w:marRight w:val="0"/>
      <w:marTop w:val="0"/>
      <w:marBottom w:val="0"/>
      <w:divBdr>
        <w:top w:val="none" w:sz="0" w:space="0" w:color="auto"/>
        <w:left w:val="none" w:sz="0" w:space="0" w:color="auto"/>
        <w:bottom w:val="none" w:sz="0" w:space="0" w:color="auto"/>
        <w:right w:val="none" w:sz="0" w:space="0" w:color="auto"/>
      </w:divBdr>
    </w:div>
    <w:div w:id="1298490585">
      <w:bodyDiv w:val="1"/>
      <w:marLeft w:val="0"/>
      <w:marRight w:val="0"/>
      <w:marTop w:val="0"/>
      <w:marBottom w:val="0"/>
      <w:divBdr>
        <w:top w:val="none" w:sz="0" w:space="0" w:color="auto"/>
        <w:left w:val="none" w:sz="0" w:space="0" w:color="auto"/>
        <w:bottom w:val="none" w:sz="0" w:space="0" w:color="auto"/>
        <w:right w:val="none" w:sz="0" w:space="0" w:color="auto"/>
      </w:divBdr>
    </w:div>
    <w:div w:id="1347636068">
      <w:bodyDiv w:val="1"/>
      <w:marLeft w:val="0"/>
      <w:marRight w:val="0"/>
      <w:marTop w:val="0"/>
      <w:marBottom w:val="0"/>
      <w:divBdr>
        <w:top w:val="none" w:sz="0" w:space="0" w:color="auto"/>
        <w:left w:val="none" w:sz="0" w:space="0" w:color="auto"/>
        <w:bottom w:val="none" w:sz="0" w:space="0" w:color="auto"/>
        <w:right w:val="none" w:sz="0" w:space="0" w:color="auto"/>
      </w:divBdr>
    </w:div>
    <w:div w:id="1703628126">
      <w:bodyDiv w:val="1"/>
      <w:marLeft w:val="0"/>
      <w:marRight w:val="0"/>
      <w:marTop w:val="0"/>
      <w:marBottom w:val="0"/>
      <w:divBdr>
        <w:top w:val="none" w:sz="0" w:space="0" w:color="auto"/>
        <w:left w:val="none" w:sz="0" w:space="0" w:color="auto"/>
        <w:bottom w:val="none" w:sz="0" w:space="0" w:color="auto"/>
        <w:right w:val="none" w:sz="0" w:space="0" w:color="auto"/>
      </w:divBdr>
    </w:div>
    <w:div w:id="1870483780">
      <w:bodyDiv w:val="1"/>
      <w:marLeft w:val="0"/>
      <w:marRight w:val="0"/>
      <w:marTop w:val="0"/>
      <w:marBottom w:val="0"/>
      <w:divBdr>
        <w:top w:val="none" w:sz="0" w:space="0" w:color="auto"/>
        <w:left w:val="none" w:sz="0" w:space="0" w:color="auto"/>
        <w:bottom w:val="none" w:sz="0" w:space="0" w:color="auto"/>
        <w:right w:val="none" w:sz="0" w:space="0" w:color="auto"/>
      </w:divBdr>
    </w:div>
    <w:div w:id="1906800123">
      <w:bodyDiv w:val="1"/>
      <w:marLeft w:val="0"/>
      <w:marRight w:val="0"/>
      <w:marTop w:val="0"/>
      <w:marBottom w:val="0"/>
      <w:divBdr>
        <w:top w:val="none" w:sz="0" w:space="0" w:color="auto"/>
        <w:left w:val="none" w:sz="0" w:space="0" w:color="auto"/>
        <w:bottom w:val="none" w:sz="0" w:space="0" w:color="auto"/>
        <w:right w:val="none" w:sz="0" w:space="0" w:color="auto"/>
      </w:divBdr>
    </w:div>
    <w:div w:id="1907378367">
      <w:bodyDiv w:val="1"/>
      <w:marLeft w:val="0"/>
      <w:marRight w:val="0"/>
      <w:marTop w:val="0"/>
      <w:marBottom w:val="0"/>
      <w:divBdr>
        <w:top w:val="none" w:sz="0" w:space="0" w:color="auto"/>
        <w:left w:val="none" w:sz="0" w:space="0" w:color="auto"/>
        <w:bottom w:val="none" w:sz="0" w:space="0" w:color="auto"/>
        <w:right w:val="none" w:sz="0" w:space="0" w:color="auto"/>
      </w:divBdr>
    </w:div>
    <w:div w:id="2000770517">
      <w:bodyDiv w:val="1"/>
      <w:marLeft w:val="0"/>
      <w:marRight w:val="0"/>
      <w:marTop w:val="0"/>
      <w:marBottom w:val="0"/>
      <w:divBdr>
        <w:top w:val="none" w:sz="0" w:space="0" w:color="auto"/>
        <w:left w:val="none" w:sz="0" w:space="0" w:color="auto"/>
        <w:bottom w:val="none" w:sz="0" w:space="0" w:color="auto"/>
        <w:right w:val="none" w:sz="0" w:space="0" w:color="auto"/>
      </w:divBdr>
    </w:div>
    <w:div w:id="206964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organisations/health-professionals/services/medicare/hpos/services/using-mbs-items-online-checker-hpo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4256</Words>
  <Characters>24261</Characters>
  <Application>Microsoft Office Word</Application>
  <DocSecurity>0</DocSecurity>
  <Lines>202</Lines>
  <Paragraphs>56</Paragraphs>
  <ScaleCrop>false</ScaleCrop>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2023-02-03T00:48:00Z</dcterms:created>
  <dcterms:modified xsi:type="dcterms:W3CDTF">2023-02-07T01:41:00Z</dcterms:modified>
</cp:coreProperties>
</file>