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C53D" w14:textId="55E49448" w:rsidR="000847AA" w:rsidRPr="003F6947" w:rsidRDefault="008D525B" w:rsidP="003F6947">
      <w:pPr>
        <w:spacing w:line="300" w:lineRule="atLeast"/>
        <w:rPr>
          <w:b/>
          <w:bCs/>
          <w:color w:val="002060"/>
          <w:sz w:val="44"/>
          <w:szCs w:val="44"/>
        </w:rPr>
      </w:pPr>
      <w:r w:rsidRPr="003F6947">
        <w:rPr>
          <w:b/>
          <w:bCs/>
          <w:color w:val="002060"/>
          <w:sz w:val="44"/>
          <w:szCs w:val="44"/>
        </w:rPr>
        <w:t xml:space="preserve">Complex </w:t>
      </w:r>
      <w:r w:rsidR="00752118">
        <w:rPr>
          <w:b/>
          <w:bCs/>
          <w:color w:val="002060"/>
          <w:sz w:val="44"/>
          <w:szCs w:val="44"/>
        </w:rPr>
        <w:t>n</w:t>
      </w:r>
      <w:r w:rsidRPr="003F6947">
        <w:rPr>
          <w:b/>
          <w:bCs/>
          <w:color w:val="002060"/>
          <w:sz w:val="44"/>
          <w:szCs w:val="44"/>
        </w:rPr>
        <w:t xml:space="preserve">eurodevelopmental </w:t>
      </w:r>
      <w:r w:rsidR="00752118">
        <w:rPr>
          <w:b/>
          <w:bCs/>
          <w:color w:val="002060"/>
          <w:sz w:val="44"/>
          <w:szCs w:val="44"/>
        </w:rPr>
        <w:t>d</w:t>
      </w:r>
      <w:r w:rsidRPr="003F6947">
        <w:rPr>
          <w:b/>
          <w:bCs/>
          <w:color w:val="002060"/>
          <w:sz w:val="44"/>
          <w:szCs w:val="44"/>
        </w:rPr>
        <w:t xml:space="preserve">isorder and </w:t>
      </w:r>
      <w:r w:rsidR="00752118">
        <w:rPr>
          <w:b/>
          <w:bCs/>
          <w:color w:val="002060"/>
          <w:sz w:val="44"/>
          <w:szCs w:val="44"/>
        </w:rPr>
        <w:t>e</w:t>
      </w:r>
      <w:r w:rsidRPr="003F6947">
        <w:rPr>
          <w:b/>
          <w:bCs/>
          <w:color w:val="002060"/>
          <w:sz w:val="44"/>
          <w:szCs w:val="44"/>
        </w:rPr>
        <w:t xml:space="preserve">ligible </w:t>
      </w:r>
      <w:r w:rsidR="00752118">
        <w:rPr>
          <w:b/>
          <w:bCs/>
          <w:color w:val="002060"/>
          <w:sz w:val="44"/>
          <w:szCs w:val="44"/>
        </w:rPr>
        <w:t>d</w:t>
      </w:r>
      <w:r w:rsidRPr="003F6947">
        <w:rPr>
          <w:b/>
          <w:bCs/>
          <w:color w:val="002060"/>
          <w:sz w:val="44"/>
          <w:szCs w:val="44"/>
        </w:rPr>
        <w:t>isability</w:t>
      </w:r>
      <w:r w:rsidR="000847AA" w:rsidRPr="003F6947">
        <w:rPr>
          <w:b/>
          <w:bCs/>
          <w:color w:val="002060"/>
          <w:sz w:val="44"/>
          <w:szCs w:val="44"/>
        </w:rPr>
        <w:t xml:space="preserve"> FAQs</w:t>
      </w:r>
    </w:p>
    <w:p w14:paraId="135F6292" w14:textId="08777553" w:rsidR="000847AA" w:rsidRPr="00371934" w:rsidRDefault="000847AA" w:rsidP="000847AA">
      <w:pPr>
        <w:rPr>
          <w:rFonts w:cs="Arial"/>
          <w:szCs w:val="20"/>
        </w:rPr>
      </w:pPr>
      <w:r w:rsidRPr="004312CF">
        <w:rPr>
          <w:rFonts w:cs="Arial"/>
          <w:szCs w:val="20"/>
        </w:rPr>
        <w:t xml:space="preserve">Last updated: </w:t>
      </w:r>
      <w:r w:rsidR="00A76ABD">
        <w:rPr>
          <w:rFonts w:cs="Arial"/>
          <w:szCs w:val="20"/>
        </w:rPr>
        <w:t>1</w:t>
      </w:r>
      <w:r w:rsidR="00716743">
        <w:rPr>
          <w:rFonts w:cs="Arial"/>
          <w:szCs w:val="20"/>
        </w:rPr>
        <w:t>6</w:t>
      </w:r>
      <w:r w:rsidR="00A76ABD">
        <w:rPr>
          <w:rFonts w:cs="Arial"/>
          <w:szCs w:val="20"/>
        </w:rPr>
        <w:t xml:space="preserve"> November</w:t>
      </w:r>
      <w:r w:rsidR="00BD4FC4" w:rsidRPr="00371934">
        <w:rPr>
          <w:rFonts w:cs="Arial"/>
          <w:szCs w:val="20"/>
        </w:rPr>
        <w:t xml:space="preserve"> </w:t>
      </w:r>
      <w:r w:rsidR="00B85694" w:rsidRPr="00371934">
        <w:rPr>
          <w:rFonts w:cs="Arial"/>
          <w:szCs w:val="20"/>
        </w:rPr>
        <w:t>2023</w:t>
      </w:r>
    </w:p>
    <w:p w14:paraId="58538AB6" w14:textId="188BEF93" w:rsidR="000847AA" w:rsidRPr="009330B3" w:rsidRDefault="000847AA" w:rsidP="009330B3">
      <w:pPr>
        <w:pStyle w:val="ListParagraph"/>
        <w:numPr>
          <w:ilvl w:val="0"/>
          <w:numId w:val="27"/>
        </w:numPr>
        <w:spacing w:before="0" w:after="60" w:line="280" w:lineRule="exact"/>
        <w:contextualSpacing w:val="0"/>
        <w:rPr>
          <w:rFonts w:cs="Arial"/>
          <w:sz w:val="20"/>
          <w:szCs w:val="20"/>
        </w:rPr>
      </w:pPr>
      <w:r w:rsidRPr="009330B3">
        <w:rPr>
          <w:rFonts w:cs="Arial"/>
          <w:sz w:val="20"/>
          <w:szCs w:val="20"/>
        </w:rPr>
        <w:t>These</w:t>
      </w:r>
      <w:r w:rsidR="009330B3" w:rsidRPr="009330B3">
        <w:rPr>
          <w:rFonts w:cs="Arial"/>
          <w:sz w:val="20"/>
          <w:szCs w:val="20"/>
        </w:rPr>
        <w:t xml:space="preserve"> questions reflect the </w:t>
      </w:r>
      <w:r w:rsidRPr="009330B3">
        <w:rPr>
          <w:rFonts w:cs="Arial"/>
          <w:sz w:val="20"/>
          <w:szCs w:val="20"/>
        </w:rPr>
        <w:t xml:space="preserve">changes </w:t>
      </w:r>
      <w:r w:rsidR="009330B3" w:rsidRPr="009330B3">
        <w:rPr>
          <w:rFonts w:cs="Arial"/>
          <w:sz w:val="20"/>
          <w:szCs w:val="20"/>
        </w:rPr>
        <w:t>to Medicare Benefits Schedule (MBS</w:t>
      </w:r>
      <w:r w:rsidR="007876C6">
        <w:rPr>
          <w:rFonts w:cs="Arial"/>
          <w:sz w:val="20"/>
          <w:szCs w:val="20"/>
        </w:rPr>
        <w:t>)</w:t>
      </w:r>
      <w:r w:rsidR="009330B3" w:rsidRPr="009330B3">
        <w:rPr>
          <w:rFonts w:cs="Arial"/>
          <w:sz w:val="20"/>
          <w:szCs w:val="20"/>
        </w:rPr>
        <w:t xml:space="preserve"> items that were</w:t>
      </w:r>
      <w:r w:rsidRPr="009330B3">
        <w:rPr>
          <w:rFonts w:cs="Arial"/>
          <w:sz w:val="20"/>
          <w:szCs w:val="20"/>
        </w:rPr>
        <w:t xml:space="preserve"> effective from </w:t>
      </w:r>
      <w:r w:rsidR="008D525B" w:rsidRPr="009330B3">
        <w:rPr>
          <w:rFonts w:cs="Arial"/>
          <w:sz w:val="20"/>
          <w:szCs w:val="20"/>
        </w:rPr>
        <w:t>1 March 2023</w:t>
      </w:r>
      <w:r w:rsidRPr="009330B3">
        <w:rPr>
          <w:rFonts w:cs="Arial"/>
          <w:sz w:val="20"/>
          <w:szCs w:val="20"/>
        </w:rPr>
        <w:t>.</w:t>
      </w:r>
      <w:r w:rsidR="009330B3">
        <w:rPr>
          <w:rFonts w:cs="Arial"/>
          <w:sz w:val="20"/>
          <w:szCs w:val="20"/>
        </w:rPr>
        <w:t xml:space="preserve"> </w:t>
      </w:r>
      <w:r w:rsidRPr="009330B3">
        <w:rPr>
          <w:rFonts w:cs="Arial"/>
          <w:sz w:val="20"/>
          <w:szCs w:val="20"/>
        </w:rPr>
        <w:t xml:space="preserve">If you cannot find the information you need, please contact the Department of Health </w:t>
      </w:r>
      <w:r w:rsidR="00CD55ED" w:rsidRPr="009330B3">
        <w:rPr>
          <w:rFonts w:cs="Arial"/>
          <w:sz w:val="20"/>
          <w:szCs w:val="20"/>
        </w:rPr>
        <w:t xml:space="preserve">and Aged Care (the Department) </w:t>
      </w:r>
      <w:r w:rsidRPr="009330B3">
        <w:rPr>
          <w:rFonts w:cs="Arial"/>
          <w:sz w:val="20"/>
          <w:szCs w:val="20"/>
        </w:rPr>
        <w:t xml:space="preserve">at </w:t>
      </w:r>
      <w:hyperlink r:id="rId8" w:history="1">
        <w:r w:rsidR="009D5C4C" w:rsidRPr="00E83B4B">
          <w:rPr>
            <w:rStyle w:val="Hyperlink"/>
            <w:rFonts w:cs="Arial"/>
            <w:sz w:val="20"/>
            <w:szCs w:val="20"/>
          </w:rPr>
          <w:t>AskMBS@health.gov.au</w:t>
        </w:r>
      </w:hyperlink>
      <w:r w:rsidR="00932F5C" w:rsidRPr="00932F5C">
        <w:t xml:space="preserve"> </w:t>
      </w:r>
      <w:r w:rsidR="00932F5C" w:rsidRPr="00932F5C">
        <w:rPr>
          <w:rFonts w:cs="Arial"/>
          <w:sz w:val="20"/>
          <w:szCs w:val="20"/>
        </w:rPr>
        <w:t>where your question relates exclusively to the interpretation of the schedule</w:t>
      </w:r>
      <w:r w:rsidRPr="009330B3">
        <w:rPr>
          <w:rFonts w:cs="Arial"/>
          <w:sz w:val="20"/>
          <w:szCs w:val="20"/>
        </w:rPr>
        <w:t xml:space="preserve">. </w:t>
      </w:r>
    </w:p>
    <w:p w14:paraId="17FD3E5D" w14:textId="66187F97" w:rsidR="000847AA" w:rsidRPr="00371934" w:rsidRDefault="000847AA" w:rsidP="000847AA">
      <w:pPr>
        <w:pStyle w:val="ListParagraph"/>
        <w:numPr>
          <w:ilvl w:val="0"/>
          <w:numId w:val="27"/>
        </w:numPr>
        <w:spacing w:before="0" w:after="60" w:line="280" w:lineRule="exact"/>
        <w:contextualSpacing w:val="0"/>
        <w:rPr>
          <w:rFonts w:cs="Arial"/>
          <w:sz w:val="20"/>
          <w:szCs w:val="20"/>
        </w:rPr>
      </w:pPr>
      <w:r w:rsidRPr="00371934">
        <w:rPr>
          <w:rFonts w:cs="Arial"/>
          <w:sz w:val="20"/>
          <w:szCs w:val="20"/>
        </w:rPr>
        <w:t xml:space="preserve">To subscribe to future </w:t>
      </w:r>
      <w:r w:rsidR="000D52FC" w:rsidRPr="00371934">
        <w:rPr>
          <w:rFonts w:cs="Arial"/>
          <w:sz w:val="20"/>
          <w:szCs w:val="20"/>
        </w:rPr>
        <w:t>Medicare Benefits Schedule (</w:t>
      </w:r>
      <w:r w:rsidRPr="00371934">
        <w:rPr>
          <w:rFonts w:cs="Arial"/>
          <w:sz w:val="20"/>
          <w:szCs w:val="20"/>
        </w:rPr>
        <w:t>MBS</w:t>
      </w:r>
      <w:r w:rsidR="000D52FC" w:rsidRPr="00371934">
        <w:rPr>
          <w:rFonts w:cs="Arial"/>
          <w:sz w:val="20"/>
          <w:szCs w:val="20"/>
        </w:rPr>
        <w:t>)</w:t>
      </w:r>
      <w:r w:rsidRPr="00371934">
        <w:rPr>
          <w:rFonts w:cs="Arial"/>
          <w:sz w:val="20"/>
          <w:szCs w:val="20"/>
        </w:rPr>
        <w:t xml:space="preserve"> Online updates, visit </w:t>
      </w:r>
      <w:hyperlink r:id="rId9" w:history="1">
        <w:r w:rsidRPr="004406E9">
          <w:rPr>
            <w:rStyle w:val="Hyperlink"/>
            <w:rFonts w:cs="Arial"/>
            <w:sz w:val="20"/>
            <w:szCs w:val="20"/>
          </w:rPr>
          <w:t>www.mbsonline.gov.au</w:t>
        </w:r>
      </w:hyperlink>
      <w:r w:rsidRPr="00371934">
        <w:rPr>
          <w:rFonts w:cs="Arial"/>
          <w:sz w:val="20"/>
          <w:szCs w:val="20"/>
        </w:rPr>
        <w:t xml:space="preserve"> and click ‘Subscribe’.</w:t>
      </w:r>
    </w:p>
    <w:p w14:paraId="476567F3" w14:textId="77777777" w:rsidR="007876C6" w:rsidRDefault="008325D9" w:rsidP="00DB1416">
      <w:pPr>
        <w:spacing w:after="60"/>
        <w:rPr>
          <w:rStyle w:val="BookTitle"/>
          <w:rFonts w:ascii="Arial" w:hAnsi="Arial" w:cs="Arial"/>
        </w:rPr>
      </w:pPr>
      <w:r>
        <w:rPr>
          <w:rStyle w:val="BookTitle"/>
          <w:rFonts w:ascii="Arial" w:hAnsi="Arial" w:cs="Arial"/>
        </w:rPr>
        <w:pict w14:anchorId="41A5D2CC">
          <v:rect id="_x0000_i1025" style="width:0;height:1.5pt" o:hralign="center" o:hrstd="t" o:hr="t" fillcolor="#a0a0a0" stroked="f"/>
        </w:pict>
      </w:r>
    </w:p>
    <w:sdt>
      <w:sdtPr>
        <w:rPr>
          <w:b/>
          <w:bCs/>
          <w:noProof/>
        </w:rPr>
        <w:id w:val="-1752272759"/>
        <w:docPartObj>
          <w:docPartGallery w:val="Table of Contents"/>
          <w:docPartUnique/>
        </w:docPartObj>
      </w:sdtPr>
      <w:sdtEndPr/>
      <w:sdtContent>
        <w:p w14:paraId="3844E02A" w14:textId="0F36E114" w:rsidR="00312AAA" w:rsidRPr="00E54720" w:rsidRDefault="00312AAA" w:rsidP="007876C6">
          <w:pPr>
            <w:spacing w:after="60"/>
            <w:rPr>
              <w:b/>
              <w:bCs/>
            </w:rPr>
          </w:pPr>
          <w:r w:rsidRPr="70251F0A">
            <w:rPr>
              <w:b/>
              <w:bCs/>
            </w:rPr>
            <w:t>Table of Contents</w:t>
          </w:r>
        </w:p>
        <w:p w14:paraId="09C73A58" w14:textId="6F074DB5" w:rsidR="00F04C5D" w:rsidRDefault="00312AAA">
          <w:pPr>
            <w:pStyle w:val="TOC2"/>
            <w:rPr>
              <w:rFonts w:asciiTheme="minorHAnsi" w:hAnsiTheme="minorHAnsi"/>
              <w:b w:val="0"/>
              <w:bCs w:val="0"/>
              <w:sz w:val="22"/>
              <w:szCs w:val="22"/>
              <w:lang w:eastAsia="en-AU"/>
            </w:rPr>
          </w:pPr>
          <w:r>
            <w:fldChar w:fldCharType="begin"/>
          </w:r>
          <w:r>
            <w:instrText xml:space="preserve"> TOC \o "1-3" \h \z \u </w:instrText>
          </w:r>
          <w:r>
            <w:fldChar w:fldCharType="separate"/>
          </w:r>
          <w:hyperlink w:anchor="_Toc151024542" w:history="1">
            <w:r w:rsidR="00F04C5D" w:rsidRPr="005705EB">
              <w:rPr>
                <w:rStyle w:val="Hyperlink"/>
              </w:rPr>
              <w:t>General Questions</w:t>
            </w:r>
            <w:r w:rsidR="00F04C5D">
              <w:rPr>
                <w:webHidden/>
              </w:rPr>
              <w:tab/>
            </w:r>
            <w:r w:rsidR="00F04C5D">
              <w:rPr>
                <w:webHidden/>
              </w:rPr>
              <w:fldChar w:fldCharType="begin"/>
            </w:r>
            <w:r w:rsidR="00F04C5D">
              <w:rPr>
                <w:webHidden/>
              </w:rPr>
              <w:instrText xml:space="preserve"> PAGEREF _Toc151024542 \h </w:instrText>
            </w:r>
            <w:r w:rsidR="00F04C5D">
              <w:rPr>
                <w:webHidden/>
              </w:rPr>
            </w:r>
            <w:r w:rsidR="00F04C5D">
              <w:rPr>
                <w:webHidden/>
              </w:rPr>
              <w:fldChar w:fldCharType="separate"/>
            </w:r>
            <w:r w:rsidR="008325D9">
              <w:rPr>
                <w:webHidden/>
              </w:rPr>
              <w:t>2</w:t>
            </w:r>
            <w:r w:rsidR="00F04C5D">
              <w:rPr>
                <w:webHidden/>
              </w:rPr>
              <w:fldChar w:fldCharType="end"/>
            </w:r>
          </w:hyperlink>
        </w:p>
        <w:p w14:paraId="3B16027C" w14:textId="6DCB852A" w:rsidR="00F04C5D" w:rsidRDefault="008325D9">
          <w:pPr>
            <w:pStyle w:val="TOC3"/>
            <w:rPr>
              <w:rFonts w:asciiTheme="minorHAnsi" w:hAnsiTheme="minorHAnsi"/>
              <w:noProof/>
              <w:sz w:val="22"/>
              <w:szCs w:val="22"/>
              <w:lang w:eastAsia="en-AU"/>
            </w:rPr>
          </w:pPr>
          <w:hyperlink w:anchor="_Toc151024543" w:history="1">
            <w:r w:rsidR="00F04C5D" w:rsidRPr="005705EB">
              <w:rPr>
                <w:rStyle w:val="Hyperlink"/>
                <w:noProof/>
              </w:rPr>
              <w:t>How have these changes been communicated to stakeholders?</w:t>
            </w:r>
            <w:r w:rsidR="00F04C5D">
              <w:rPr>
                <w:noProof/>
                <w:webHidden/>
              </w:rPr>
              <w:tab/>
            </w:r>
            <w:r w:rsidR="00F04C5D">
              <w:rPr>
                <w:noProof/>
                <w:webHidden/>
              </w:rPr>
              <w:fldChar w:fldCharType="begin"/>
            </w:r>
            <w:r w:rsidR="00F04C5D">
              <w:rPr>
                <w:noProof/>
                <w:webHidden/>
              </w:rPr>
              <w:instrText xml:space="preserve"> PAGEREF _Toc151024543 \h </w:instrText>
            </w:r>
            <w:r w:rsidR="00F04C5D">
              <w:rPr>
                <w:noProof/>
                <w:webHidden/>
              </w:rPr>
            </w:r>
            <w:r w:rsidR="00F04C5D">
              <w:rPr>
                <w:noProof/>
                <w:webHidden/>
              </w:rPr>
              <w:fldChar w:fldCharType="separate"/>
            </w:r>
            <w:r>
              <w:rPr>
                <w:noProof/>
                <w:webHidden/>
              </w:rPr>
              <w:t>2</w:t>
            </w:r>
            <w:r w:rsidR="00F04C5D">
              <w:rPr>
                <w:noProof/>
                <w:webHidden/>
              </w:rPr>
              <w:fldChar w:fldCharType="end"/>
            </w:r>
          </w:hyperlink>
        </w:p>
        <w:p w14:paraId="566A1195" w14:textId="7C95EB56" w:rsidR="00F04C5D" w:rsidRDefault="008325D9">
          <w:pPr>
            <w:pStyle w:val="TOC3"/>
            <w:rPr>
              <w:rFonts w:asciiTheme="minorHAnsi" w:hAnsiTheme="minorHAnsi"/>
              <w:noProof/>
              <w:sz w:val="22"/>
              <w:szCs w:val="22"/>
              <w:lang w:eastAsia="en-AU"/>
            </w:rPr>
          </w:pPr>
          <w:hyperlink w:anchor="_Toc151024544" w:history="1">
            <w:r w:rsidR="00F04C5D" w:rsidRPr="005705EB">
              <w:rPr>
                <w:rStyle w:val="Hyperlink"/>
                <w:noProof/>
              </w:rPr>
              <w:t>What is a complex neurodevelopmental disorder?</w:t>
            </w:r>
            <w:r w:rsidR="00F04C5D">
              <w:rPr>
                <w:noProof/>
                <w:webHidden/>
              </w:rPr>
              <w:tab/>
            </w:r>
            <w:r w:rsidR="00F04C5D">
              <w:rPr>
                <w:noProof/>
                <w:webHidden/>
              </w:rPr>
              <w:fldChar w:fldCharType="begin"/>
            </w:r>
            <w:r w:rsidR="00F04C5D">
              <w:rPr>
                <w:noProof/>
                <w:webHidden/>
              </w:rPr>
              <w:instrText xml:space="preserve"> PAGEREF _Toc151024544 \h </w:instrText>
            </w:r>
            <w:r w:rsidR="00F04C5D">
              <w:rPr>
                <w:noProof/>
                <w:webHidden/>
              </w:rPr>
            </w:r>
            <w:r w:rsidR="00F04C5D">
              <w:rPr>
                <w:noProof/>
                <w:webHidden/>
              </w:rPr>
              <w:fldChar w:fldCharType="separate"/>
            </w:r>
            <w:r>
              <w:rPr>
                <w:noProof/>
                <w:webHidden/>
              </w:rPr>
              <w:t>2</w:t>
            </w:r>
            <w:r w:rsidR="00F04C5D">
              <w:rPr>
                <w:noProof/>
                <w:webHidden/>
              </w:rPr>
              <w:fldChar w:fldCharType="end"/>
            </w:r>
          </w:hyperlink>
        </w:p>
        <w:p w14:paraId="3E31665C" w14:textId="1F550DC8" w:rsidR="00F04C5D" w:rsidRDefault="008325D9">
          <w:pPr>
            <w:pStyle w:val="TOC3"/>
            <w:rPr>
              <w:rFonts w:asciiTheme="minorHAnsi" w:hAnsiTheme="minorHAnsi"/>
              <w:noProof/>
              <w:sz w:val="22"/>
              <w:szCs w:val="22"/>
              <w:lang w:eastAsia="en-AU"/>
            </w:rPr>
          </w:pPr>
          <w:hyperlink w:anchor="_Toc151024545" w:history="1">
            <w:r w:rsidR="00F04C5D" w:rsidRPr="005705EB">
              <w:rPr>
                <w:rStyle w:val="Hyperlink"/>
                <w:noProof/>
              </w:rPr>
              <w:t>What is the list of eligible disabilities?</w:t>
            </w:r>
            <w:r w:rsidR="00F04C5D">
              <w:rPr>
                <w:noProof/>
                <w:webHidden/>
              </w:rPr>
              <w:tab/>
            </w:r>
            <w:r w:rsidR="00F04C5D">
              <w:rPr>
                <w:noProof/>
                <w:webHidden/>
              </w:rPr>
              <w:fldChar w:fldCharType="begin"/>
            </w:r>
            <w:r w:rsidR="00F04C5D">
              <w:rPr>
                <w:noProof/>
                <w:webHidden/>
              </w:rPr>
              <w:instrText xml:space="preserve"> PAGEREF _Toc151024545 \h </w:instrText>
            </w:r>
            <w:r w:rsidR="00F04C5D">
              <w:rPr>
                <w:noProof/>
                <w:webHidden/>
              </w:rPr>
            </w:r>
            <w:r w:rsidR="00F04C5D">
              <w:rPr>
                <w:noProof/>
                <w:webHidden/>
              </w:rPr>
              <w:fldChar w:fldCharType="separate"/>
            </w:r>
            <w:r>
              <w:rPr>
                <w:noProof/>
                <w:webHidden/>
              </w:rPr>
              <w:t>2</w:t>
            </w:r>
            <w:r w:rsidR="00F04C5D">
              <w:rPr>
                <w:noProof/>
                <w:webHidden/>
              </w:rPr>
              <w:fldChar w:fldCharType="end"/>
            </w:r>
          </w:hyperlink>
        </w:p>
        <w:p w14:paraId="08309A1D" w14:textId="6AEA07F0" w:rsidR="00F04C5D" w:rsidRDefault="008325D9">
          <w:pPr>
            <w:pStyle w:val="TOC3"/>
            <w:rPr>
              <w:rFonts w:asciiTheme="minorHAnsi" w:hAnsiTheme="minorHAnsi"/>
              <w:noProof/>
              <w:sz w:val="22"/>
              <w:szCs w:val="22"/>
              <w:lang w:eastAsia="en-AU"/>
            </w:rPr>
          </w:pPr>
          <w:hyperlink w:anchor="_Toc151024546" w:history="1">
            <w:r w:rsidR="00F04C5D" w:rsidRPr="005705EB">
              <w:rPr>
                <w:rStyle w:val="Hyperlink"/>
                <w:noProof/>
              </w:rPr>
              <w:t>Are these items related to the Helping Children with Autism Program and Better Start for Children with Disability Program?</w:t>
            </w:r>
            <w:r w:rsidR="00F04C5D">
              <w:rPr>
                <w:noProof/>
                <w:webHidden/>
              </w:rPr>
              <w:tab/>
            </w:r>
            <w:r w:rsidR="00F04C5D">
              <w:rPr>
                <w:noProof/>
                <w:webHidden/>
              </w:rPr>
              <w:fldChar w:fldCharType="begin"/>
            </w:r>
            <w:r w:rsidR="00F04C5D">
              <w:rPr>
                <w:noProof/>
                <w:webHidden/>
              </w:rPr>
              <w:instrText xml:space="preserve"> PAGEREF _Toc151024546 \h </w:instrText>
            </w:r>
            <w:r w:rsidR="00F04C5D">
              <w:rPr>
                <w:noProof/>
                <w:webHidden/>
              </w:rPr>
            </w:r>
            <w:r w:rsidR="00F04C5D">
              <w:rPr>
                <w:noProof/>
                <w:webHidden/>
              </w:rPr>
              <w:fldChar w:fldCharType="separate"/>
            </w:r>
            <w:r>
              <w:rPr>
                <w:noProof/>
                <w:webHidden/>
              </w:rPr>
              <w:t>3</w:t>
            </w:r>
            <w:r w:rsidR="00F04C5D">
              <w:rPr>
                <w:noProof/>
                <w:webHidden/>
              </w:rPr>
              <w:fldChar w:fldCharType="end"/>
            </w:r>
          </w:hyperlink>
        </w:p>
        <w:p w14:paraId="4B94F0F9" w14:textId="2FED855C" w:rsidR="00F04C5D" w:rsidRDefault="008325D9">
          <w:pPr>
            <w:pStyle w:val="TOC3"/>
            <w:rPr>
              <w:rFonts w:asciiTheme="minorHAnsi" w:hAnsiTheme="minorHAnsi"/>
              <w:noProof/>
              <w:sz w:val="22"/>
              <w:szCs w:val="22"/>
              <w:lang w:eastAsia="en-AU"/>
            </w:rPr>
          </w:pPr>
          <w:hyperlink w:anchor="_Toc151024547" w:history="1">
            <w:r w:rsidR="00F04C5D" w:rsidRPr="005705EB">
              <w:rPr>
                <w:rStyle w:val="Hyperlink"/>
                <w:noProof/>
              </w:rPr>
              <w:t>How do these MBS items interact with the NDIS services and how can they be used appropriately?</w:t>
            </w:r>
            <w:r w:rsidR="00F04C5D">
              <w:rPr>
                <w:noProof/>
                <w:webHidden/>
              </w:rPr>
              <w:tab/>
            </w:r>
            <w:r w:rsidR="00F04C5D">
              <w:rPr>
                <w:noProof/>
                <w:webHidden/>
              </w:rPr>
              <w:fldChar w:fldCharType="begin"/>
            </w:r>
            <w:r w:rsidR="00F04C5D">
              <w:rPr>
                <w:noProof/>
                <w:webHidden/>
              </w:rPr>
              <w:instrText xml:space="preserve"> PAGEREF _Toc151024547 \h </w:instrText>
            </w:r>
            <w:r w:rsidR="00F04C5D">
              <w:rPr>
                <w:noProof/>
                <w:webHidden/>
              </w:rPr>
            </w:r>
            <w:r w:rsidR="00F04C5D">
              <w:rPr>
                <w:noProof/>
                <w:webHidden/>
              </w:rPr>
              <w:fldChar w:fldCharType="separate"/>
            </w:r>
            <w:r>
              <w:rPr>
                <w:noProof/>
                <w:webHidden/>
              </w:rPr>
              <w:t>3</w:t>
            </w:r>
            <w:r w:rsidR="00F04C5D">
              <w:rPr>
                <w:noProof/>
                <w:webHidden/>
              </w:rPr>
              <w:fldChar w:fldCharType="end"/>
            </w:r>
          </w:hyperlink>
        </w:p>
        <w:p w14:paraId="2BED6144" w14:textId="1C09C987" w:rsidR="00F04C5D" w:rsidRDefault="008325D9">
          <w:pPr>
            <w:pStyle w:val="TOC2"/>
            <w:rPr>
              <w:rFonts w:asciiTheme="minorHAnsi" w:hAnsiTheme="minorHAnsi"/>
              <w:b w:val="0"/>
              <w:bCs w:val="0"/>
              <w:sz w:val="22"/>
              <w:szCs w:val="22"/>
              <w:lang w:eastAsia="en-AU"/>
            </w:rPr>
          </w:pPr>
          <w:hyperlink w:anchor="_Toc151024548" w:history="1">
            <w:r w:rsidR="00F04C5D" w:rsidRPr="005705EB">
              <w:rPr>
                <w:rStyle w:val="Hyperlink"/>
              </w:rPr>
              <w:t>Medical Practitioner Provider Questions</w:t>
            </w:r>
            <w:r w:rsidR="00F04C5D">
              <w:rPr>
                <w:webHidden/>
              </w:rPr>
              <w:tab/>
            </w:r>
            <w:r w:rsidR="00F04C5D">
              <w:rPr>
                <w:webHidden/>
              </w:rPr>
              <w:fldChar w:fldCharType="begin"/>
            </w:r>
            <w:r w:rsidR="00F04C5D">
              <w:rPr>
                <w:webHidden/>
              </w:rPr>
              <w:instrText xml:space="preserve"> PAGEREF _Toc151024548 \h </w:instrText>
            </w:r>
            <w:r w:rsidR="00F04C5D">
              <w:rPr>
                <w:webHidden/>
              </w:rPr>
            </w:r>
            <w:r w:rsidR="00F04C5D">
              <w:rPr>
                <w:webHidden/>
              </w:rPr>
              <w:fldChar w:fldCharType="separate"/>
            </w:r>
            <w:r>
              <w:rPr>
                <w:webHidden/>
              </w:rPr>
              <w:t>4</w:t>
            </w:r>
            <w:r w:rsidR="00F04C5D">
              <w:rPr>
                <w:webHidden/>
              </w:rPr>
              <w:fldChar w:fldCharType="end"/>
            </w:r>
          </w:hyperlink>
        </w:p>
        <w:p w14:paraId="4CB93B41" w14:textId="1033C7D3" w:rsidR="00F04C5D" w:rsidRDefault="008325D9">
          <w:pPr>
            <w:pStyle w:val="TOC3"/>
            <w:rPr>
              <w:rFonts w:asciiTheme="minorHAnsi" w:hAnsiTheme="minorHAnsi"/>
              <w:noProof/>
              <w:sz w:val="22"/>
              <w:szCs w:val="22"/>
              <w:lang w:eastAsia="en-AU"/>
            </w:rPr>
          </w:pPr>
          <w:hyperlink w:anchor="_Toc151024549" w:history="1">
            <w:r w:rsidR="00F04C5D" w:rsidRPr="005705EB">
              <w:rPr>
                <w:rStyle w:val="Hyperlink"/>
                <w:noProof/>
              </w:rPr>
              <w:t>When can items 135, 137, 139 or 289 be claimed?</w:t>
            </w:r>
            <w:r w:rsidR="00F04C5D">
              <w:rPr>
                <w:noProof/>
                <w:webHidden/>
              </w:rPr>
              <w:tab/>
            </w:r>
            <w:r w:rsidR="00F04C5D">
              <w:rPr>
                <w:noProof/>
                <w:webHidden/>
              </w:rPr>
              <w:fldChar w:fldCharType="begin"/>
            </w:r>
            <w:r w:rsidR="00F04C5D">
              <w:rPr>
                <w:noProof/>
                <w:webHidden/>
              </w:rPr>
              <w:instrText xml:space="preserve"> PAGEREF _Toc151024549 \h </w:instrText>
            </w:r>
            <w:r w:rsidR="00F04C5D">
              <w:rPr>
                <w:noProof/>
                <w:webHidden/>
              </w:rPr>
            </w:r>
            <w:r w:rsidR="00F04C5D">
              <w:rPr>
                <w:noProof/>
                <w:webHidden/>
              </w:rPr>
              <w:fldChar w:fldCharType="separate"/>
            </w:r>
            <w:r>
              <w:rPr>
                <w:noProof/>
                <w:webHidden/>
              </w:rPr>
              <w:t>4</w:t>
            </w:r>
            <w:r w:rsidR="00F04C5D">
              <w:rPr>
                <w:noProof/>
                <w:webHidden/>
              </w:rPr>
              <w:fldChar w:fldCharType="end"/>
            </w:r>
          </w:hyperlink>
        </w:p>
        <w:p w14:paraId="79230660" w14:textId="7A7C6610" w:rsidR="00F04C5D" w:rsidRDefault="008325D9">
          <w:pPr>
            <w:pStyle w:val="TOC3"/>
            <w:rPr>
              <w:rFonts w:asciiTheme="minorHAnsi" w:hAnsiTheme="minorHAnsi"/>
              <w:noProof/>
              <w:sz w:val="22"/>
              <w:szCs w:val="22"/>
              <w:lang w:eastAsia="en-AU"/>
            </w:rPr>
          </w:pPr>
          <w:hyperlink w:anchor="_Toc151024550" w:history="1">
            <w:r w:rsidR="00F04C5D" w:rsidRPr="005705EB">
              <w:rPr>
                <w:rStyle w:val="Hyperlink"/>
                <w:noProof/>
              </w:rPr>
              <w:t>Who decides eligibility for items 135, 137, 139 or 289?</w:t>
            </w:r>
            <w:r w:rsidR="00F04C5D">
              <w:rPr>
                <w:noProof/>
                <w:webHidden/>
              </w:rPr>
              <w:tab/>
            </w:r>
            <w:r w:rsidR="00F04C5D">
              <w:rPr>
                <w:noProof/>
                <w:webHidden/>
              </w:rPr>
              <w:fldChar w:fldCharType="begin"/>
            </w:r>
            <w:r w:rsidR="00F04C5D">
              <w:rPr>
                <w:noProof/>
                <w:webHidden/>
              </w:rPr>
              <w:instrText xml:space="preserve"> PAGEREF _Toc151024550 \h </w:instrText>
            </w:r>
            <w:r w:rsidR="00F04C5D">
              <w:rPr>
                <w:noProof/>
                <w:webHidden/>
              </w:rPr>
            </w:r>
            <w:r w:rsidR="00F04C5D">
              <w:rPr>
                <w:noProof/>
                <w:webHidden/>
              </w:rPr>
              <w:fldChar w:fldCharType="separate"/>
            </w:r>
            <w:r>
              <w:rPr>
                <w:noProof/>
                <w:webHidden/>
              </w:rPr>
              <w:t>4</w:t>
            </w:r>
            <w:r w:rsidR="00F04C5D">
              <w:rPr>
                <w:noProof/>
                <w:webHidden/>
              </w:rPr>
              <w:fldChar w:fldCharType="end"/>
            </w:r>
          </w:hyperlink>
        </w:p>
        <w:p w14:paraId="4FB881F1" w14:textId="52F20F96" w:rsidR="00F04C5D" w:rsidRDefault="008325D9">
          <w:pPr>
            <w:pStyle w:val="TOC3"/>
            <w:rPr>
              <w:rFonts w:asciiTheme="minorHAnsi" w:hAnsiTheme="minorHAnsi"/>
              <w:noProof/>
              <w:sz w:val="22"/>
              <w:szCs w:val="22"/>
              <w:lang w:eastAsia="en-AU"/>
            </w:rPr>
          </w:pPr>
          <w:hyperlink w:anchor="_Toc151024551" w:history="1">
            <w:r w:rsidR="00F04C5D" w:rsidRPr="005705EB">
              <w:rPr>
                <w:rStyle w:val="Hyperlink"/>
                <w:noProof/>
              </w:rPr>
              <w:t>Is there a specification for the location of assessments?</w:t>
            </w:r>
            <w:r w:rsidR="00F04C5D">
              <w:rPr>
                <w:noProof/>
                <w:webHidden/>
              </w:rPr>
              <w:tab/>
            </w:r>
            <w:r w:rsidR="00F04C5D">
              <w:rPr>
                <w:noProof/>
                <w:webHidden/>
              </w:rPr>
              <w:fldChar w:fldCharType="begin"/>
            </w:r>
            <w:r w:rsidR="00F04C5D">
              <w:rPr>
                <w:noProof/>
                <w:webHidden/>
              </w:rPr>
              <w:instrText xml:space="preserve"> PAGEREF _Toc151024551 \h </w:instrText>
            </w:r>
            <w:r w:rsidR="00F04C5D">
              <w:rPr>
                <w:noProof/>
                <w:webHidden/>
              </w:rPr>
            </w:r>
            <w:r w:rsidR="00F04C5D">
              <w:rPr>
                <w:noProof/>
                <w:webHidden/>
              </w:rPr>
              <w:fldChar w:fldCharType="separate"/>
            </w:r>
            <w:r>
              <w:rPr>
                <w:noProof/>
                <w:webHidden/>
              </w:rPr>
              <w:t>4</w:t>
            </w:r>
            <w:r w:rsidR="00F04C5D">
              <w:rPr>
                <w:noProof/>
                <w:webHidden/>
              </w:rPr>
              <w:fldChar w:fldCharType="end"/>
            </w:r>
          </w:hyperlink>
        </w:p>
        <w:p w14:paraId="745DD822" w14:textId="3B3FFCC9" w:rsidR="00F04C5D" w:rsidRDefault="008325D9">
          <w:pPr>
            <w:pStyle w:val="TOC3"/>
            <w:rPr>
              <w:rFonts w:asciiTheme="minorHAnsi" w:hAnsiTheme="minorHAnsi"/>
              <w:noProof/>
              <w:sz w:val="22"/>
              <w:szCs w:val="22"/>
              <w:lang w:eastAsia="en-AU"/>
            </w:rPr>
          </w:pPr>
          <w:hyperlink w:anchor="_Toc151024552" w:history="1">
            <w:r w:rsidR="00F04C5D" w:rsidRPr="005705EB">
              <w:rPr>
                <w:rStyle w:val="Hyperlink"/>
                <w:noProof/>
              </w:rPr>
              <w:t>What is the ongoing care pathway following a 135?</w:t>
            </w:r>
            <w:r w:rsidR="00F04C5D">
              <w:rPr>
                <w:noProof/>
                <w:webHidden/>
              </w:rPr>
              <w:tab/>
            </w:r>
            <w:r w:rsidR="00F04C5D">
              <w:rPr>
                <w:noProof/>
                <w:webHidden/>
              </w:rPr>
              <w:fldChar w:fldCharType="begin"/>
            </w:r>
            <w:r w:rsidR="00F04C5D">
              <w:rPr>
                <w:noProof/>
                <w:webHidden/>
              </w:rPr>
              <w:instrText xml:space="preserve"> PAGEREF _Toc151024552 \h </w:instrText>
            </w:r>
            <w:r w:rsidR="00F04C5D">
              <w:rPr>
                <w:noProof/>
                <w:webHidden/>
              </w:rPr>
            </w:r>
            <w:r w:rsidR="00F04C5D">
              <w:rPr>
                <w:noProof/>
                <w:webHidden/>
              </w:rPr>
              <w:fldChar w:fldCharType="separate"/>
            </w:r>
            <w:r>
              <w:rPr>
                <w:noProof/>
                <w:webHidden/>
              </w:rPr>
              <w:t>4</w:t>
            </w:r>
            <w:r w:rsidR="00F04C5D">
              <w:rPr>
                <w:noProof/>
                <w:webHidden/>
              </w:rPr>
              <w:fldChar w:fldCharType="end"/>
            </w:r>
          </w:hyperlink>
        </w:p>
        <w:p w14:paraId="4F398B88" w14:textId="1F02B332" w:rsidR="00F04C5D" w:rsidRDefault="008325D9">
          <w:pPr>
            <w:pStyle w:val="TOC3"/>
            <w:rPr>
              <w:rFonts w:asciiTheme="minorHAnsi" w:hAnsiTheme="minorHAnsi"/>
              <w:noProof/>
              <w:sz w:val="22"/>
              <w:szCs w:val="22"/>
              <w:lang w:eastAsia="en-AU"/>
            </w:rPr>
          </w:pPr>
          <w:hyperlink w:anchor="_Toc151024553" w:history="1">
            <w:r w:rsidR="00F04C5D" w:rsidRPr="005705EB">
              <w:rPr>
                <w:rStyle w:val="Hyperlink"/>
                <w:noProof/>
              </w:rPr>
              <w:t>Are there legislative restrictions which prevent a paediatrician billing an MBS item for an adult?</w:t>
            </w:r>
            <w:r w:rsidR="00F04C5D">
              <w:rPr>
                <w:noProof/>
                <w:webHidden/>
              </w:rPr>
              <w:tab/>
            </w:r>
            <w:r w:rsidR="00F04C5D">
              <w:rPr>
                <w:noProof/>
                <w:webHidden/>
              </w:rPr>
              <w:fldChar w:fldCharType="begin"/>
            </w:r>
            <w:r w:rsidR="00F04C5D">
              <w:rPr>
                <w:noProof/>
                <w:webHidden/>
              </w:rPr>
              <w:instrText xml:space="preserve"> PAGEREF _Toc151024553 \h </w:instrText>
            </w:r>
            <w:r w:rsidR="00F04C5D">
              <w:rPr>
                <w:noProof/>
                <w:webHidden/>
              </w:rPr>
            </w:r>
            <w:r w:rsidR="00F04C5D">
              <w:rPr>
                <w:noProof/>
                <w:webHidden/>
              </w:rPr>
              <w:fldChar w:fldCharType="separate"/>
            </w:r>
            <w:r>
              <w:rPr>
                <w:noProof/>
                <w:webHidden/>
              </w:rPr>
              <w:t>4</w:t>
            </w:r>
            <w:r w:rsidR="00F04C5D">
              <w:rPr>
                <w:noProof/>
                <w:webHidden/>
              </w:rPr>
              <w:fldChar w:fldCharType="end"/>
            </w:r>
          </w:hyperlink>
        </w:p>
        <w:p w14:paraId="6DAAD1EC" w14:textId="549C6209" w:rsidR="00F04C5D" w:rsidRDefault="008325D9">
          <w:pPr>
            <w:pStyle w:val="TOC3"/>
            <w:rPr>
              <w:rFonts w:asciiTheme="minorHAnsi" w:hAnsiTheme="minorHAnsi"/>
              <w:noProof/>
              <w:sz w:val="22"/>
              <w:szCs w:val="22"/>
              <w:lang w:eastAsia="en-AU"/>
            </w:rPr>
          </w:pPr>
          <w:hyperlink w:anchor="_Toc151024554" w:history="1">
            <w:r w:rsidR="00F04C5D" w:rsidRPr="005705EB">
              <w:rPr>
                <w:rStyle w:val="Hyperlink"/>
                <w:noProof/>
              </w:rPr>
              <w:t>Why has the language been changed from ‘severe’ to ‘requiring support and showing impairment’?</w:t>
            </w:r>
            <w:r w:rsidR="00F04C5D">
              <w:rPr>
                <w:noProof/>
                <w:webHidden/>
              </w:rPr>
              <w:tab/>
            </w:r>
            <w:r w:rsidR="00F04C5D">
              <w:rPr>
                <w:noProof/>
                <w:webHidden/>
              </w:rPr>
              <w:fldChar w:fldCharType="begin"/>
            </w:r>
            <w:r w:rsidR="00F04C5D">
              <w:rPr>
                <w:noProof/>
                <w:webHidden/>
              </w:rPr>
              <w:instrText xml:space="preserve"> PAGEREF _Toc151024554 \h </w:instrText>
            </w:r>
            <w:r w:rsidR="00F04C5D">
              <w:rPr>
                <w:noProof/>
                <w:webHidden/>
              </w:rPr>
            </w:r>
            <w:r w:rsidR="00F04C5D">
              <w:rPr>
                <w:noProof/>
                <w:webHidden/>
              </w:rPr>
              <w:fldChar w:fldCharType="separate"/>
            </w:r>
            <w:r>
              <w:rPr>
                <w:noProof/>
                <w:webHidden/>
              </w:rPr>
              <w:t>5</w:t>
            </w:r>
            <w:r w:rsidR="00F04C5D">
              <w:rPr>
                <w:noProof/>
                <w:webHidden/>
              </w:rPr>
              <w:fldChar w:fldCharType="end"/>
            </w:r>
          </w:hyperlink>
        </w:p>
        <w:p w14:paraId="4D442BB1" w14:textId="0BB7DF4E" w:rsidR="00F04C5D" w:rsidRDefault="008325D9">
          <w:pPr>
            <w:pStyle w:val="TOC2"/>
            <w:rPr>
              <w:rFonts w:asciiTheme="minorHAnsi" w:hAnsiTheme="minorHAnsi"/>
              <w:b w:val="0"/>
              <w:bCs w:val="0"/>
              <w:sz w:val="22"/>
              <w:szCs w:val="22"/>
              <w:lang w:eastAsia="en-AU"/>
            </w:rPr>
          </w:pPr>
          <w:hyperlink w:anchor="_Toc151024555" w:history="1">
            <w:r w:rsidR="00F04C5D" w:rsidRPr="005705EB">
              <w:rPr>
                <w:rStyle w:val="Hyperlink"/>
              </w:rPr>
              <w:t>Allied health Provider Questions</w:t>
            </w:r>
            <w:r w:rsidR="00F04C5D">
              <w:rPr>
                <w:webHidden/>
              </w:rPr>
              <w:tab/>
            </w:r>
            <w:r w:rsidR="00F04C5D">
              <w:rPr>
                <w:webHidden/>
              </w:rPr>
              <w:fldChar w:fldCharType="begin"/>
            </w:r>
            <w:r w:rsidR="00F04C5D">
              <w:rPr>
                <w:webHidden/>
              </w:rPr>
              <w:instrText xml:space="preserve"> PAGEREF _Toc151024555 \h </w:instrText>
            </w:r>
            <w:r w:rsidR="00F04C5D">
              <w:rPr>
                <w:webHidden/>
              </w:rPr>
            </w:r>
            <w:r w:rsidR="00F04C5D">
              <w:rPr>
                <w:webHidden/>
              </w:rPr>
              <w:fldChar w:fldCharType="separate"/>
            </w:r>
            <w:r>
              <w:rPr>
                <w:webHidden/>
              </w:rPr>
              <w:t>5</w:t>
            </w:r>
            <w:r w:rsidR="00F04C5D">
              <w:rPr>
                <w:webHidden/>
              </w:rPr>
              <w:fldChar w:fldCharType="end"/>
            </w:r>
          </w:hyperlink>
        </w:p>
        <w:p w14:paraId="4B4D00F0" w14:textId="65E6294B" w:rsidR="00F04C5D" w:rsidRDefault="008325D9">
          <w:pPr>
            <w:pStyle w:val="TOC3"/>
            <w:rPr>
              <w:rFonts w:asciiTheme="minorHAnsi" w:hAnsiTheme="minorHAnsi"/>
              <w:noProof/>
              <w:sz w:val="22"/>
              <w:szCs w:val="22"/>
              <w:lang w:eastAsia="en-AU"/>
            </w:rPr>
          </w:pPr>
          <w:hyperlink w:anchor="_Toc151024556" w:history="1">
            <w:r w:rsidR="00F04C5D" w:rsidRPr="005705EB">
              <w:rPr>
                <w:rStyle w:val="Hyperlink"/>
                <w:noProof/>
              </w:rPr>
              <w:t>Can the allied health assessment items be used for diagnosis of autism spectrum disorder in adults?</w:t>
            </w:r>
            <w:r w:rsidR="00F04C5D">
              <w:rPr>
                <w:noProof/>
                <w:webHidden/>
              </w:rPr>
              <w:tab/>
            </w:r>
            <w:r w:rsidR="00F04C5D">
              <w:rPr>
                <w:noProof/>
                <w:webHidden/>
              </w:rPr>
              <w:fldChar w:fldCharType="begin"/>
            </w:r>
            <w:r w:rsidR="00F04C5D">
              <w:rPr>
                <w:noProof/>
                <w:webHidden/>
              </w:rPr>
              <w:instrText xml:space="preserve"> PAGEREF _Toc151024556 \h </w:instrText>
            </w:r>
            <w:r w:rsidR="00F04C5D">
              <w:rPr>
                <w:noProof/>
                <w:webHidden/>
              </w:rPr>
            </w:r>
            <w:r w:rsidR="00F04C5D">
              <w:rPr>
                <w:noProof/>
                <w:webHidden/>
              </w:rPr>
              <w:fldChar w:fldCharType="separate"/>
            </w:r>
            <w:r>
              <w:rPr>
                <w:noProof/>
                <w:webHidden/>
              </w:rPr>
              <w:t>5</w:t>
            </w:r>
            <w:r w:rsidR="00F04C5D">
              <w:rPr>
                <w:noProof/>
                <w:webHidden/>
              </w:rPr>
              <w:fldChar w:fldCharType="end"/>
            </w:r>
          </w:hyperlink>
        </w:p>
        <w:p w14:paraId="6429D6A5" w14:textId="0D6070B5" w:rsidR="00F04C5D" w:rsidRDefault="008325D9">
          <w:pPr>
            <w:pStyle w:val="TOC3"/>
            <w:rPr>
              <w:rFonts w:asciiTheme="minorHAnsi" w:hAnsiTheme="minorHAnsi"/>
              <w:noProof/>
              <w:sz w:val="22"/>
              <w:szCs w:val="22"/>
              <w:lang w:eastAsia="en-AU"/>
            </w:rPr>
          </w:pPr>
          <w:hyperlink w:anchor="_Toc151024557" w:history="1">
            <w:r w:rsidR="00F04C5D" w:rsidRPr="005705EB">
              <w:rPr>
                <w:rStyle w:val="Hyperlink"/>
                <w:noProof/>
              </w:rPr>
              <w:t>Is there a diagnosis age limit for access to the allied health treatment items?</w:t>
            </w:r>
            <w:r w:rsidR="00F04C5D">
              <w:rPr>
                <w:noProof/>
                <w:webHidden/>
              </w:rPr>
              <w:tab/>
            </w:r>
            <w:r w:rsidR="00F04C5D">
              <w:rPr>
                <w:noProof/>
                <w:webHidden/>
              </w:rPr>
              <w:fldChar w:fldCharType="begin"/>
            </w:r>
            <w:r w:rsidR="00F04C5D">
              <w:rPr>
                <w:noProof/>
                <w:webHidden/>
              </w:rPr>
              <w:instrText xml:space="preserve"> PAGEREF _Toc151024557 \h </w:instrText>
            </w:r>
            <w:r w:rsidR="00F04C5D">
              <w:rPr>
                <w:noProof/>
                <w:webHidden/>
              </w:rPr>
            </w:r>
            <w:r w:rsidR="00F04C5D">
              <w:rPr>
                <w:noProof/>
                <w:webHidden/>
              </w:rPr>
              <w:fldChar w:fldCharType="separate"/>
            </w:r>
            <w:r>
              <w:rPr>
                <w:noProof/>
                <w:webHidden/>
              </w:rPr>
              <w:t>5</w:t>
            </w:r>
            <w:r w:rsidR="00F04C5D">
              <w:rPr>
                <w:noProof/>
                <w:webHidden/>
              </w:rPr>
              <w:fldChar w:fldCharType="end"/>
            </w:r>
          </w:hyperlink>
        </w:p>
        <w:p w14:paraId="341C6184" w14:textId="26BFCF2A" w:rsidR="00F04C5D" w:rsidRDefault="008325D9">
          <w:pPr>
            <w:pStyle w:val="TOC3"/>
            <w:rPr>
              <w:rFonts w:asciiTheme="minorHAnsi" w:hAnsiTheme="minorHAnsi"/>
              <w:noProof/>
              <w:sz w:val="22"/>
              <w:szCs w:val="22"/>
              <w:lang w:eastAsia="en-AU"/>
            </w:rPr>
          </w:pPr>
          <w:hyperlink w:anchor="_Toc151024558" w:history="1">
            <w:r w:rsidR="00F04C5D" w:rsidRPr="005705EB">
              <w:rPr>
                <w:rStyle w:val="Hyperlink"/>
                <w:noProof/>
              </w:rPr>
              <w:t>Which allied health practitioners can provide referred treatment services?</w:t>
            </w:r>
            <w:r w:rsidR="00F04C5D">
              <w:rPr>
                <w:noProof/>
                <w:webHidden/>
              </w:rPr>
              <w:tab/>
            </w:r>
            <w:r w:rsidR="00F04C5D">
              <w:rPr>
                <w:noProof/>
                <w:webHidden/>
              </w:rPr>
              <w:fldChar w:fldCharType="begin"/>
            </w:r>
            <w:r w:rsidR="00F04C5D">
              <w:rPr>
                <w:noProof/>
                <w:webHidden/>
              </w:rPr>
              <w:instrText xml:space="preserve"> PAGEREF _Toc151024558 \h </w:instrText>
            </w:r>
            <w:r w:rsidR="00F04C5D">
              <w:rPr>
                <w:noProof/>
                <w:webHidden/>
              </w:rPr>
            </w:r>
            <w:r w:rsidR="00F04C5D">
              <w:rPr>
                <w:noProof/>
                <w:webHidden/>
              </w:rPr>
              <w:fldChar w:fldCharType="separate"/>
            </w:r>
            <w:r>
              <w:rPr>
                <w:noProof/>
                <w:webHidden/>
              </w:rPr>
              <w:t>5</w:t>
            </w:r>
            <w:r w:rsidR="00F04C5D">
              <w:rPr>
                <w:noProof/>
                <w:webHidden/>
              </w:rPr>
              <w:fldChar w:fldCharType="end"/>
            </w:r>
          </w:hyperlink>
        </w:p>
        <w:p w14:paraId="3FD5DC2C" w14:textId="4173EE51" w:rsidR="00F04C5D" w:rsidRDefault="008325D9">
          <w:pPr>
            <w:pStyle w:val="TOC3"/>
            <w:rPr>
              <w:rFonts w:asciiTheme="minorHAnsi" w:hAnsiTheme="minorHAnsi"/>
              <w:noProof/>
              <w:sz w:val="22"/>
              <w:szCs w:val="22"/>
              <w:lang w:eastAsia="en-AU"/>
            </w:rPr>
          </w:pPr>
          <w:hyperlink w:anchor="_Toc151024559" w:history="1">
            <w:r w:rsidR="00F04C5D" w:rsidRPr="005705EB">
              <w:rPr>
                <w:rStyle w:val="Hyperlink"/>
                <w:noProof/>
              </w:rPr>
              <w:t>What is the process of submitting a request for a review during the allied health assessment phase?</w:t>
            </w:r>
            <w:r w:rsidR="00F04C5D">
              <w:rPr>
                <w:noProof/>
                <w:webHidden/>
              </w:rPr>
              <w:tab/>
            </w:r>
            <w:r w:rsidR="00F04C5D">
              <w:rPr>
                <w:noProof/>
                <w:webHidden/>
              </w:rPr>
              <w:fldChar w:fldCharType="begin"/>
            </w:r>
            <w:r w:rsidR="00F04C5D">
              <w:rPr>
                <w:noProof/>
                <w:webHidden/>
              </w:rPr>
              <w:instrText xml:space="preserve"> PAGEREF _Toc151024559 \h </w:instrText>
            </w:r>
            <w:r w:rsidR="00F04C5D">
              <w:rPr>
                <w:noProof/>
                <w:webHidden/>
              </w:rPr>
            </w:r>
            <w:r w:rsidR="00F04C5D">
              <w:rPr>
                <w:noProof/>
                <w:webHidden/>
              </w:rPr>
              <w:fldChar w:fldCharType="separate"/>
            </w:r>
            <w:r>
              <w:rPr>
                <w:noProof/>
                <w:webHidden/>
              </w:rPr>
              <w:t>6</w:t>
            </w:r>
            <w:r w:rsidR="00F04C5D">
              <w:rPr>
                <w:noProof/>
                <w:webHidden/>
              </w:rPr>
              <w:fldChar w:fldCharType="end"/>
            </w:r>
          </w:hyperlink>
        </w:p>
        <w:p w14:paraId="0A6C47F3" w14:textId="3333035F" w:rsidR="00F04C5D" w:rsidRDefault="008325D9">
          <w:pPr>
            <w:pStyle w:val="TOC3"/>
            <w:rPr>
              <w:rFonts w:asciiTheme="minorHAnsi" w:hAnsiTheme="minorHAnsi"/>
              <w:noProof/>
              <w:sz w:val="22"/>
              <w:szCs w:val="22"/>
              <w:lang w:eastAsia="en-AU"/>
            </w:rPr>
          </w:pPr>
          <w:hyperlink w:anchor="_Toc151024560" w:history="1">
            <w:r w:rsidR="00F04C5D" w:rsidRPr="005705EB">
              <w:rPr>
                <w:rStyle w:val="Hyperlink"/>
                <w:noProof/>
              </w:rPr>
              <w:t>Is it possible to claim allied health assessment items following a 135, 137, 139 or 289?</w:t>
            </w:r>
            <w:r w:rsidR="00F04C5D">
              <w:rPr>
                <w:noProof/>
                <w:webHidden/>
              </w:rPr>
              <w:tab/>
            </w:r>
            <w:r w:rsidR="00F04C5D">
              <w:rPr>
                <w:noProof/>
                <w:webHidden/>
              </w:rPr>
              <w:fldChar w:fldCharType="begin"/>
            </w:r>
            <w:r w:rsidR="00F04C5D">
              <w:rPr>
                <w:noProof/>
                <w:webHidden/>
              </w:rPr>
              <w:instrText xml:space="preserve"> PAGEREF _Toc151024560 \h </w:instrText>
            </w:r>
            <w:r w:rsidR="00F04C5D">
              <w:rPr>
                <w:noProof/>
                <w:webHidden/>
              </w:rPr>
            </w:r>
            <w:r w:rsidR="00F04C5D">
              <w:rPr>
                <w:noProof/>
                <w:webHidden/>
              </w:rPr>
              <w:fldChar w:fldCharType="separate"/>
            </w:r>
            <w:r>
              <w:rPr>
                <w:noProof/>
                <w:webHidden/>
              </w:rPr>
              <w:t>6</w:t>
            </w:r>
            <w:r w:rsidR="00F04C5D">
              <w:rPr>
                <w:noProof/>
                <w:webHidden/>
              </w:rPr>
              <w:fldChar w:fldCharType="end"/>
            </w:r>
          </w:hyperlink>
        </w:p>
        <w:p w14:paraId="7710DF16" w14:textId="100FA32D" w:rsidR="00F04C5D" w:rsidRDefault="008325D9">
          <w:pPr>
            <w:pStyle w:val="TOC3"/>
            <w:rPr>
              <w:rFonts w:asciiTheme="minorHAnsi" w:hAnsiTheme="minorHAnsi"/>
              <w:noProof/>
              <w:sz w:val="22"/>
              <w:szCs w:val="22"/>
              <w:lang w:eastAsia="en-AU"/>
            </w:rPr>
          </w:pPr>
          <w:hyperlink w:anchor="_Toc151024561" w:history="1">
            <w:r w:rsidR="00F04C5D" w:rsidRPr="005705EB">
              <w:rPr>
                <w:rStyle w:val="Hyperlink"/>
                <w:noProof/>
              </w:rPr>
              <w:t>What is the process for making an interdisciplinary referral for allied health assessment items?</w:t>
            </w:r>
            <w:r w:rsidR="00F04C5D">
              <w:rPr>
                <w:noProof/>
                <w:webHidden/>
              </w:rPr>
              <w:tab/>
            </w:r>
            <w:r w:rsidR="00F04C5D">
              <w:rPr>
                <w:noProof/>
                <w:webHidden/>
              </w:rPr>
              <w:fldChar w:fldCharType="begin"/>
            </w:r>
            <w:r w:rsidR="00F04C5D">
              <w:rPr>
                <w:noProof/>
                <w:webHidden/>
              </w:rPr>
              <w:instrText xml:space="preserve"> PAGEREF _Toc151024561 \h </w:instrText>
            </w:r>
            <w:r w:rsidR="00F04C5D">
              <w:rPr>
                <w:noProof/>
                <w:webHidden/>
              </w:rPr>
            </w:r>
            <w:r w:rsidR="00F04C5D">
              <w:rPr>
                <w:noProof/>
                <w:webHidden/>
              </w:rPr>
              <w:fldChar w:fldCharType="separate"/>
            </w:r>
            <w:r>
              <w:rPr>
                <w:noProof/>
                <w:webHidden/>
              </w:rPr>
              <w:t>6</w:t>
            </w:r>
            <w:r w:rsidR="00F04C5D">
              <w:rPr>
                <w:noProof/>
                <w:webHidden/>
              </w:rPr>
              <w:fldChar w:fldCharType="end"/>
            </w:r>
          </w:hyperlink>
        </w:p>
        <w:p w14:paraId="45588552" w14:textId="191C12C4" w:rsidR="00312AAA" w:rsidRDefault="008325D9" w:rsidP="00932F5C">
          <w:pPr>
            <w:pStyle w:val="TOC2"/>
          </w:pPr>
          <w:hyperlink w:anchor="_Toc151024562" w:history="1">
            <w:r w:rsidR="00F04C5D" w:rsidRPr="005705EB">
              <w:rPr>
                <w:rStyle w:val="Hyperlink"/>
              </w:rPr>
              <w:t>Where can I find more information?</w:t>
            </w:r>
            <w:r w:rsidR="00F04C5D">
              <w:rPr>
                <w:webHidden/>
              </w:rPr>
              <w:tab/>
            </w:r>
            <w:r w:rsidR="00F04C5D">
              <w:rPr>
                <w:webHidden/>
              </w:rPr>
              <w:fldChar w:fldCharType="begin"/>
            </w:r>
            <w:r w:rsidR="00F04C5D">
              <w:rPr>
                <w:webHidden/>
              </w:rPr>
              <w:instrText xml:space="preserve"> PAGEREF _Toc151024562 \h </w:instrText>
            </w:r>
            <w:r w:rsidR="00F04C5D">
              <w:rPr>
                <w:webHidden/>
              </w:rPr>
            </w:r>
            <w:r w:rsidR="00F04C5D">
              <w:rPr>
                <w:webHidden/>
              </w:rPr>
              <w:fldChar w:fldCharType="separate"/>
            </w:r>
            <w:r>
              <w:rPr>
                <w:webHidden/>
              </w:rPr>
              <w:t>7</w:t>
            </w:r>
            <w:r w:rsidR="00F04C5D">
              <w:rPr>
                <w:webHidden/>
              </w:rPr>
              <w:fldChar w:fldCharType="end"/>
            </w:r>
          </w:hyperlink>
          <w:r w:rsidR="00312AAA">
            <w:rPr>
              <w:b w:val="0"/>
              <w:bCs w:val="0"/>
            </w:rPr>
            <w:fldChar w:fldCharType="end"/>
          </w:r>
        </w:p>
      </w:sdtContent>
    </w:sdt>
    <w:p w14:paraId="6F25752B" w14:textId="0742AB5F" w:rsidR="00DA7B37" w:rsidRPr="00DA7B37" w:rsidRDefault="00DA7B37" w:rsidP="007876C6">
      <w:pPr>
        <w:pStyle w:val="Heading2"/>
        <w:spacing w:before="0" w:after="120"/>
      </w:pPr>
      <w:bookmarkStart w:id="0" w:name="_Toc151024542"/>
      <w:r w:rsidRPr="00DA7B37">
        <w:lastRenderedPageBreak/>
        <w:t>General</w:t>
      </w:r>
      <w:r>
        <w:t xml:space="preserve"> Questions</w:t>
      </w:r>
      <w:bookmarkEnd w:id="0"/>
    </w:p>
    <w:p w14:paraId="0BF63709" w14:textId="77777777" w:rsidR="000847AA" w:rsidRPr="00B603C8" w:rsidRDefault="000847AA" w:rsidP="00F04C5D">
      <w:pPr>
        <w:pStyle w:val="Heading3"/>
      </w:pPr>
      <w:bookmarkStart w:id="1" w:name="_Toc151024543"/>
      <w:r w:rsidRPr="00B603C8">
        <w:t>How have these changes been communicated to stakeholders?</w:t>
      </w:r>
      <w:bookmarkEnd w:id="1"/>
    </w:p>
    <w:p w14:paraId="7FA9FB87" w14:textId="698FFCBC" w:rsidR="000847AA" w:rsidRPr="00371934" w:rsidRDefault="00DF33FB" w:rsidP="000847AA">
      <w:pPr>
        <w:rPr>
          <w:rFonts w:eastAsia="Times New Roman" w:cs="Arial"/>
        </w:rPr>
      </w:pPr>
      <w:r>
        <w:rPr>
          <w:rFonts w:eastAsia="Times New Roman" w:cs="Arial"/>
        </w:rPr>
        <w:t>T</w:t>
      </w:r>
      <w:r w:rsidR="000847AA" w:rsidRPr="00371934">
        <w:rPr>
          <w:rFonts w:eastAsia="Times New Roman" w:cs="Arial"/>
        </w:rPr>
        <w:t xml:space="preserve">he 1 </w:t>
      </w:r>
      <w:r w:rsidR="00325555" w:rsidRPr="00371934">
        <w:rPr>
          <w:rFonts w:eastAsia="Times New Roman" w:cs="Arial"/>
        </w:rPr>
        <w:t>March 2023</w:t>
      </w:r>
      <w:r w:rsidR="000847AA" w:rsidRPr="00371934">
        <w:rPr>
          <w:rFonts w:eastAsia="Times New Roman" w:cs="Arial"/>
        </w:rPr>
        <w:t xml:space="preserve"> </w:t>
      </w:r>
      <w:r w:rsidR="00325555" w:rsidRPr="00371934">
        <w:rPr>
          <w:rFonts w:eastAsia="Times New Roman" w:cs="Arial"/>
        </w:rPr>
        <w:t>changes</w:t>
      </w:r>
      <w:r>
        <w:rPr>
          <w:rFonts w:eastAsia="Times New Roman" w:cs="Arial"/>
        </w:rPr>
        <w:t xml:space="preserve"> were communicated through </w:t>
      </w:r>
      <w:r w:rsidR="00325555" w:rsidRPr="00371934">
        <w:rPr>
          <w:rFonts w:eastAsia="Times New Roman" w:cs="Arial"/>
        </w:rPr>
        <w:t xml:space="preserve">published </w:t>
      </w:r>
      <w:r w:rsidR="000847AA" w:rsidRPr="00371934">
        <w:rPr>
          <w:rFonts w:eastAsia="Times New Roman" w:cs="Arial"/>
        </w:rPr>
        <w:t xml:space="preserve">communication materials (including </w:t>
      </w:r>
      <w:r w:rsidR="00325555" w:rsidRPr="00371934">
        <w:rPr>
          <w:rFonts w:eastAsia="Times New Roman" w:cs="Arial"/>
        </w:rPr>
        <w:t xml:space="preserve">a </w:t>
      </w:r>
      <w:hyperlink r:id="rId10" w:history="1">
        <w:r w:rsidR="00CE3C5E">
          <w:rPr>
            <w:rStyle w:val="Hyperlink"/>
            <w:rFonts w:eastAsia="Times New Roman" w:cs="Arial"/>
          </w:rPr>
          <w:t>F</w:t>
        </w:r>
        <w:r w:rsidR="000847AA" w:rsidRPr="00B17030">
          <w:rPr>
            <w:rStyle w:val="Hyperlink"/>
            <w:rFonts w:eastAsia="Times New Roman" w:cs="Arial"/>
          </w:rPr>
          <w:t>actsheet</w:t>
        </w:r>
      </w:hyperlink>
      <w:r w:rsidR="00325555" w:rsidRPr="00371934">
        <w:rPr>
          <w:rFonts w:eastAsia="Times New Roman" w:cs="Arial"/>
        </w:rPr>
        <w:t xml:space="preserve"> and </w:t>
      </w:r>
      <w:hyperlink r:id="rId11" w:history="1">
        <w:r w:rsidR="00CE3C5E">
          <w:rPr>
            <w:rStyle w:val="Hyperlink"/>
            <w:rFonts w:eastAsia="Times New Roman" w:cs="Arial"/>
          </w:rPr>
          <w:t>Q</w:t>
        </w:r>
        <w:r w:rsidR="00325555" w:rsidRPr="00B17030">
          <w:rPr>
            <w:rStyle w:val="Hyperlink"/>
            <w:rFonts w:eastAsia="Times New Roman" w:cs="Arial"/>
          </w:rPr>
          <w:t xml:space="preserve">uick </w:t>
        </w:r>
        <w:r w:rsidR="00CE3C5E">
          <w:rPr>
            <w:rStyle w:val="Hyperlink"/>
            <w:rFonts w:eastAsia="Times New Roman" w:cs="Arial"/>
          </w:rPr>
          <w:t>R</w:t>
        </w:r>
        <w:r w:rsidR="00325555" w:rsidRPr="00B17030">
          <w:rPr>
            <w:rStyle w:val="Hyperlink"/>
            <w:rFonts w:eastAsia="Times New Roman" w:cs="Arial"/>
          </w:rPr>
          <w:t xml:space="preserve">eference </w:t>
        </w:r>
        <w:r w:rsidR="00CE3C5E">
          <w:rPr>
            <w:rStyle w:val="Hyperlink"/>
            <w:rFonts w:eastAsia="Times New Roman" w:cs="Arial"/>
          </w:rPr>
          <w:t>G</w:t>
        </w:r>
        <w:r w:rsidR="00325555" w:rsidRPr="00B17030">
          <w:rPr>
            <w:rStyle w:val="Hyperlink"/>
            <w:rFonts w:eastAsia="Times New Roman" w:cs="Arial"/>
          </w:rPr>
          <w:t>uide</w:t>
        </w:r>
      </w:hyperlink>
      <w:r w:rsidR="000847AA" w:rsidRPr="00371934">
        <w:rPr>
          <w:rFonts w:eastAsia="Times New Roman" w:cs="Arial"/>
        </w:rPr>
        <w:t xml:space="preserve"> about the changes)</w:t>
      </w:r>
      <w:r w:rsidR="00325555" w:rsidRPr="00371934">
        <w:rPr>
          <w:rFonts w:eastAsia="Times New Roman" w:cs="Arial"/>
        </w:rPr>
        <w:t xml:space="preserve"> on the </w:t>
      </w:r>
      <w:hyperlink r:id="rId12" w:history="1">
        <w:r w:rsidR="000847AA" w:rsidRPr="00371934">
          <w:rPr>
            <w:rStyle w:val="Hyperlink"/>
            <w:rFonts w:eastAsia="Times New Roman" w:cs="Arial"/>
          </w:rPr>
          <w:t xml:space="preserve">MBS </w:t>
        </w:r>
        <w:r w:rsidR="008337DC" w:rsidRPr="00371934">
          <w:rPr>
            <w:rStyle w:val="Hyperlink"/>
            <w:rFonts w:eastAsia="Times New Roman" w:cs="Arial"/>
          </w:rPr>
          <w:t xml:space="preserve">Online </w:t>
        </w:r>
        <w:r w:rsidR="000847AA" w:rsidRPr="00371934">
          <w:rPr>
            <w:rStyle w:val="Hyperlink"/>
            <w:rFonts w:eastAsia="Times New Roman" w:cs="Arial"/>
          </w:rPr>
          <w:t>website</w:t>
        </w:r>
      </w:hyperlink>
      <w:r w:rsidR="000847AA" w:rsidRPr="00371934">
        <w:rPr>
          <w:rFonts w:eastAsia="Times New Roman" w:cs="Arial"/>
        </w:rPr>
        <w:t>.</w:t>
      </w:r>
      <w:r w:rsidR="00B101C4" w:rsidRPr="00371934">
        <w:rPr>
          <w:rFonts w:eastAsia="Times New Roman" w:cs="Arial"/>
        </w:rPr>
        <w:t xml:space="preserve"> The changes were also communicated </w:t>
      </w:r>
      <w:r w:rsidR="00E80D35" w:rsidRPr="00371934">
        <w:rPr>
          <w:rFonts w:eastAsia="Times New Roman" w:cs="Arial"/>
        </w:rPr>
        <w:t>to stakeholders through implementation liaison groups and through department newsletters</w:t>
      </w:r>
      <w:r w:rsidR="007A3176">
        <w:rPr>
          <w:rFonts w:eastAsia="Times New Roman" w:cs="Arial"/>
        </w:rPr>
        <w:t xml:space="preserve"> </w:t>
      </w:r>
      <w:r w:rsidR="006E08EA">
        <w:rPr>
          <w:rFonts w:eastAsia="Times New Roman" w:cs="Arial"/>
        </w:rPr>
        <w:t xml:space="preserve"> including the </w:t>
      </w:r>
      <w:r w:rsidR="007A3176" w:rsidRPr="007A3176">
        <w:rPr>
          <w:rFonts w:eastAsia="Times New Roman" w:cs="Arial"/>
        </w:rPr>
        <w:t>Chief Allied Health Officer</w:t>
      </w:r>
      <w:r w:rsidR="007A3176">
        <w:rPr>
          <w:rFonts w:eastAsia="Times New Roman" w:cs="Arial"/>
        </w:rPr>
        <w:t xml:space="preserve"> </w:t>
      </w:r>
      <w:hyperlink r:id="rId13" w:history="1">
        <w:r w:rsidR="007A3176" w:rsidRPr="00617F59">
          <w:rPr>
            <w:rStyle w:val="Hyperlink"/>
            <w:rFonts w:eastAsia="Times New Roman" w:cs="Arial"/>
          </w:rPr>
          <w:t>New</w:t>
        </w:r>
        <w:r w:rsidR="00617F59">
          <w:rPr>
            <w:rStyle w:val="Hyperlink"/>
            <w:rFonts w:eastAsia="Times New Roman" w:cs="Arial"/>
          </w:rPr>
          <w:t>s</w:t>
        </w:r>
        <w:r w:rsidR="007A3176" w:rsidRPr="00617F59">
          <w:rPr>
            <w:rStyle w:val="Hyperlink"/>
            <w:rFonts w:eastAsia="Times New Roman" w:cs="Arial"/>
          </w:rPr>
          <w:t>letter</w:t>
        </w:r>
      </w:hyperlink>
      <w:r w:rsidR="00617F59">
        <w:rPr>
          <w:rFonts w:eastAsia="Times New Roman" w:cs="Arial"/>
        </w:rPr>
        <w:t xml:space="preserve"> and the</w:t>
      </w:r>
      <w:r w:rsidR="006E08EA">
        <w:rPr>
          <w:rFonts w:eastAsia="Times New Roman" w:cs="Arial"/>
        </w:rPr>
        <w:t xml:space="preserve"> </w:t>
      </w:r>
      <w:hyperlink r:id="rId14" w:history="1">
        <w:r w:rsidR="00617F59" w:rsidRPr="00617F59">
          <w:rPr>
            <w:rStyle w:val="Hyperlink"/>
            <w:rFonts w:eastAsia="Times New Roman" w:cs="Arial"/>
          </w:rPr>
          <w:t>MBS Review Ne</w:t>
        </w:r>
        <w:r w:rsidR="00617F59">
          <w:rPr>
            <w:rStyle w:val="Hyperlink"/>
            <w:rFonts w:eastAsia="Times New Roman" w:cs="Arial"/>
          </w:rPr>
          <w:t>ws</w:t>
        </w:r>
        <w:r w:rsidR="00617F59" w:rsidRPr="00617F59">
          <w:rPr>
            <w:rStyle w:val="Hyperlink"/>
            <w:rFonts w:eastAsia="Times New Roman" w:cs="Arial"/>
          </w:rPr>
          <w:t>letter</w:t>
        </w:r>
      </w:hyperlink>
      <w:r w:rsidR="00E80D35" w:rsidRPr="00371934">
        <w:rPr>
          <w:rFonts w:eastAsia="Times New Roman" w:cs="Arial"/>
        </w:rPr>
        <w:t>.</w:t>
      </w:r>
    </w:p>
    <w:p w14:paraId="65B838BC" w14:textId="760C6047" w:rsidR="000847AA" w:rsidRPr="00371934" w:rsidRDefault="00F76A1B" w:rsidP="000847AA">
      <w:pPr>
        <w:pStyle w:val="Heading3"/>
      </w:pPr>
      <w:bookmarkStart w:id="2" w:name="_Toc151024544"/>
      <w:bookmarkStart w:id="3" w:name="_Hlk107488306"/>
      <w:r w:rsidRPr="00371934">
        <w:t xml:space="preserve">What is a </w:t>
      </w:r>
      <w:r w:rsidR="000D52FC" w:rsidRPr="00371934">
        <w:t>c</w:t>
      </w:r>
      <w:r w:rsidRPr="00371934">
        <w:t xml:space="preserve">omplex </w:t>
      </w:r>
      <w:r w:rsidR="000D52FC" w:rsidRPr="00371934">
        <w:t>n</w:t>
      </w:r>
      <w:r w:rsidRPr="00371934">
        <w:t xml:space="preserve">eurodevelopmental </w:t>
      </w:r>
      <w:r w:rsidR="000D52FC" w:rsidRPr="00371934">
        <w:t>d</w:t>
      </w:r>
      <w:r w:rsidRPr="00371934">
        <w:t>isorder</w:t>
      </w:r>
      <w:r w:rsidR="000847AA" w:rsidRPr="00371934">
        <w:t>?</w:t>
      </w:r>
      <w:bookmarkEnd w:id="2"/>
    </w:p>
    <w:bookmarkEnd w:id="3"/>
    <w:p w14:paraId="152E1716" w14:textId="705971A6" w:rsidR="00F76A1B" w:rsidRPr="00371934" w:rsidRDefault="00F76A1B" w:rsidP="007876C6">
      <w:pPr>
        <w:rPr>
          <w:rFonts w:eastAsia="Times New Roman"/>
          <w:lang w:eastAsia="en-AU"/>
        </w:rPr>
      </w:pPr>
      <w:r w:rsidRPr="70251F0A">
        <w:rPr>
          <w:rFonts w:eastAsia="Times New Roman"/>
          <w:lang w:eastAsia="en-AU"/>
        </w:rPr>
        <w:t xml:space="preserve">Diagnosis of a </w:t>
      </w:r>
      <w:r w:rsidR="00C14DC4" w:rsidRPr="70251F0A">
        <w:rPr>
          <w:rFonts w:eastAsia="Times New Roman"/>
          <w:lang w:eastAsia="en-AU"/>
        </w:rPr>
        <w:t>c</w:t>
      </w:r>
      <w:r w:rsidRPr="70251F0A">
        <w:rPr>
          <w:rFonts w:eastAsia="Times New Roman"/>
          <w:lang w:eastAsia="en-AU"/>
        </w:rPr>
        <w:t xml:space="preserve">omplex </w:t>
      </w:r>
      <w:r w:rsidR="00C14DC4" w:rsidRPr="70251F0A">
        <w:rPr>
          <w:rFonts w:eastAsia="Times New Roman"/>
          <w:lang w:eastAsia="en-AU"/>
        </w:rPr>
        <w:t>n</w:t>
      </w:r>
      <w:r w:rsidRPr="70251F0A">
        <w:rPr>
          <w:rFonts w:eastAsia="Times New Roman"/>
          <w:lang w:eastAsia="en-AU"/>
        </w:rPr>
        <w:t xml:space="preserve">eurodevelopmental </w:t>
      </w:r>
      <w:r w:rsidR="00C14DC4" w:rsidRPr="70251F0A">
        <w:rPr>
          <w:rFonts w:eastAsia="Times New Roman"/>
          <w:lang w:eastAsia="en-AU"/>
        </w:rPr>
        <w:t>d</w:t>
      </w:r>
      <w:r w:rsidRPr="70251F0A">
        <w:rPr>
          <w:rFonts w:eastAsia="Times New Roman"/>
          <w:lang w:eastAsia="en-AU"/>
        </w:rPr>
        <w:t>isorder requires evidence of requiring support and sho</w:t>
      </w:r>
      <w:r w:rsidR="3646C41D" w:rsidRPr="70251F0A">
        <w:rPr>
          <w:rFonts w:eastAsia="Times New Roman"/>
          <w:lang w:eastAsia="en-AU"/>
        </w:rPr>
        <w:t>w</w:t>
      </w:r>
      <w:r w:rsidRPr="70251F0A">
        <w:rPr>
          <w:rFonts w:eastAsia="Times New Roman"/>
          <w:lang w:eastAsia="en-AU"/>
        </w:rPr>
        <w:t>ing impairment across two or more neurodevelopmental domains. Complexity is characterised by multi-domain cognitive and functional disabilities, delay</w:t>
      </w:r>
      <w:r w:rsidR="001025BD" w:rsidRPr="70251F0A">
        <w:rPr>
          <w:rFonts w:eastAsia="Times New Roman"/>
          <w:lang w:eastAsia="en-AU"/>
        </w:rPr>
        <w:t xml:space="preserve"> </w:t>
      </w:r>
      <w:r w:rsidRPr="70251F0A">
        <w:rPr>
          <w:rFonts w:eastAsia="Times New Roman"/>
          <w:lang w:eastAsia="en-AU"/>
        </w:rPr>
        <w:t>or clinically significant impairment.</w:t>
      </w:r>
    </w:p>
    <w:p w14:paraId="24385D78" w14:textId="77777777" w:rsidR="00F76A1B" w:rsidRPr="003B6664" w:rsidRDefault="00F76A1B" w:rsidP="003B6664">
      <w:pPr>
        <w:rPr>
          <w:lang w:eastAsia="en-AU"/>
        </w:rPr>
      </w:pPr>
      <w:bookmarkStart w:id="4" w:name="_Hlk136419257"/>
      <w:r w:rsidRPr="003B6664">
        <w:rPr>
          <w:lang w:eastAsia="en-AU"/>
        </w:rPr>
        <w:t>Neurodevelopmental domains include:</w:t>
      </w:r>
    </w:p>
    <w:p w14:paraId="21667A18" w14:textId="244333D2" w:rsidR="00F76A1B" w:rsidRPr="003B6664" w:rsidRDefault="00F76A1B" w:rsidP="007876C6">
      <w:pPr>
        <w:pStyle w:val="ListParagraph"/>
        <w:numPr>
          <w:ilvl w:val="0"/>
          <w:numId w:val="45"/>
        </w:numPr>
        <w:rPr>
          <w:rFonts w:cstheme="minorBidi"/>
          <w:color w:val="auto"/>
          <w:sz w:val="20"/>
          <w:szCs w:val="21"/>
          <w:lang w:eastAsia="en-AU"/>
        </w:rPr>
      </w:pPr>
      <w:r w:rsidRPr="003B6664">
        <w:rPr>
          <w:rFonts w:cstheme="minorBidi"/>
          <w:color w:val="auto"/>
          <w:sz w:val="20"/>
          <w:szCs w:val="21"/>
          <w:lang w:eastAsia="en-AU"/>
        </w:rPr>
        <w:t>Cognition</w:t>
      </w:r>
    </w:p>
    <w:p w14:paraId="7366B8B7" w14:textId="77777777" w:rsidR="00F76A1B" w:rsidRPr="003B6664" w:rsidRDefault="00F76A1B" w:rsidP="007876C6">
      <w:pPr>
        <w:pStyle w:val="ListParagraph"/>
        <w:numPr>
          <w:ilvl w:val="0"/>
          <w:numId w:val="45"/>
        </w:numPr>
        <w:rPr>
          <w:rFonts w:cstheme="minorBidi"/>
          <w:color w:val="auto"/>
          <w:sz w:val="20"/>
          <w:szCs w:val="21"/>
          <w:lang w:eastAsia="en-AU"/>
        </w:rPr>
      </w:pPr>
      <w:r w:rsidRPr="003B6664">
        <w:rPr>
          <w:rFonts w:cstheme="minorBidi"/>
          <w:color w:val="auto"/>
          <w:sz w:val="20"/>
          <w:szCs w:val="21"/>
          <w:lang w:eastAsia="en-AU"/>
        </w:rPr>
        <w:t>Language</w:t>
      </w:r>
    </w:p>
    <w:p w14:paraId="46C9480E" w14:textId="77777777" w:rsidR="00F76A1B" w:rsidRPr="003B6664" w:rsidRDefault="00F76A1B" w:rsidP="007876C6">
      <w:pPr>
        <w:pStyle w:val="ListParagraph"/>
        <w:numPr>
          <w:ilvl w:val="0"/>
          <w:numId w:val="45"/>
        </w:numPr>
        <w:rPr>
          <w:rFonts w:cstheme="minorBidi"/>
          <w:color w:val="auto"/>
          <w:sz w:val="20"/>
          <w:szCs w:val="21"/>
          <w:lang w:eastAsia="en-AU"/>
        </w:rPr>
      </w:pPr>
      <w:r w:rsidRPr="003B6664">
        <w:rPr>
          <w:rFonts w:cstheme="minorBidi"/>
          <w:color w:val="auto"/>
          <w:sz w:val="20"/>
          <w:szCs w:val="21"/>
          <w:lang w:eastAsia="en-AU"/>
        </w:rPr>
        <w:t>Social-emotional development</w:t>
      </w:r>
    </w:p>
    <w:p w14:paraId="32DE196D" w14:textId="77777777" w:rsidR="00F76A1B" w:rsidRPr="003B6664" w:rsidRDefault="00F76A1B" w:rsidP="007876C6">
      <w:pPr>
        <w:pStyle w:val="ListParagraph"/>
        <w:numPr>
          <w:ilvl w:val="0"/>
          <w:numId w:val="45"/>
        </w:numPr>
        <w:rPr>
          <w:rFonts w:cstheme="minorBidi"/>
          <w:color w:val="auto"/>
          <w:sz w:val="20"/>
          <w:szCs w:val="21"/>
          <w:lang w:eastAsia="en-AU"/>
        </w:rPr>
      </w:pPr>
      <w:r w:rsidRPr="003B6664">
        <w:rPr>
          <w:rFonts w:cstheme="minorBidi"/>
          <w:color w:val="auto"/>
          <w:sz w:val="20"/>
          <w:szCs w:val="21"/>
          <w:lang w:eastAsia="en-AU"/>
        </w:rPr>
        <w:t>Motor skills</w:t>
      </w:r>
    </w:p>
    <w:p w14:paraId="0D824A5C" w14:textId="064E9D4E" w:rsidR="00F76A1B" w:rsidRPr="003B6664" w:rsidRDefault="00F76A1B" w:rsidP="007876C6">
      <w:pPr>
        <w:pStyle w:val="ListParagraph"/>
        <w:numPr>
          <w:ilvl w:val="0"/>
          <w:numId w:val="45"/>
        </w:numPr>
        <w:rPr>
          <w:rFonts w:cstheme="minorBidi"/>
          <w:color w:val="auto"/>
          <w:sz w:val="20"/>
          <w:szCs w:val="21"/>
          <w:lang w:eastAsia="en-AU"/>
        </w:rPr>
      </w:pPr>
      <w:r w:rsidRPr="003B6664">
        <w:rPr>
          <w:rFonts w:cstheme="minorBidi"/>
          <w:color w:val="auto"/>
          <w:sz w:val="20"/>
          <w:szCs w:val="21"/>
          <w:lang w:eastAsia="en-AU"/>
        </w:rPr>
        <w:t>Adaptive behaviour: conceptual</w:t>
      </w:r>
      <w:r w:rsidR="005241A4" w:rsidRPr="003B6664">
        <w:rPr>
          <w:rFonts w:cstheme="minorBidi"/>
          <w:color w:val="auto"/>
          <w:sz w:val="20"/>
          <w:szCs w:val="21"/>
          <w:lang w:eastAsia="en-AU"/>
        </w:rPr>
        <w:t>,</w:t>
      </w:r>
      <w:r w:rsidRPr="003B6664">
        <w:rPr>
          <w:rFonts w:cstheme="minorBidi"/>
          <w:color w:val="auto"/>
          <w:sz w:val="20"/>
          <w:szCs w:val="21"/>
          <w:lang w:eastAsia="en-AU"/>
        </w:rPr>
        <w:t xml:space="preserve"> skills, practical skills, social skills or social communication skills</w:t>
      </w:r>
    </w:p>
    <w:bookmarkEnd w:id="4"/>
    <w:p w14:paraId="5A6B6424" w14:textId="0BBF2759" w:rsidR="00470C79" w:rsidRDefault="000A24E2" w:rsidP="007876C6">
      <w:pPr>
        <w:rPr>
          <w:rFonts w:eastAsia="Times New Roman"/>
          <w:lang w:eastAsia="en-AU"/>
        </w:rPr>
      </w:pPr>
      <w:r w:rsidRPr="003B6664">
        <w:rPr>
          <w:rFonts w:eastAsia="Times New Roman"/>
          <w:b/>
          <w:bCs/>
          <w:lang w:eastAsia="en-AU"/>
        </w:rPr>
        <w:t>Note</w:t>
      </w:r>
      <w:r w:rsidR="003B6664" w:rsidRPr="003B6664">
        <w:rPr>
          <w:rFonts w:eastAsia="Times New Roman"/>
          <w:b/>
          <w:bCs/>
          <w:lang w:eastAsia="en-AU"/>
        </w:rPr>
        <w:t>:</w:t>
      </w:r>
      <w:r w:rsidR="003B6664">
        <w:rPr>
          <w:rFonts w:eastAsia="Times New Roman"/>
          <w:lang w:eastAsia="en-AU"/>
        </w:rPr>
        <w:t xml:space="preserve"> </w:t>
      </w:r>
      <w:r w:rsidRPr="00371934">
        <w:rPr>
          <w:rFonts w:eastAsia="Times New Roman"/>
          <w:lang w:eastAsia="en-AU"/>
        </w:rPr>
        <w:t xml:space="preserve"> </w:t>
      </w:r>
      <w:r w:rsidR="00F76A1B" w:rsidRPr="00371934">
        <w:rPr>
          <w:rFonts w:eastAsia="Times New Roman"/>
          <w:lang w:eastAsia="en-AU"/>
        </w:rPr>
        <w:t xml:space="preserve">Items 135 and 289 are not intended for </w:t>
      </w:r>
      <w:r w:rsidR="008D284E" w:rsidRPr="00371934">
        <w:rPr>
          <w:rFonts w:eastAsia="Times New Roman"/>
          <w:lang w:eastAsia="en-AU"/>
        </w:rPr>
        <w:t>standalone</w:t>
      </w:r>
      <w:r w:rsidR="00F76A1B" w:rsidRPr="00371934">
        <w:rPr>
          <w:rFonts w:eastAsia="Times New Roman"/>
          <w:lang w:eastAsia="en-AU"/>
        </w:rPr>
        <w:t xml:space="preserve"> diagnosis of Attention Deficit Hyperactivity Disorder </w:t>
      </w:r>
      <w:r w:rsidR="00A86AB8" w:rsidRPr="00371934">
        <w:rPr>
          <w:rFonts w:eastAsia="Times New Roman"/>
          <w:lang w:eastAsia="en-AU"/>
        </w:rPr>
        <w:t xml:space="preserve">(ADHD) </w:t>
      </w:r>
      <w:r w:rsidR="00F76A1B" w:rsidRPr="00371934">
        <w:rPr>
          <w:rFonts w:eastAsia="Times New Roman"/>
          <w:lang w:eastAsia="en-AU"/>
        </w:rPr>
        <w:t xml:space="preserve">without other neurodevelopmental comorbidities. This is due to the intention of these items as they relate to the complexity and required level of support for an individual. </w:t>
      </w:r>
    </w:p>
    <w:p w14:paraId="08A54A68" w14:textId="77777777" w:rsidR="00470C79" w:rsidRPr="00470C79" w:rsidRDefault="00470C79" w:rsidP="00470C79">
      <w:pPr>
        <w:pStyle w:val="Heading3"/>
      </w:pPr>
      <w:bookmarkStart w:id="5" w:name="_Toc151024545"/>
      <w:r w:rsidRPr="00470C79">
        <w:t>What is the list of eligible disabilities?</w:t>
      </w:r>
      <w:bookmarkEnd w:id="5"/>
    </w:p>
    <w:p w14:paraId="48242A35" w14:textId="2B16C4A5" w:rsidR="00470C79" w:rsidRPr="00E93AFF" w:rsidRDefault="00A67428" w:rsidP="00470C79">
      <w:pPr>
        <w:spacing w:after="90" w:line="300" w:lineRule="atLeast"/>
        <w:rPr>
          <w:rFonts w:eastAsia="Times New Roman" w:cs="Arial"/>
          <w:color w:val="222222"/>
          <w:lang w:eastAsia="en-AU"/>
        </w:rPr>
      </w:pPr>
      <w:bookmarkStart w:id="6" w:name="_Hlk152061363"/>
      <w:r>
        <w:t xml:space="preserve">The </w:t>
      </w:r>
      <w:hyperlink r:id="rId15" w:history="1">
        <w:r w:rsidRPr="00A67428">
          <w:rPr>
            <w:rStyle w:val="Hyperlink"/>
            <w:i/>
            <w:iCs/>
          </w:rPr>
          <w:t>Health Insurance (General Medical Services Table) Regulations 2021</w:t>
        </w:r>
      </w:hyperlink>
      <w:r>
        <w:t xml:space="preserve"> (the GMST) clause 2.6.1, and </w:t>
      </w:r>
      <w:bookmarkEnd w:id="6"/>
      <w:r>
        <w:t>e</w:t>
      </w:r>
      <w:r w:rsidR="00470C79" w:rsidRPr="007876C6">
        <w:t>xplanatory notes</w:t>
      </w:r>
      <w:r w:rsidR="00470C79" w:rsidRPr="00E93AFF">
        <w:rPr>
          <w:rFonts w:eastAsia="Times New Roman" w:cs="Arial"/>
          <w:color w:val="222222"/>
          <w:lang w:eastAsia="en-AU"/>
        </w:rPr>
        <w:t xml:space="preserve"> </w:t>
      </w:r>
      <w:hyperlink r:id="rId16" w:history="1">
        <w:r w:rsidR="00470C79" w:rsidRPr="00D07CD6">
          <w:rPr>
            <w:rFonts w:eastAsia="Times New Roman" w:cs="Arial"/>
            <w:color w:val="353EF7"/>
            <w:u w:val="single"/>
            <w:lang w:eastAsia="en-AU"/>
          </w:rPr>
          <w:t>AR.29.1</w:t>
        </w:r>
      </w:hyperlink>
      <w:r w:rsidR="00470C79" w:rsidRPr="00E93AFF">
        <w:rPr>
          <w:rFonts w:eastAsia="Times New Roman" w:cs="Arial"/>
          <w:color w:val="222222"/>
          <w:lang w:eastAsia="en-AU"/>
        </w:rPr>
        <w:t xml:space="preserve"> </w:t>
      </w:r>
      <w:r w:rsidR="00470C79" w:rsidRPr="007876C6">
        <w:t>and</w:t>
      </w:r>
      <w:r w:rsidR="00470C79" w:rsidRPr="00E93AFF">
        <w:rPr>
          <w:rFonts w:eastAsia="Times New Roman" w:cs="Arial"/>
          <w:color w:val="222222"/>
          <w:lang w:eastAsia="en-AU"/>
        </w:rPr>
        <w:t xml:space="preserve"> </w:t>
      </w:r>
      <w:hyperlink r:id="rId17" w:history="1">
        <w:r w:rsidR="00470C79" w:rsidRPr="00090EA5">
          <w:rPr>
            <w:rFonts w:eastAsia="Times New Roman" w:cs="Arial"/>
            <w:color w:val="353EF7"/>
            <w:u w:val="single"/>
            <w:lang w:eastAsia="en-AU"/>
          </w:rPr>
          <w:t>MN.10.3</w:t>
        </w:r>
      </w:hyperlink>
      <w:r w:rsidRPr="00A67428">
        <w:t>,</w:t>
      </w:r>
      <w:r w:rsidR="00470C79" w:rsidRPr="00E93AFF">
        <w:rPr>
          <w:rFonts w:eastAsia="Times New Roman" w:cs="Arial"/>
          <w:color w:val="222222"/>
          <w:lang w:eastAsia="en-AU"/>
        </w:rPr>
        <w:t xml:space="preserve"> </w:t>
      </w:r>
      <w:r w:rsidR="00470C79" w:rsidRPr="007876C6">
        <w:t xml:space="preserve">provide </w:t>
      </w:r>
      <w:r w:rsidR="006E08EA">
        <w:t>the</w:t>
      </w:r>
      <w:r w:rsidR="00470C79" w:rsidRPr="007876C6">
        <w:t xml:space="preserve"> list of eligible disabilities for the purposes of items 137, 139, and for the allied health assessment and treatment items. This is an exhaustive list of conditions for accessing these services. The list includes the following conditions:</w:t>
      </w:r>
    </w:p>
    <w:p w14:paraId="2E741676" w14:textId="77777777" w:rsidR="00470C79" w:rsidRPr="00E93AFF" w:rsidRDefault="00470C79" w:rsidP="00470C79">
      <w:pPr>
        <w:pStyle w:val="ListParagraph"/>
        <w:numPr>
          <w:ilvl w:val="0"/>
          <w:numId w:val="37"/>
        </w:numPr>
        <w:rPr>
          <w:rFonts w:cs="Arial"/>
          <w:sz w:val="20"/>
          <w:szCs w:val="20"/>
        </w:rPr>
      </w:pPr>
      <w:r w:rsidRPr="00E93AFF">
        <w:rPr>
          <w:rFonts w:cs="Arial"/>
          <w:sz w:val="20"/>
          <w:szCs w:val="20"/>
        </w:rPr>
        <w:t>Sight impairment that results in vision of less than or equal to 6/18 vision or equivalent field loss in the better eye, with correction.</w:t>
      </w:r>
    </w:p>
    <w:p w14:paraId="368E733A" w14:textId="77777777" w:rsidR="00470C79" w:rsidRPr="00E93AFF" w:rsidRDefault="00470C79" w:rsidP="00470C79">
      <w:pPr>
        <w:pStyle w:val="ListParagraph"/>
        <w:numPr>
          <w:ilvl w:val="0"/>
          <w:numId w:val="37"/>
        </w:numPr>
        <w:rPr>
          <w:rFonts w:cs="Arial"/>
          <w:sz w:val="20"/>
          <w:szCs w:val="20"/>
        </w:rPr>
      </w:pPr>
      <w:r w:rsidRPr="00E93AFF">
        <w:rPr>
          <w:rFonts w:cs="Arial"/>
          <w:sz w:val="20"/>
          <w:szCs w:val="20"/>
        </w:rPr>
        <w:t>Hearing impairment that results in:</w:t>
      </w:r>
    </w:p>
    <w:p w14:paraId="11E7410E" w14:textId="77777777" w:rsidR="00470C79" w:rsidRPr="00E93AFF" w:rsidRDefault="00470C79" w:rsidP="00470C79">
      <w:pPr>
        <w:pStyle w:val="ListParagraph"/>
        <w:numPr>
          <w:ilvl w:val="0"/>
          <w:numId w:val="40"/>
        </w:numPr>
        <w:rPr>
          <w:rFonts w:cs="Arial"/>
          <w:sz w:val="20"/>
          <w:szCs w:val="20"/>
        </w:rPr>
      </w:pPr>
      <w:r w:rsidRPr="00E93AFF">
        <w:rPr>
          <w:rFonts w:cs="Arial"/>
          <w:sz w:val="20"/>
          <w:szCs w:val="20"/>
        </w:rPr>
        <w:t>a hearing loss of 40 decibels or greater in the better ear, across 4 frequencies; or</w:t>
      </w:r>
    </w:p>
    <w:p w14:paraId="6FB76669" w14:textId="77777777" w:rsidR="00470C79" w:rsidRPr="00E93AFF" w:rsidRDefault="00470C79" w:rsidP="00470C79">
      <w:pPr>
        <w:pStyle w:val="ListParagraph"/>
        <w:numPr>
          <w:ilvl w:val="0"/>
          <w:numId w:val="41"/>
        </w:numPr>
        <w:rPr>
          <w:rFonts w:cs="Arial"/>
          <w:sz w:val="20"/>
          <w:szCs w:val="20"/>
        </w:rPr>
      </w:pPr>
      <w:r w:rsidRPr="00E93AFF">
        <w:rPr>
          <w:rFonts w:cs="Arial"/>
          <w:sz w:val="20"/>
          <w:szCs w:val="20"/>
        </w:rPr>
        <w:t>permanent conductive hearing loss and auditory neuropathy</w:t>
      </w:r>
    </w:p>
    <w:p w14:paraId="69E0D06A"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Deafblindness</w:t>
      </w:r>
    </w:p>
    <w:p w14:paraId="70A85F87"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Cerebral palsy</w:t>
      </w:r>
    </w:p>
    <w:p w14:paraId="0665A2E6"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Down syndrome</w:t>
      </w:r>
    </w:p>
    <w:p w14:paraId="042717EB"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Fragile X syndrome</w:t>
      </w:r>
    </w:p>
    <w:p w14:paraId="6ACD34FC"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Prader-Willi syndrome</w:t>
      </w:r>
    </w:p>
    <w:p w14:paraId="5D76A49A"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Williams syndrome</w:t>
      </w:r>
    </w:p>
    <w:p w14:paraId="2B9587EE"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Angelman syndrome</w:t>
      </w:r>
    </w:p>
    <w:p w14:paraId="228C8317"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Kabuki syndrome</w:t>
      </w:r>
    </w:p>
    <w:p w14:paraId="038DC3BB"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Smith-Magenis syndrome</w:t>
      </w:r>
    </w:p>
    <w:p w14:paraId="709A7D26"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CHARGE syndrome</w:t>
      </w:r>
    </w:p>
    <w:p w14:paraId="71C01F0D"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Cri du Chat syndrome</w:t>
      </w:r>
    </w:p>
    <w:p w14:paraId="7274267D"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lastRenderedPageBreak/>
        <w:t>Cornelia de Lange syndrome</w:t>
      </w:r>
    </w:p>
    <w:p w14:paraId="6CF5717C" w14:textId="77777777" w:rsidR="00470C79" w:rsidRPr="00E93AFF" w:rsidRDefault="00470C79" w:rsidP="00470C79">
      <w:pPr>
        <w:pStyle w:val="ListParagraph"/>
        <w:numPr>
          <w:ilvl w:val="0"/>
          <w:numId w:val="38"/>
        </w:numPr>
        <w:rPr>
          <w:rFonts w:cs="Arial"/>
          <w:sz w:val="20"/>
          <w:szCs w:val="20"/>
        </w:rPr>
      </w:pPr>
      <w:r w:rsidRPr="00E93AFF">
        <w:rPr>
          <w:rFonts w:cs="Arial"/>
          <w:sz w:val="20"/>
          <w:szCs w:val="20"/>
        </w:rPr>
        <w:t>Microcephaly if a child has:</w:t>
      </w:r>
    </w:p>
    <w:p w14:paraId="1F0F876D" w14:textId="77777777" w:rsidR="00470C79" w:rsidRPr="00E93AFF" w:rsidRDefault="00470C79" w:rsidP="00470C79">
      <w:pPr>
        <w:pStyle w:val="ListParagraph"/>
        <w:numPr>
          <w:ilvl w:val="0"/>
          <w:numId w:val="40"/>
        </w:numPr>
        <w:rPr>
          <w:rFonts w:cs="Arial"/>
          <w:sz w:val="20"/>
          <w:szCs w:val="20"/>
        </w:rPr>
      </w:pPr>
      <w:r w:rsidRPr="00E93AFF">
        <w:rPr>
          <w:rFonts w:cs="Arial"/>
          <w:sz w:val="20"/>
          <w:szCs w:val="20"/>
        </w:rPr>
        <w:t>a head circumference less than the third percentile for age and sex; and</w:t>
      </w:r>
    </w:p>
    <w:p w14:paraId="31CB314C" w14:textId="77777777" w:rsidR="00470C79" w:rsidRPr="00E93AFF" w:rsidRDefault="00470C79" w:rsidP="00470C79">
      <w:pPr>
        <w:pStyle w:val="ListParagraph"/>
        <w:numPr>
          <w:ilvl w:val="0"/>
          <w:numId w:val="40"/>
        </w:numPr>
        <w:rPr>
          <w:rFonts w:cs="Arial"/>
          <w:sz w:val="20"/>
          <w:szCs w:val="20"/>
        </w:rPr>
      </w:pPr>
      <w:r w:rsidRPr="00E93AFF">
        <w:rPr>
          <w:rFonts w:cs="Arial"/>
          <w:sz w:val="20"/>
          <w:szCs w:val="20"/>
        </w:rPr>
        <w:t>a functional level at or below 2 standard deviations below the mean for age on a standard developmental test, or an IQ score of less than 70 on a standardised test of intelligence*</w:t>
      </w:r>
    </w:p>
    <w:p w14:paraId="5B2EFC23" w14:textId="77777777" w:rsidR="00470C79" w:rsidRPr="00E93AFF" w:rsidRDefault="00470C79" w:rsidP="00470C79">
      <w:pPr>
        <w:pStyle w:val="ListParagraph"/>
        <w:numPr>
          <w:ilvl w:val="0"/>
          <w:numId w:val="39"/>
        </w:numPr>
        <w:rPr>
          <w:rFonts w:cs="Arial"/>
          <w:sz w:val="20"/>
          <w:szCs w:val="20"/>
        </w:rPr>
      </w:pPr>
      <w:r w:rsidRPr="00E93AFF">
        <w:rPr>
          <w:rFonts w:cs="Arial"/>
          <w:sz w:val="20"/>
          <w:szCs w:val="20"/>
        </w:rPr>
        <w:t>Rett's disorder</w:t>
      </w:r>
    </w:p>
    <w:p w14:paraId="348BA827" w14:textId="77777777" w:rsidR="00470C79" w:rsidRPr="00E93AFF" w:rsidRDefault="00470C79" w:rsidP="00470C79">
      <w:pPr>
        <w:pStyle w:val="ListParagraph"/>
        <w:numPr>
          <w:ilvl w:val="0"/>
          <w:numId w:val="39"/>
        </w:numPr>
        <w:rPr>
          <w:rFonts w:cs="Arial"/>
          <w:sz w:val="20"/>
          <w:szCs w:val="20"/>
        </w:rPr>
      </w:pPr>
      <w:r w:rsidRPr="00E93AFF">
        <w:rPr>
          <w:rFonts w:cs="Arial"/>
          <w:sz w:val="20"/>
          <w:szCs w:val="20"/>
        </w:rPr>
        <w:t>Fetal Alcohol Spectrum Disorder (FASD)</w:t>
      </w:r>
    </w:p>
    <w:p w14:paraId="6CBEA70C" w14:textId="77777777" w:rsidR="00470C79" w:rsidRPr="00E93AFF" w:rsidRDefault="00470C79" w:rsidP="00470C79">
      <w:pPr>
        <w:pStyle w:val="ListParagraph"/>
        <w:numPr>
          <w:ilvl w:val="0"/>
          <w:numId w:val="39"/>
        </w:numPr>
        <w:rPr>
          <w:rFonts w:cs="Arial"/>
          <w:sz w:val="20"/>
          <w:szCs w:val="20"/>
        </w:rPr>
      </w:pPr>
      <w:r w:rsidRPr="00E93AFF">
        <w:rPr>
          <w:rFonts w:cs="Arial"/>
          <w:sz w:val="20"/>
          <w:szCs w:val="20"/>
        </w:rPr>
        <w:t xml:space="preserve">Lesch-Nyhan syndrome </w:t>
      </w:r>
    </w:p>
    <w:p w14:paraId="691B711E" w14:textId="267DDE9A" w:rsidR="00470C79" w:rsidRPr="00E93AFF" w:rsidRDefault="00470C79" w:rsidP="70251F0A">
      <w:pPr>
        <w:pStyle w:val="ListParagraph"/>
        <w:numPr>
          <w:ilvl w:val="0"/>
          <w:numId w:val="39"/>
        </w:numPr>
        <w:rPr>
          <w:rFonts w:cs="Arial"/>
        </w:rPr>
      </w:pPr>
      <w:r w:rsidRPr="70251F0A">
        <w:rPr>
          <w:rFonts w:cs="Arial"/>
          <w:sz w:val="20"/>
          <w:szCs w:val="20"/>
        </w:rPr>
        <w:t xml:space="preserve">22q deletion </w:t>
      </w:r>
      <w:r w:rsidR="30645FDB" w:rsidRPr="70251F0A">
        <w:rPr>
          <w:rFonts w:cs="Arial"/>
          <w:sz w:val="20"/>
          <w:szCs w:val="20"/>
        </w:rPr>
        <w:t>s</w:t>
      </w:r>
      <w:r w:rsidRPr="70251F0A">
        <w:rPr>
          <w:rFonts w:cs="Arial"/>
          <w:sz w:val="20"/>
          <w:szCs w:val="20"/>
        </w:rPr>
        <w:t>yndrome</w:t>
      </w:r>
    </w:p>
    <w:p w14:paraId="645104C8" w14:textId="77777777" w:rsidR="00DC56B1" w:rsidRPr="00D07CD6" w:rsidRDefault="00DC56B1" w:rsidP="00D07CD6">
      <w:pPr>
        <w:spacing w:after="0" w:line="240" w:lineRule="auto"/>
        <w:rPr>
          <w:rFonts w:cs="Arial"/>
          <w:b/>
          <w:bCs/>
          <w:color w:val="358189"/>
          <w:sz w:val="32"/>
          <w:szCs w:val="26"/>
        </w:rPr>
      </w:pPr>
      <w:r w:rsidRPr="00D07CD6">
        <w:rPr>
          <w:rFonts w:eastAsia="Times New Roman" w:cs="Arial"/>
          <w:b/>
          <w:bCs/>
          <w:color w:val="358189"/>
          <w:sz w:val="32"/>
          <w:szCs w:val="26"/>
        </w:rPr>
        <w:t>Does the eligible disability list cover ADHD, intellectual disability or a specific learning disability?</w:t>
      </w:r>
    </w:p>
    <w:p w14:paraId="13315A48" w14:textId="117279A4" w:rsidR="00DC56B1" w:rsidRPr="00DC56B1" w:rsidRDefault="00A67428" w:rsidP="00D07CD6">
      <w:pPr>
        <w:rPr>
          <w:rFonts w:eastAsiaTheme="minorHAnsi" w:cs="Arial"/>
          <w:szCs w:val="20"/>
        </w:rPr>
      </w:pPr>
      <w:r>
        <w:t xml:space="preserve">The </w:t>
      </w:r>
      <w:hyperlink r:id="rId18" w:history="1">
        <w:r w:rsidRPr="00A67428">
          <w:rPr>
            <w:rStyle w:val="Hyperlink"/>
          </w:rPr>
          <w:t>GMST</w:t>
        </w:r>
      </w:hyperlink>
      <w:r>
        <w:t xml:space="preserve"> clause 2.6.1, and e</w:t>
      </w:r>
      <w:r w:rsidR="00DC56B1" w:rsidRPr="00DC56B1">
        <w:rPr>
          <w:rFonts w:cs="Arial"/>
          <w:szCs w:val="20"/>
        </w:rPr>
        <w:t xml:space="preserve">xplanatory notes </w:t>
      </w:r>
      <w:hyperlink r:id="rId19" w:history="1">
        <w:r w:rsidR="00DC56B1" w:rsidRPr="00DC56B1">
          <w:rPr>
            <w:rStyle w:val="Hyperlink"/>
            <w:rFonts w:cs="Arial"/>
            <w:szCs w:val="20"/>
          </w:rPr>
          <w:t>AR.29.1</w:t>
        </w:r>
      </w:hyperlink>
      <w:r w:rsidR="00DC56B1" w:rsidRPr="00DC56B1">
        <w:rPr>
          <w:rFonts w:cs="Arial"/>
          <w:szCs w:val="20"/>
        </w:rPr>
        <w:t xml:space="preserve"> and </w:t>
      </w:r>
      <w:hyperlink r:id="rId20" w:history="1">
        <w:r w:rsidR="00DC56B1" w:rsidRPr="00DC56B1">
          <w:rPr>
            <w:rStyle w:val="Hyperlink"/>
            <w:rFonts w:cs="Arial"/>
            <w:szCs w:val="20"/>
          </w:rPr>
          <w:t>MN.10.3</w:t>
        </w:r>
      </w:hyperlink>
      <w:r w:rsidRPr="00A67428">
        <w:t>,</w:t>
      </w:r>
      <w:r w:rsidR="00DC56B1" w:rsidRPr="00DC56B1">
        <w:rPr>
          <w:rFonts w:cs="Arial"/>
          <w:szCs w:val="20"/>
        </w:rPr>
        <w:t xml:space="preserve"> provides the list of eligible disabilities for the purposes of items 137, 139 and the allied health assessment and treatment items (82000-82035 and 93032 -93044). This list is exhaustive and lists the 19 disabilities that are eligible for these services. The list includes several intellectual disabilities such as Fragile X, Prader-Willi and Down Syndromes. ADHD is not included a</w:t>
      </w:r>
      <w:r w:rsidR="005426AB">
        <w:rPr>
          <w:rFonts w:cs="Arial"/>
          <w:szCs w:val="20"/>
        </w:rPr>
        <w:t>nd is</w:t>
      </w:r>
      <w:r w:rsidR="00DC56B1" w:rsidRPr="00DC56B1">
        <w:rPr>
          <w:rFonts w:cs="Arial"/>
          <w:szCs w:val="20"/>
        </w:rPr>
        <w:t xml:space="preserve"> not considered </w:t>
      </w:r>
      <w:r w:rsidR="005C1E1E">
        <w:rPr>
          <w:rFonts w:cs="Arial"/>
          <w:szCs w:val="20"/>
        </w:rPr>
        <w:t xml:space="preserve">an </w:t>
      </w:r>
      <w:r w:rsidR="00DC56B1" w:rsidRPr="00DC56B1">
        <w:rPr>
          <w:rFonts w:cs="Arial"/>
          <w:szCs w:val="20"/>
        </w:rPr>
        <w:t>eligible disabilit</w:t>
      </w:r>
      <w:r w:rsidR="005426AB">
        <w:rPr>
          <w:rFonts w:cs="Arial"/>
          <w:szCs w:val="20"/>
        </w:rPr>
        <w:t>y</w:t>
      </w:r>
      <w:r w:rsidR="00DC56B1" w:rsidRPr="00DC56B1">
        <w:rPr>
          <w:rFonts w:cs="Arial"/>
          <w:szCs w:val="20"/>
        </w:rPr>
        <w:t>.</w:t>
      </w:r>
    </w:p>
    <w:p w14:paraId="44912EE6" w14:textId="5855D30E" w:rsidR="00E54720" w:rsidRPr="00371934" w:rsidRDefault="00E54720" w:rsidP="00E54720">
      <w:pPr>
        <w:pStyle w:val="Heading3"/>
      </w:pPr>
      <w:bookmarkStart w:id="7" w:name="_Toc151024546"/>
      <w:bookmarkStart w:id="8" w:name="_Hlk152061597"/>
      <w:bookmarkStart w:id="9" w:name="_Hlk535386664"/>
      <w:r w:rsidRPr="00371934">
        <w:t>Are these items related to the Helping Children with Autism Program and Better Start for Children with Disability Program?</w:t>
      </w:r>
      <w:bookmarkEnd w:id="7"/>
    </w:p>
    <w:bookmarkEnd w:id="8"/>
    <w:p w14:paraId="10C0F869" w14:textId="09725353" w:rsidR="00E54720" w:rsidRPr="00371934" w:rsidRDefault="00E54720" w:rsidP="00E54720">
      <w:pPr>
        <w:rPr>
          <w:rFonts w:cs="Arial"/>
          <w:szCs w:val="20"/>
        </w:rPr>
      </w:pPr>
      <w:r w:rsidRPr="00371934">
        <w:rPr>
          <w:rFonts w:cs="Arial"/>
          <w:szCs w:val="20"/>
        </w:rPr>
        <w:t xml:space="preserve">These MBS items were introduced to the MBS in 2008 as part of the </w:t>
      </w:r>
      <w:r w:rsidRPr="00371934">
        <w:rPr>
          <w:rFonts w:cs="Arial"/>
          <w:i/>
          <w:iCs/>
          <w:szCs w:val="20"/>
        </w:rPr>
        <w:t>Helping Children with Autism</w:t>
      </w:r>
      <w:r w:rsidRPr="00371934">
        <w:rPr>
          <w:rFonts w:cs="Arial"/>
          <w:szCs w:val="20"/>
        </w:rPr>
        <w:t xml:space="preserve"> Program (HCWA) and </w:t>
      </w:r>
      <w:r w:rsidRPr="00371934">
        <w:rPr>
          <w:rFonts w:cs="Arial"/>
          <w:i/>
          <w:iCs/>
          <w:szCs w:val="20"/>
        </w:rPr>
        <w:t>Better Start for Children with Disability</w:t>
      </w:r>
      <w:r w:rsidRPr="00371934">
        <w:rPr>
          <w:rFonts w:cs="Arial"/>
          <w:szCs w:val="20"/>
        </w:rPr>
        <w:t xml:space="preserve"> Program. These programs </w:t>
      </w:r>
      <w:r w:rsidR="00C22915">
        <w:rPr>
          <w:rFonts w:cs="Arial"/>
          <w:szCs w:val="20"/>
        </w:rPr>
        <w:t>supported</w:t>
      </w:r>
      <w:r w:rsidR="00C22915" w:rsidRPr="00371934">
        <w:rPr>
          <w:rFonts w:cs="Arial"/>
          <w:szCs w:val="20"/>
        </w:rPr>
        <w:t xml:space="preserve"> </w:t>
      </w:r>
      <w:r w:rsidRPr="00371934">
        <w:rPr>
          <w:rFonts w:cs="Arial"/>
          <w:szCs w:val="20"/>
        </w:rPr>
        <w:t xml:space="preserve">early intervention services for children undergoing diagnosis or treatment for Autism Spectrum Disorder (ASD) or an eligible disability. Following diagnosis of ASD or an eligible disability diagnosis, funding was available through the Department of Families, Housing, Community Services and Indigenous Affairs for individuals aged 0-6 years. </w:t>
      </w:r>
    </w:p>
    <w:p w14:paraId="5606993A" w14:textId="56919140" w:rsidR="00E54720" w:rsidRPr="00371934" w:rsidRDefault="00E54720" w:rsidP="00E54720">
      <w:pPr>
        <w:rPr>
          <w:rFonts w:cs="Arial"/>
          <w:szCs w:val="20"/>
        </w:rPr>
      </w:pPr>
      <w:r w:rsidRPr="00371934">
        <w:rPr>
          <w:rFonts w:cs="Arial"/>
          <w:szCs w:val="20"/>
        </w:rPr>
        <w:t xml:space="preserve">From 2021, funding for both the </w:t>
      </w:r>
      <w:r w:rsidRPr="00371934">
        <w:rPr>
          <w:rFonts w:cs="Arial"/>
          <w:i/>
          <w:iCs/>
          <w:szCs w:val="20"/>
        </w:rPr>
        <w:t>Helping Children with Autism</w:t>
      </w:r>
      <w:r w:rsidRPr="00371934">
        <w:rPr>
          <w:rFonts w:cs="Arial"/>
          <w:szCs w:val="20"/>
        </w:rPr>
        <w:t xml:space="preserve"> and </w:t>
      </w:r>
      <w:r w:rsidRPr="00371934">
        <w:rPr>
          <w:rFonts w:cs="Arial"/>
          <w:i/>
          <w:iCs/>
          <w:szCs w:val="20"/>
        </w:rPr>
        <w:t>Better Start for Children with Disability</w:t>
      </w:r>
      <w:r w:rsidRPr="00371934">
        <w:rPr>
          <w:rFonts w:cs="Arial"/>
          <w:szCs w:val="20"/>
        </w:rPr>
        <w:t xml:space="preserve"> programs have transitioned to the National Disability Insurance Scheme (NDIS), however, the MBS items continue to be available to eligible patients, as recommended by the MBS Review Taskforce but with changes to improve access, amend outdated terminology and better align the items with current best practice</w:t>
      </w:r>
      <w:r w:rsidR="00A6418D">
        <w:rPr>
          <w:rFonts w:cs="Arial"/>
          <w:szCs w:val="20"/>
        </w:rPr>
        <w:t xml:space="preserve"> which were implemented on 1 </w:t>
      </w:r>
      <w:r w:rsidR="0099377A">
        <w:rPr>
          <w:rFonts w:cs="Arial"/>
          <w:szCs w:val="20"/>
        </w:rPr>
        <w:t>March 2023</w:t>
      </w:r>
      <w:r w:rsidRPr="00371934">
        <w:rPr>
          <w:rFonts w:cs="Arial"/>
          <w:szCs w:val="20"/>
        </w:rPr>
        <w:t>.</w:t>
      </w:r>
    </w:p>
    <w:p w14:paraId="5631320A" w14:textId="3224CBCD" w:rsidR="00E54720" w:rsidRPr="00371934" w:rsidRDefault="00E54720" w:rsidP="00E54720">
      <w:pPr>
        <w:rPr>
          <w:rFonts w:cs="Arial"/>
          <w:szCs w:val="20"/>
        </w:rPr>
      </w:pPr>
      <w:r w:rsidRPr="00371934">
        <w:rPr>
          <w:rFonts w:cs="Arial"/>
          <w:szCs w:val="20"/>
        </w:rPr>
        <w:t xml:space="preserve">More information about the Taskforce and its Committees is available </w:t>
      </w:r>
      <w:r w:rsidR="000D46B5">
        <w:rPr>
          <w:rFonts w:cs="Arial"/>
          <w:szCs w:val="20"/>
        </w:rPr>
        <w:t xml:space="preserve">on </w:t>
      </w:r>
      <w:r w:rsidRPr="00371934">
        <w:rPr>
          <w:rFonts w:cs="Arial"/>
          <w:szCs w:val="20"/>
        </w:rPr>
        <w:t xml:space="preserve">the </w:t>
      </w:r>
      <w:hyperlink r:id="rId21" w:history="1">
        <w:r w:rsidRPr="000D46B5">
          <w:rPr>
            <w:rStyle w:val="Hyperlink"/>
            <w:rFonts w:cs="Arial"/>
            <w:szCs w:val="20"/>
          </w:rPr>
          <w:t>Department</w:t>
        </w:r>
        <w:r w:rsidR="00A67428">
          <w:rPr>
            <w:rStyle w:val="Hyperlink"/>
            <w:rFonts w:cs="Arial"/>
            <w:szCs w:val="20"/>
          </w:rPr>
          <w:t xml:space="preserve"> of Health and Aged Care</w:t>
        </w:r>
        <w:r w:rsidRPr="000D46B5">
          <w:rPr>
            <w:rStyle w:val="Hyperlink"/>
            <w:rFonts w:cs="Arial"/>
            <w:szCs w:val="20"/>
          </w:rPr>
          <w:t>’s website</w:t>
        </w:r>
      </w:hyperlink>
      <w:r w:rsidRPr="00371934">
        <w:rPr>
          <w:rFonts w:cs="Arial"/>
          <w:szCs w:val="20"/>
        </w:rPr>
        <w:t xml:space="preserve">. </w:t>
      </w:r>
    </w:p>
    <w:p w14:paraId="31BD13D8" w14:textId="005E3FF3" w:rsidR="0048470F" w:rsidRPr="00180AC2" w:rsidRDefault="0048470F" w:rsidP="00180AC2">
      <w:pPr>
        <w:pStyle w:val="Heading3"/>
      </w:pPr>
      <w:bookmarkStart w:id="10" w:name="_Toc151024547"/>
      <w:bookmarkEnd w:id="9"/>
      <w:r w:rsidRPr="00180AC2">
        <w:t>How do the</w:t>
      </w:r>
      <w:r w:rsidR="002062D3" w:rsidRPr="00180AC2">
        <w:t>se MBS</w:t>
      </w:r>
      <w:r w:rsidRPr="00180AC2">
        <w:t xml:space="preserve"> items interact with the NDI</w:t>
      </w:r>
      <w:r w:rsidR="00792816" w:rsidRPr="00180AC2">
        <w:t>S</w:t>
      </w:r>
      <w:r w:rsidRPr="00180AC2">
        <w:t xml:space="preserve"> services and how can </w:t>
      </w:r>
      <w:r w:rsidR="00154CDC" w:rsidRPr="00180AC2">
        <w:t>the</w:t>
      </w:r>
      <w:r w:rsidR="002062D3" w:rsidRPr="00180AC2">
        <w:t>y</w:t>
      </w:r>
      <w:r w:rsidR="00154CDC" w:rsidRPr="00180AC2">
        <w:t xml:space="preserve"> </w:t>
      </w:r>
      <w:r w:rsidRPr="00180AC2">
        <w:t>be used appropriately?</w:t>
      </w:r>
      <w:bookmarkEnd w:id="10"/>
    </w:p>
    <w:p w14:paraId="3DAF1F02" w14:textId="4626F641" w:rsidR="0048470F" w:rsidRPr="00E93AFF" w:rsidRDefault="0048470F" w:rsidP="0048470F">
      <w:pPr>
        <w:pStyle w:val="NormalWeb"/>
        <w:spacing w:before="0" w:beforeAutospacing="0" w:after="0" w:afterAutospacing="0"/>
        <w:rPr>
          <w:rFonts w:ascii="Arial" w:eastAsia="Times New Roman" w:hAnsi="Arial" w:cs="Arial"/>
          <w:sz w:val="20"/>
          <w:szCs w:val="20"/>
          <w:lang w:val="en-GB"/>
        </w:rPr>
      </w:pPr>
      <w:r w:rsidRPr="00E93AFF">
        <w:rPr>
          <w:rFonts w:ascii="Arial" w:hAnsi="Arial" w:cs="Arial"/>
          <w:sz w:val="20"/>
          <w:szCs w:val="20"/>
          <w:lang w:val="en-GB"/>
        </w:rPr>
        <w:t>The</w:t>
      </w:r>
      <w:r>
        <w:rPr>
          <w:rFonts w:ascii="Arial" w:hAnsi="Arial" w:cs="Arial"/>
          <w:sz w:val="20"/>
          <w:szCs w:val="20"/>
          <w:lang w:val="en-GB"/>
        </w:rPr>
        <w:t xml:space="preserve">se </w:t>
      </w:r>
      <w:r w:rsidR="002062D3">
        <w:rPr>
          <w:rFonts w:ascii="Arial" w:hAnsi="Arial" w:cs="Arial"/>
          <w:sz w:val="20"/>
          <w:szCs w:val="20"/>
          <w:lang w:val="en-GB"/>
        </w:rPr>
        <w:t xml:space="preserve">MBS </w:t>
      </w:r>
      <w:r>
        <w:rPr>
          <w:rFonts w:ascii="Arial" w:hAnsi="Arial" w:cs="Arial"/>
          <w:sz w:val="20"/>
          <w:szCs w:val="20"/>
          <w:lang w:val="en-GB"/>
        </w:rPr>
        <w:t xml:space="preserve">items were created under the </w:t>
      </w:r>
      <w:r w:rsidRPr="00E93AFF">
        <w:rPr>
          <w:rFonts w:ascii="Arial" w:hAnsi="Arial" w:cs="Arial"/>
          <w:sz w:val="20"/>
          <w:szCs w:val="20"/>
          <w:lang w:val="en-GB"/>
        </w:rPr>
        <w:t xml:space="preserve">Helping Children with Autism program and the Better Start for Children with Disability programs </w:t>
      </w:r>
      <w:r>
        <w:rPr>
          <w:rFonts w:ascii="Arial" w:hAnsi="Arial" w:cs="Arial"/>
          <w:sz w:val="20"/>
          <w:szCs w:val="20"/>
          <w:lang w:val="en-GB"/>
        </w:rPr>
        <w:t xml:space="preserve">which </w:t>
      </w:r>
      <w:r w:rsidRPr="00E93AFF">
        <w:rPr>
          <w:rFonts w:ascii="Arial" w:hAnsi="Arial" w:cs="Arial"/>
          <w:sz w:val="20"/>
          <w:szCs w:val="20"/>
          <w:lang w:val="en-GB"/>
        </w:rPr>
        <w:t xml:space="preserve">have </w:t>
      </w:r>
      <w:r>
        <w:rPr>
          <w:rFonts w:ascii="Arial" w:hAnsi="Arial" w:cs="Arial"/>
          <w:sz w:val="20"/>
          <w:szCs w:val="20"/>
          <w:lang w:val="en-GB"/>
        </w:rPr>
        <w:t xml:space="preserve">now </w:t>
      </w:r>
      <w:r w:rsidRPr="00E93AFF">
        <w:rPr>
          <w:rFonts w:ascii="Arial" w:hAnsi="Arial" w:cs="Arial"/>
          <w:sz w:val="20"/>
          <w:szCs w:val="20"/>
          <w:lang w:val="en-GB"/>
        </w:rPr>
        <w:t xml:space="preserve">ceased. Funding for these programs has transitioned to the National Disability Insurance Agency however the </w:t>
      </w:r>
      <w:r>
        <w:rPr>
          <w:rFonts w:ascii="Arial" w:hAnsi="Arial" w:cs="Arial"/>
          <w:sz w:val="20"/>
          <w:szCs w:val="20"/>
          <w:lang w:val="en-GB"/>
        </w:rPr>
        <w:t>MBS</w:t>
      </w:r>
      <w:r w:rsidRPr="00E93AFF">
        <w:rPr>
          <w:rFonts w:ascii="Arial" w:hAnsi="Arial" w:cs="Arial"/>
          <w:sz w:val="20"/>
          <w:szCs w:val="20"/>
          <w:lang w:val="en-GB"/>
        </w:rPr>
        <w:t xml:space="preserve"> items are still available.</w:t>
      </w:r>
    </w:p>
    <w:p w14:paraId="02456BE4" w14:textId="77777777" w:rsidR="0048470F" w:rsidRPr="00E93AFF" w:rsidRDefault="0048470F" w:rsidP="0048470F">
      <w:pPr>
        <w:pStyle w:val="NormalWeb"/>
        <w:spacing w:before="0" w:beforeAutospacing="0" w:after="0" w:afterAutospacing="0"/>
        <w:rPr>
          <w:rFonts w:ascii="Arial" w:hAnsi="Arial" w:cs="Arial"/>
          <w:sz w:val="20"/>
          <w:szCs w:val="20"/>
          <w:lang w:val="en-GB"/>
        </w:rPr>
      </w:pPr>
      <w:r w:rsidRPr="00E93AFF">
        <w:rPr>
          <w:rFonts w:ascii="Arial" w:hAnsi="Arial" w:cs="Arial"/>
          <w:sz w:val="20"/>
          <w:szCs w:val="20"/>
          <w:lang w:val="en-GB"/>
        </w:rPr>
        <w:t> </w:t>
      </w:r>
    </w:p>
    <w:p w14:paraId="3C48CD57" w14:textId="3D516BD5" w:rsidR="0048470F" w:rsidRDefault="0048470F" w:rsidP="0048470F">
      <w:pPr>
        <w:pStyle w:val="NormalWeb"/>
        <w:spacing w:before="0" w:beforeAutospacing="0" w:after="0" w:afterAutospacing="0"/>
        <w:rPr>
          <w:rFonts w:ascii="Arial" w:hAnsi="Arial" w:cs="Arial"/>
          <w:sz w:val="20"/>
          <w:szCs w:val="20"/>
        </w:rPr>
      </w:pPr>
      <w:r>
        <w:rPr>
          <w:rFonts w:ascii="Arial" w:hAnsi="Arial" w:cs="Arial"/>
          <w:sz w:val="20"/>
          <w:szCs w:val="20"/>
        </w:rPr>
        <w:t>The</w:t>
      </w:r>
      <w:r w:rsidR="00352ECA">
        <w:rPr>
          <w:rFonts w:ascii="Arial" w:hAnsi="Arial" w:cs="Arial"/>
          <w:sz w:val="20"/>
          <w:szCs w:val="20"/>
        </w:rPr>
        <w:t>se</w:t>
      </w:r>
      <w:r>
        <w:rPr>
          <w:rFonts w:ascii="Arial" w:hAnsi="Arial" w:cs="Arial"/>
          <w:sz w:val="20"/>
          <w:szCs w:val="20"/>
        </w:rPr>
        <w:t xml:space="preserve"> MBS items have been retained to support the assessment of </w:t>
      </w:r>
      <w:r w:rsidRPr="00E93AFF">
        <w:rPr>
          <w:rFonts w:ascii="Arial" w:hAnsi="Arial" w:cs="Arial"/>
          <w:sz w:val="20"/>
          <w:szCs w:val="20"/>
        </w:rPr>
        <w:t xml:space="preserve">patients aged under 25 years old that </w:t>
      </w:r>
      <w:r w:rsidR="000A3F27">
        <w:rPr>
          <w:rFonts w:ascii="Arial" w:hAnsi="Arial" w:cs="Arial"/>
          <w:sz w:val="20"/>
          <w:szCs w:val="20"/>
        </w:rPr>
        <w:t>are diagnosed with</w:t>
      </w:r>
      <w:r w:rsidRPr="00E93AFF">
        <w:rPr>
          <w:rFonts w:ascii="Arial" w:hAnsi="Arial" w:cs="Arial"/>
          <w:sz w:val="20"/>
          <w:szCs w:val="20"/>
        </w:rPr>
        <w:t xml:space="preserve">, or are suspected of having, a complex neurodevelopmental disorder (such as </w:t>
      </w:r>
      <w:r>
        <w:rPr>
          <w:rFonts w:ascii="Arial" w:hAnsi="Arial" w:cs="Arial"/>
          <w:sz w:val="20"/>
          <w:szCs w:val="20"/>
        </w:rPr>
        <w:t>ASD</w:t>
      </w:r>
      <w:r w:rsidRPr="00E93AFF">
        <w:rPr>
          <w:rFonts w:ascii="Arial" w:hAnsi="Arial" w:cs="Arial"/>
          <w:sz w:val="20"/>
          <w:szCs w:val="20"/>
        </w:rPr>
        <w:t xml:space="preserve">) or eligible disability </w:t>
      </w:r>
      <w:r w:rsidRPr="00E93AFF">
        <w:rPr>
          <w:rFonts w:ascii="Arial" w:hAnsi="Arial" w:cs="Arial"/>
          <w:sz w:val="20"/>
          <w:szCs w:val="20"/>
          <w:lang w:val="en-GB"/>
        </w:rPr>
        <w:t xml:space="preserve">through </w:t>
      </w:r>
      <w:r w:rsidRPr="00E93AFF">
        <w:rPr>
          <w:rFonts w:ascii="Arial" w:hAnsi="Arial" w:cs="Arial"/>
          <w:sz w:val="20"/>
          <w:szCs w:val="20"/>
        </w:rPr>
        <w:t>patient rebates</w:t>
      </w:r>
      <w:r>
        <w:rPr>
          <w:rFonts w:ascii="Arial" w:hAnsi="Arial" w:cs="Arial"/>
          <w:sz w:val="20"/>
          <w:szCs w:val="20"/>
        </w:rPr>
        <w:t xml:space="preserve">. The treatment items support access for patients with a diagnosis, </w:t>
      </w:r>
      <w:r w:rsidR="004014E4">
        <w:rPr>
          <w:rFonts w:ascii="Arial" w:hAnsi="Arial" w:cs="Arial"/>
          <w:sz w:val="20"/>
          <w:szCs w:val="20"/>
        </w:rPr>
        <w:t xml:space="preserve">providing rebates for </w:t>
      </w:r>
      <w:r>
        <w:rPr>
          <w:rFonts w:ascii="Arial" w:hAnsi="Arial" w:cs="Arial"/>
          <w:sz w:val="20"/>
          <w:szCs w:val="20"/>
        </w:rPr>
        <w:t xml:space="preserve">patients </w:t>
      </w:r>
      <w:r w:rsidR="004014E4">
        <w:rPr>
          <w:rFonts w:ascii="Arial" w:hAnsi="Arial" w:cs="Arial"/>
          <w:sz w:val="20"/>
          <w:szCs w:val="20"/>
        </w:rPr>
        <w:t xml:space="preserve">who </w:t>
      </w:r>
      <w:r>
        <w:rPr>
          <w:rFonts w:ascii="Arial" w:hAnsi="Arial" w:cs="Arial"/>
          <w:sz w:val="20"/>
          <w:szCs w:val="20"/>
        </w:rPr>
        <w:t>may</w:t>
      </w:r>
      <w:r w:rsidR="00174214">
        <w:rPr>
          <w:rFonts w:ascii="Arial" w:hAnsi="Arial" w:cs="Arial"/>
          <w:sz w:val="20"/>
          <w:szCs w:val="20"/>
        </w:rPr>
        <w:t xml:space="preserve"> not be</w:t>
      </w:r>
      <w:r>
        <w:rPr>
          <w:rFonts w:ascii="Arial" w:hAnsi="Arial" w:cs="Arial"/>
          <w:sz w:val="20"/>
          <w:szCs w:val="20"/>
        </w:rPr>
        <w:t xml:space="preserve"> eligible for the NDIS </w:t>
      </w:r>
      <w:r w:rsidR="00352ECA">
        <w:rPr>
          <w:rFonts w:ascii="Arial" w:hAnsi="Arial" w:cs="Arial"/>
          <w:sz w:val="20"/>
          <w:szCs w:val="20"/>
        </w:rPr>
        <w:t xml:space="preserve">or </w:t>
      </w:r>
      <w:r w:rsidR="00AE2C4E">
        <w:rPr>
          <w:rFonts w:ascii="Arial" w:hAnsi="Arial" w:cs="Arial"/>
          <w:sz w:val="20"/>
          <w:szCs w:val="20"/>
        </w:rPr>
        <w:t>where eligible, provid</w:t>
      </w:r>
      <w:r w:rsidR="00174214">
        <w:rPr>
          <w:rFonts w:ascii="Arial" w:hAnsi="Arial" w:cs="Arial"/>
          <w:sz w:val="20"/>
          <w:szCs w:val="20"/>
        </w:rPr>
        <w:t>e</w:t>
      </w:r>
      <w:r w:rsidR="00AE2C4E">
        <w:rPr>
          <w:rFonts w:ascii="Arial" w:hAnsi="Arial" w:cs="Arial"/>
          <w:sz w:val="20"/>
          <w:szCs w:val="20"/>
        </w:rPr>
        <w:t xml:space="preserve"> rebate</w:t>
      </w:r>
      <w:r w:rsidR="00ED2A5A">
        <w:rPr>
          <w:rFonts w:ascii="Arial" w:hAnsi="Arial" w:cs="Arial"/>
          <w:sz w:val="20"/>
          <w:szCs w:val="20"/>
        </w:rPr>
        <w:t xml:space="preserve">s </w:t>
      </w:r>
      <w:r w:rsidR="000A3F27">
        <w:rPr>
          <w:rFonts w:ascii="Arial" w:hAnsi="Arial" w:cs="Arial"/>
          <w:sz w:val="20"/>
          <w:szCs w:val="20"/>
        </w:rPr>
        <w:t>prior to NDIS approval</w:t>
      </w:r>
      <w:r>
        <w:rPr>
          <w:rFonts w:ascii="Arial" w:hAnsi="Arial" w:cs="Arial"/>
          <w:sz w:val="20"/>
          <w:szCs w:val="20"/>
        </w:rPr>
        <w:t>.</w:t>
      </w:r>
    </w:p>
    <w:p w14:paraId="1C1E4040" w14:textId="708EEC52" w:rsidR="00F77C5C" w:rsidRDefault="00911740" w:rsidP="00894FA5">
      <w:pPr>
        <w:pStyle w:val="Heading2"/>
      </w:pPr>
      <w:bookmarkStart w:id="11" w:name="_Toc151024548"/>
      <w:r>
        <w:lastRenderedPageBreak/>
        <w:t xml:space="preserve">Medical Practitioner </w:t>
      </w:r>
      <w:r w:rsidR="00470C79">
        <w:t>Provider</w:t>
      </w:r>
      <w:r>
        <w:t xml:space="preserve"> </w:t>
      </w:r>
      <w:r w:rsidR="00312AAA">
        <w:t>Q</w:t>
      </w:r>
      <w:r>
        <w:t>uestions</w:t>
      </w:r>
      <w:bookmarkEnd w:id="11"/>
      <w:r w:rsidR="00CD3E94">
        <w:t xml:space="preserve"> </w:t>
      </w:r>
    </w:p>
    <w:p w14:paraId="2C5E7818" w14:textId="7DF4318F" w:rsidR="000847AA" w:rsidRPr="00371934" w:rsidRDefault="00F76A1B" w:rsidP="000847AA">
      <w:pPr>
        <w:pStyle w:val="Heading3"/>
      </w:pPr>
      <w:bookmarkStart w:id="12" w:name="_Toc151024549"/>
      <w:r w:rsidRPr="00371934">
        <w:t>When can items 135, 137, 139 or 289 be claimed</w:t>
      </w:r>
      <w:r w:rsidR="000847AA" w:rsidRPr="00371934">
        <w:t>?</w:t>
      </w:r>
      <w:bookmarkEnd w:id="12"/>
      <w:r w:rsidR="000847AA" w:rsidRPr="00371934">
        <w:t xml:space="preserve"> </w:t>
      </w:r>
    </w:p>
    <w:p w14:paraId="58619D68" w14:textId="6A546994" w:rsidR="000847AA" w:rsidRDefault="00F76A1B" w:rsidP="00550AAB">
      <w:pPr>
        <w:spacing w:after="90" w:line="300" w:lineRule="atLeast"/>
        <w:rPr>
          <w:rFonts w:eastAsia="Times New Roman" w:cs="Arial"/>
          <w:color w:val="222222"/>
          <w:lang w:eastAsia="en-AU"/>
        </w:rPr>
      </w:pPr>
      <w:r w:rsidRPr="00894FA5">
        <w:rPr>
          <w:rFonts w:eastAsia="Times New Roman" w:cs="Arial"/>
          <w:color w:val="222222"/>
          <w:lang w:eastAsia="en-AU"/>
        </w:rPr>
        <w:t xml:space="preserve">Items 135, 137, 139 or 289 can be claimed once in an individual’s lifetime, following a confirmed diagnosis of a </w:t>
      </w:r>
      <w:r w:rsidR="00C14DC4" w:rsidRPr="00894FA5">
        <w:rPr>
          <w:rFonts w:eastAsia="Times New Roman" w:cs="Arial"/>
          <w:color w:val="222222"/>
          <w:lang w:eastAsia="en-AU"/>
        </w:rPr>
        <w:t>c</w:t>
      </w:r>
      <w:r w:rsidRPr="00894FA5">
        <w:rPr>
          <w:rFonts w:eastAsia="Times New Roman" w:cs="Arial"/>
          <w:color w:val="222222"/>
          <w:lang w:eastAsia="en-AU"/>
        </w:rPr>
        <w:t xml:space="preserve">omplex </w:t>
      </w:r>
      <w:r w:rsidR="00C14DC4" w:rsidRPr="00894FA5">
        <w:rPr>
          <w:rFonts w:eastAsia="Times New Roman" w:cs="Arial"/>
          <w:color w:val="222222"/>
          <w:lang w:eastAsia="en-AU"/>
        </w:rPr>
        <w:t>n</w:t>
      </w:r>
      <w:r w:rsidRPr="00894FA5">
        <w:rPr>
          <w:rFonts w:eastAsia="Times New Roman" w:cs="Arial"/>
          <w:color w:val="222222"/>
          <w:lang w:eastAsia="en-AU"/>
        </w:rPr>
        <w:t xml:space="preserve">eurodevelopmental </w:t>
      </w:r>
      <w:r w:rsidR="00C14DC4" w:rsidRPr="00894FA5">
        <w:rPr>
          <w:rFonts w:eastAsia="Times New Roman" w:cs="Arial"/>
          <w:color w:val="222222"/>
          <w:lang w:eastAsia="en-AU"/>
        </w:rPr>
        <w:t>d</w:t>
      </w:r>
      <w:r w:rsidRPr="00894FA5">
        <w:rPr>
          <w:rFonts w:eastAsia="Times New Roman" w:cs="Arial"/>
          <w:color w:val="222222"/>
          <w:lang w:eastAsia="en-AU"/>
        </w:rPr>
        <w:t xml:space="preserve">isorder (such as </w:t>
      </w:r>
      <w:r w:rsidR="00A86AB8" w:rsidRPr="00894FA5">
        <w:rPr>
          <w:rFonts w:eastAsia="Times New Roman" w:cs="Arial"/>
          <w:color w:val="222222"/>
          <w:lang w:eastAsia="en-AU"/>
        </w:rPr>
        <w:t>ASD</w:t>
      </w:r>
      <w:r w:rsidRPr="00894FA5">
        <w:rPr>
          <w:rFonts w:eastAsia="Times New Roman" w:cs="Arial"/>
          <w:color w:val="222222"/>
          <w:lang w:eastAsia="en-AU"/>
        </w:rPr>
        <w:t xml:space="preserve">) for items 135 and 289 or following a confirmed diagnosis of an eligible disability that is provided on the list of eligible disabilities for items 137 and 139. </w:t>
      </w:r>
    </w:p>
    <w:p w14:paraId="26B5C244" w14:textId="77777777" w:rsidR="00171532" w:rsidRPr="00371934" w:rsidRDefault="00171532" w:rsidP="00171532">
      <w:pPr>
        <w:pStyle w:val="Heading3"/>
      </w:pPr>
      <w:bookmarkStart w:id="13" w:name="_Toc151024550"/>
      <w:r w:rsidRPr="00371934">
        <w:t>Who decides eligibility for items 135, 137, 139 or 289?</w:t>
      </w:r>
      <w:bookmarkEnd w:id="13"/>
    </w:p>
    <w:p w14:paraId="25EA7C01" w14:textId="77777777" w:rsidR="00171532" w:rsidRPr="00371934" w:rsidRDefault="00171532" w:rsidP="00171532">
      <w:pPr>
        <w:rPr>
          <w:rFonts w:cs="Arial"/>
        </w:rPr>
      </w:pPr>
      <w:r w:rsidRPr="00371934">
        <w:rPr>
          <w:rFonts w:cs="Arial"/>
        </w:rPr>
        <w:t xml:space="preserve">A patient will become eligible for items 135 or 289 following a confirmed diagnosis of a complex neurodevelopmental disorder. A patient will become eligible for items 137 or 139 following a confirmed diagnosis of an eligible disability. These diagnoses are decided by the consultant paediatrician or psychiatrist and may be informed by prior Allied Health assessment. </w:t>
      </w:r>
    </w:p>
    <w:p w14:paraId="13F97710" w14:textId="77777777" w:rsidR="00D47E97" w:rsidRPr="00E832D4" w:rsidRDefault="00D47E97" w:rsidP="00D47E97">
      <w:pPr>
        <w:pStyle w:val="Heading3"/>
      </w:pPr>
      <w:bookmarkStart w:id="14" w:name="_Toc151024551"/>
      <w:r w:rsidRPr="00E832D4">
        <w:t>Is there a specification for the location of assessments?</w:t>
      </w:r>
      <w:bookmarkEnd w:id="14"/>
      <w:r w:rsidRPr="00E832D4">
        <w:t xml:space="preserve"> </w:t>
      </w:r>
    </w:p>
    <w:p w14:paraId="64594D51" w14:textId="3503D195" w:rsidR="00D47E97" w:rsidRPr="00E832D4" w:rsidRDefault="00D47E97" w:rsidP="00D47E97">
      <w:pPr>
        <w:rPr>
          <w:rFonts w:cs="Arial"/>
        </w:rPr>
      </w:pPr>
      <w:r w:rsidRPr="00E832D4">
        <w:rPr>
          <w:rFonts w:cs="Arial"/>
        </w:rPr>
        <w:t xml:space="preserve">The previous reference to “consulting rooms” has been removed </w:t>
      </w:r>
      <w:r w:rsidR="00174214">
        <w:rPr>
          <w:rFonts w:cs="Arial"/>
        </w:rPr>
        <w:t xml:space="preserve">from items 135, 137, 139 and 289 </w:t>
      </w:r>
      <w:r w:rsidRPr="00E832D4">
        <w:rPr>
          <w:rFonts w:cs="Arial"/>
        </w:rPr>
        <w:t>which will allow clinician flexibility to provide the attendance outside of consulting rooms at a clinically appropriate venue if required.</w:t>
      </w:r>
    </w:p>
    <w:p w14:paraId="2FA3E8EA" w14:textId="77777777" w:rsidR="00171532" w:rsidRPr="00371934" w:rsidRDefault="00171532" w:rsidP="00171532">
      <w:pPr>
        <w:pStyle w:val="Heading3"/>
      </w:pPr>
      <w:bookmarkStart w:id="15" w:name="_Toc151024552"/>
      <w:r w:rsidRPr="00371934">
        <w:t>What is the ongoing care pathway following a 135?</w:t>
      </w:r>
      <w:bookmarkEnd w:id="15"/>
      <w:r w:rsidRPr="00371934">
        <w:t xml:space="preserve"> </w:t>
      </w:r>
    </w:p>
    <w:p w14:paraId="3E2B157A" w14:textId="77777777" w:rsidR="00171532" w:rsidRPr="00371934" w:rsidRDefault="00171532" w:rsidP="00171532">
      <w:pPr>
        <w:rPr>
          <w:rFonts w:cs="Arial"/>
        </w:rPr>
      </w:pPr>
      <w:r w:rsidRPr="00371934">
        <w:rPr>
          <w:rFonts w:cs="Arial"/>
        </w:rPr>
        <w:t xml:space="preserve">Following a confirmed diagnosis of a complex neurodevelopmental disorder, an individual will be able to access up to 20 referred Allied Health treatment services. </w:t>
      </w:r>
    </w:p>
    <w:p w14:paraId="15E3B334" w14:textId="77777777" w:rsidR="00171532" w:rsidRPr="00371934" w:rsidRDefault="00171532" w:rsidP="00171532">
      <w:pPr>
        <w:rPr>
          <w:rStyle w:val="normaltextrun"/>
          <w:rFonts w:cs="Arial"/>
          <w:color w:val="000000"/>
          <w:shd w:val="clear" w:color="auto" w:fill="FFFFFF"/>
        </w:rPr>
      </w:pPr>
      <w:r w:rsidRPr="00371934">
        <w:rPr>
          <w:rStyle w:val="normaltextrun"/>
          <w:rFonts w:cs="Arial"/>
          <w:color w:val="000000"/>
          <w:shd w:val="clear" w:color="auto" w:fill="FFFFFF"/>
        </w:rPr>
        <w:t xml:space="preserve">For the assessment and management trajectory of a child with multiple conditions separate from their </w:t>
      </w:r>
      <w:r w:rsidRPr="00371934">
        <w:rPr>
          <w:rFonts w:cs="Arial"/>
        </w:rPr>
        <w:t>complex neurodevelopmental disorder</w:t>
      </w:r>
      <w:r w:rsidRPr="00371934">
        <w:rPr>
          <w:rStyle w:val="normaltextrun"/>
          <w:rFonts w:cs="Arial"/>
          <w:color w:val="000000"/>
          <w:shd w:val="clear" w:color="auto" w:fill="FFFFFF"/>
        </w:rPr>
        <w:t>, billing of item 132 may be clinically appropriate,</w:t>
      </w:r>
      <w:r w:rsidRPr="00371934">
        <w:rPr>
          <w:rFonts w:cs="Arial"/>
        </w:rPr>
        <w:t xml:space="preserve"> provided the initial referral included the assessment of other conditions separate to their complex neurodevelopmental disorder, and item 132 was billed first (as the initial assessment item).</w:t>
      </w:r>
      <w:r>
        <w:rPr>
          <w:rFonts w:cs="Arial"/>
        </w:rPr>
        <w:t xml:space="preserve"> </w:t>
      </w:r>
      <w:r w:rsidRPr="00371934">
        <w:rPr>
          <w:rFonts w:cs="Arial"/>
        </w:rPr>
        <w:t>T</w:t>
      </w:r>
      <w:r w:rsidRPr="00371934">
        <w:rPr>
          <w:rStyle w:val="normaltextrun"/>
          <w:rFonts w:cs="Arial"/>
          <w:color w:val="000000"/>
          <w:shd w:val="clear" w:color="auto" w:fill="FFFFFF"/>
        </w:rPr>
        <w:t xml:space="preserve">here would be no requirement for a separate referral for either service (132 or 135). </w:t>
      </w:r>
    </w:p>
    <w:p w14:paraId="5B5E891D" w14:textId="77777777" w:rsidR="00171532" w:rsidRDefault="00171532" w:rsidP="00171532">
      <w:pPr>
        <w:rPr>
          <w:rFonts w:cs="Arial"/>
        </w:rPr>
      </w:pPr>
      <w:r w:rsidRPr="00371934">
        <w:rPr>
          <w:rFonts w:cs="Arial"/>
        </w:rPr>
        <w:t xml:space="preserve">Following a confirmed diagnosis of a complex neurodevelopmental disorder and the development of a treatment plan (item 135), ongoing medical management can occur through subsequent attendance items, provided this is consistent with the details of the referring practitioner and the referral remains valid. </w:t>
      </w:r>
    </w:p>
    <w:p w14:paraId="6D42206F" w14:textId="15F08B6D" w:rsidR="00E60C2A" w:rsidRPr="00C67393" w:rsidRDefault="00E60C2A" w:rsidP="00E60C2A">
      <w:pPr>
        <w:spacing w:after="0" w:line="240" w:lineRule="auto"/>
        <w:rPr>
          <w:rFonts w:eastAsia="Times New Roman" w:cs="Arial"/>
          <w:b/>
          <w:bCs/>
          <w:color w:val="358189"/>
          <w:sz w:val="32"/>
          <w:szCs w:val="26"/>
        </w:rPr>
      </w:pPr>
      <w:r>
        <w:rPr>
          <w:rFonts w:eastAsia="Times New Roman" w:cs="Arial"/>
          <w:b/>
          <w:bCs/>
          <w:color w:val="358189"/>
          <w:sz w:val="32"/>
          <w:szCs w:val="26"/>
        </w:rPr>
        <w:t xml:space="preserve">Can </w:t>
      </w:r>
      <w:r w:rsidRPr="00C67393">
        <w:rPr>
          <w:rFonts w:eastAsia="Times New Roman" w:cs="Arial"/>
          <w:b/>
          <w:bCs/>
          <w:color w:val="358189"/>
          <w:sz w:val="32"/>
          <w:szCs w:val="26"/>
        </w:rPr>
        <w:t xml:space="preserve">paediatricians keep seeing patients </w:t>
      </w:r>
      <w:r>
        <w:rPr>
          <w:rFonts w:eastAsia="Times New Roman" w:cs="Arial"/>
          <w:b/>
          <w:bCs/>
          <w:color w:val="358189"/>
          <w:sz w:val="32"/>
          <w:szCs w:val="26"/>
        </w:rPr>
        <w:t xml:space="preserve">above 18 years old if the patient has a </w:t>
      </w:r>
      <w:r w:rsidRPr="00E32400">
        <w:rPr>
          <w:rFonts w:eastAsia="Times New Roman" w:cs="Arial"/>
          <w:b/>
          <w:bCs/>
          <w:color w:val="358189"/>
          <w:sz w:val="32"/>
          <w:szCs w:val="26"/>
        </w:rPr>
        <w:t xml:space="preserve">treatment and management plan </w:t>
      </w:r>
      <w:r w:rsidR="00C4138A">
        <w:rPr>
          <w:rFonts w:eastAsia="Times New Roman" w:cs="Arial"/>
          <w:b/>
          <w:bCs/>
          <w:color w:val="358189"/>
          <w:sz w:val="32"/>
          <w:szCs w:val="26"/>
        </w:rPr>
        <w:t>in place</w:t>
      </w:r>
      <w:r w:rsidRPr="00C67393">
        <w:rPr>
          <w:rFonts w:eastAsia="Times New Roman" w:cs="Arial"/>
          <w:b/>
          <w:bCs/>
          <w:color w:val="358189"/>
          <w:sz w:val="32"/>
          <w:szCs w:val="26"/>
        </w:rPr>
        <w:t>?</w:t>
      </w:r>
    </w:p>
    <w:p w14:paraId="5D499BFE" w14:textId="538BC768" w:rsidR="00E34F23" w:rsidRDefault="00E34F23" w:rsidP="00171532">
      <w:pPr>
        <w:rPr>
          <w:rFonts w:cs="Arial"/>
        </w:rPr>
      </w:pPr>
      <w:r>
        <w:rPr>
          <w:rFonts w:ascii="Helvetica" w:hAnsi="Helvetica" w:cs="Helvetica"/>
          <w:color w:val="222222"/>
          <w:szCs w:val="20"/>
          <w:shd w:val="clear" w:color="auto" w:fill="FBFBFB"/>
        </w:rPr>
        <w:t>Whilst it is not expected that a paediatrician would routinely assess adult individuals (item 289 provides for assessments undertaken by a psychiatrist for patients aged under 25 years), item 135 provides an age ceiling which is consistent across all MBS items related to complex neurodevelopmental disorders and related Allied Health services. Where a paediatrician has been referred a patient (under 18 years of age) and the diagnostic formulation is not completed until after their 18th birthday, the higher age limit will allow the completion of the assessment by the paediatrician (as clinically appropriate).</w:t>
      </w:r>
    </w:p>
    <w:p w14:paraId="34547C70" w14:textId="194F6F05" w:rsidR="006C2973" w:rsidRPr="00371934" w:rsidRDefault="00281350" w:rsidP="006C2973">
      <w:pPr>
        <w:pStyle w:val="Heading3"/>
      </w:pPr>
      <w:bookmarkStart w:id="16" w:name="_Toc151024553"/>
      <w:r>
        <w:t>Are</w:t>
      </w:r>
      <w:r w:rsidR="006C2973" w:rsidRPr="00371934">
        <w:t xml:space="preserve"> there legislative restrictions which prevent a paediatrician billing an MBS item for an adult?</w:t>
      </w:r>
      <w:bookmarkEnd w:id="16"/>
    </w:p>
    <w:p w14:paraId="28369D38" w14:textId="77777777" w:rsidR="006C2973" w:rsidRPr="00371934" w:rsidRDefault="006C2973" w:rsidP="006C2973">
      <w:pPr>
        <w:rPr>
          <w:rFonts w:cs="Arial"/>
        </w:rPr>
      </w:pPr>
      <w:r w:rsidRPr="00371934">
        <w:rPr>
          <w:rFonts w:cs="Arial"/>
        </w:rPr>
        <w:t xml:space="preserve">In order to bill item 135, a paediatrician should make a decision that is clinically appropriate and following guidelines such as those relating to continuity of care for a patient older than 18 years. </w:t>
      </w:r>
    </w:p>
    <w:p w14:paraId="010D699E" w14:textId="276E2EDF" w:rsidR="00E832D4" w:rsidRPr="00E832D4" w:rsidRDefault="00E832D4" w:rsidP="00E832D4">
      <w:pPr>
        <w:pStyle w:val="Heading3"/>
      </w:pPr>
      <w:bookmarkStart w:id="17" w:name="_Toc151024554"/>
      <w:r w:rsidRPr="00E832D4">
        <w:lastRenderedPageBreak/>
        <w:t>Why has the language been changed from ‘severe’ to ‘requiring support and showing impairment’</w:t>
      </w:r>
      <w:r w:rsidR="0078469D">
        <w:t>?</w:t>
      </w:r>
      <w:bookmarkEnd w:id="17"/>
    </w:p>
    <w:p w14:paraId="7A9990E3" w14:textId="506528EC" w:rsidR="00E832D4" w:rsidRPr="00371934" w:rsidRDefault="00E832D4" w:rsidP="00E832D4">
      <w:pPr>
        <w:rPr>
          <w:rFonts w:cs="Arial"/>
        </w:rPr>
      </w:pPr>
      <w:r w:rsidRPr="00E832D4">
        <w:rPr>
          <w:rFonts w:cs="Arial"/>
        </w:rPr>
        <w:t xml:space="preserve">Severe is not a category that is applicable to psychometric testing. Additionally, ASD is no longer considered a linear spectrum from high functioning to </w:t>
      </w:r>
      <w:r w:rsidR="0047250A" w:rsidRPr="00E832D4">
        <w:rPr>
          <w:rFonts w:cs="Arial"/>
        </w:rPr>
        <w:t>severe,</w:t>
      </w:r>
      <w:r w:rsidRPr="00E832D4">
        <w:rPr>
          <w:rFonts w:cs="Arial"/>
        </w:rPr>
        <w:t xml:space="preserve"> but levels of support requirements are given from level 1 (requiring support), level 2 (requiring substantial support) or level 3 (requiring very substantial support). This language has been updated to reflect current clinical terminology.</w:t>
      </w:r>
      <w:r w:rsidRPr="00371934">
        <w:rPr>
          <w:rFonts w:cs="Arial"/>
        </w:rPr>
        <w:t xml:space="preserve"> </w:t>
      </w:r>
    </w:p>
    <w:p w14:paraId="50ABB00B" w14:textId="45C16D53" w:rsidR="0048470F" w:rsidRPr="00371934" w:rsidRDefault="0048470F" w:rsidP="0048470F">
      <w:pPr>
        <w:pStyle w:val="Heading2"/>
      </w:pPr>
      <w:bookmarkStart w:id="18" w:name="_Toc151024555"/>
      <w:r w:rsidRPr="00371934">
        <w:t xml:space="preserve">Allied health </w:t>
      </w:r>
      <w:r w:rsidR="003F6947">
        <w:t>P</w:t>
      </w:r>
      <w:r w:rsidRPr="00371934">
        <w:t xml:space="preserve">rovider </w:t>
      </w:r>
      <w:r w:rsidR="003F6947">
        <w:t>Q</w:t>
      </w:r>
      <w:r>
        <w:t>uestions</w:t>
      </w:r>
      <w:bookmarkEnd w:id="18"/>
    </w:p>
    <w:p w14:paraId="7BD9C305" w14:textId="77777777" w:rsidR="0048470F" w:rsidRPr="00BC2450" w:rsidRDefault="0048470F" w:rsidP="0048470F">
      <w:pPr>
        <w:pStyle w:val="Heading3"/>
        <w:rPr>
          <w:rFonts w:ascii="Calibri" w:hAnsi="Calibri" w:cs="Calibri"/>
          <w:szCs w:val="22"/>
        </w:rPr>
      </w:pPr>
      <w:bookmarkStart w:id="19" w:name="_Toc151024556"/>
      <w:r>
        <w:t>Can the allied health assessment items be used for diagnosis of autism s</w:t>
      </w:r>
      <w:r w:rsidRPr="00C45C0B">
        <w:t xml:space="preserve">pectrum </w:t>
      </w:r>
      <w:r>
        <w:t>d</w:t>
      </w:r>
      <w:r w:rsidRPr="00C45C0B">
        <w:t>isorder</w:t>
      </w:r>
      <w:r>
        <w:t xml:space="preserve"> in adults?</w:t>
      </w:r>
      <w:bookmarkEnd w:id="19"/>
    </w:p>
    <w:p w14:paraId="36948A87" w14:textId="08215224" w:rsidR="0029385B" w:rsidRDefault="00FB4586" w:rsidP="0029385B">
      <w:pPr>
        <w:rPr>
          <w:rFonts w:eastAsia="Times New Roman"/>
          <w:lang w:eastAsia="en-AU"/>
        </w:rPr>
      </w:pPr>
      <w:r w:rsidRPr="70251F0A">
        <w:rPr>
          <w:rFonts w:eastAsia="Times New Roman"/>
          <w:lang w:eastAsia="en-AU"/>
        </w:rPr>
        <w:t>T</w:t>
      </w:r>
      <w:r w:rsidR="0048470F" w:rsidRPr="70251F0A">
        <w:rPr>
          <w:rFonts w:eastAsia="Times New Roman"/>
          <w:lang w:eastAsia="en-AU"/>
        </w:rPr>
        <w:t xml:space="preserve">he </w:t>
      </w:r>
      <w:r w:rsidRPr="70251F0A">
        <w:rPr>
          <w:rFonts w:eastAsia="Times New Roman"/>
          <w:lang w:eastAsia="en-AU"/>
        </w:rPr>
        <w:t xml:space="preserve">allied health </w:t>
      </w:r>
      <w:r w:rsidR="0048470F" w:rsidRPr="70251F0A">
        <w:rPr>
          <w:rFonts w:eastAsia="Times New Roman"/>
          <w:lang w:eastAsia="en-AU"/>
        </w:rPr>
        <w:t xml:space="preserve">items provide rebates for the assessment of patients under 25 years of age, for the purpose of </w:t>
      </w:r>
      <w:r w:rsidR="0048470F" w:rsidRPr="70251F0A">
        <w:rPr>
          <w:rFonts w:eastAsia="Times New Roman"/>
          <w:b/>
          <w:bCs/>
          <w:lang w:eastAsia="en-AU"/>
        </w:rPr>
        <w:t>assisting the referring eligible medical practitioner with the diagnosis</w:t>
      </w:r>
      <w:r w:rsidR="0048470F" w:rsidRPr="70251F0A">
        <w:rPr>
          <w:rFonts w:eastAsia="Times New Roman"/>
          <w:lang w:eastAsia="en-AU"/>
        </w:rPr>
        <w:t xml:space="preserve"> (including a differential diagnosis) of a complex </w:t>
      </w:r>
      <w:r w:rsidR="3261F83F" w:rsidRPr="70251F0A">
        <w:rPr>
          <w:rFonts w:eastAsia="Times New Roman"/>
          <w:lang w:eastAsia="en-AU"/>
        </w:rPr>
        <w:t>n</w:t>
      </w:r>
      <w:r w:rsidR="0048470F" w:rsidRPr="70251F0A">
        <w:rPr>
          <w:rFonts w:eastAsia="Times New Roman"/>
          <w:lang w:eastAsia="en-AU"/>
        </w:rPr>
        <w:t xml:space="preserve">eurodevelopmental </w:t>
      </w:r>
      <w:r w:rsidR="6F4F3D4C" w:rsidRPr="70251F0A">
        <w:rPr>
          <w:rFonts w:eastAsia="Times New Roman"/>
          <w:lang w:eastAsia="en-AU"/>
        </w:rPr>
        <w:t>d</w:t>
      </w:r>
      <w:r w:rsidR="0048470F" w:rsidRPr="70251F0A">
        <w:rPr>
          <w:rFonts w:eastAsia="Times New Roman"/>
          <w:lang w:eastAsia="en-AU"/>
        </w:rPr>
        <w:t>isorder (such as ASD) or an eligible disability. After completion of the final assessment service by an eligible allied health practitioner, a written report must be provided to the referring eligible medical practitioner that outlines the assessment findings. This report will assist the referring medical practitioner in formulating a diagnosis.</w:t>
      </w:r>
      <w:r w:rsidR="0078469D" w:rsidRPr="70251F0A">
        <w:rPr>
          <w:rFonts w:eastAsia="Times New Roman"/>
          <w:lang w:eastAsia="en-AU"/>
        </w:rPr>
        <w:t xml:space="preserve"> </w:t>
      </w:r>
      <w:r w:rsidR="0029385B" w:rsidRPr="70251F0A">
        <w:rPr>
          <w:rFonts w:eastAsia="Times New Roman"/>
          <w:lang w:eastAsia="en-AU"/>
        </w:rPr>
        <w:t xml:space="preserve">The allied health items </w:t>
      </w:r>
      <w:r w:rsidR="0029385B" w:rsidRPr="70251F0A">
        <w:rPr>
          <w:rFonts w:eastAsia="Times New Roman"/>
          <w:b/>
          <w:bCs/>
          <w:lang w:eastAsia="en-AU"/>
        </w:rPr>
        <w:t>cannot</w:t>
      </w:r>
      <w:r w:rsidR="0029385B" w:rsidRPr="70251F0A">
        <w:rPr>
          <w:rFonts w:eastAsia="Times New Roman"/>
          <w:lang w:eastAsia="en-AU"/>
        </w:rPr>
        <w:t xml:space="preserve"> be used for assessments where the </w:t>
      </w:r>
      <w:r w:rsidR="0029385B" w:rsidRPr="70251F0A">
        <w:rPr>
          <w:rFonts w:eastAsia="Times New Roman"/>
          <w:b/>
          <w:bCs/>
          <w:lang w:eastAsia="en-AU"/>
        </w:rPr>
        <w:t>allied health pr</w:t>
      </w:r>
      <w:r w:rsidR="00171E30">
        <w:rPr>
          <w:rFonts w:eastAsia="Times New Roman"/>
          <w:b/>
          <w:bCs/>
          <w:lang w:eastAsia="en-AU"/>
        </w:rPr>
        <w:t>actitioner</w:t>
      </w:r>
      <w:r w:rsidR="0029385B" w:rsidRPr="70251F0A">
        <w:rPr>
          <w:rFonts w:eastAsia="Times New Roman"/>
          <w:b/>
          <w:bCs/>
          <w:lang w:eastAsia="en-AU"/>
        </w:rPr>
        <w:t xml:space="preserve"> diagnoses the patient</w:t>
      </w:r>
      <w:r w:rsidR="0029385B" w:rsidRPr="70251F0A">
        <w:rPr>
          <w:rFonts w:eastAsia="Times New Roman"/>
          <w:lang w:eastAsia="en-AU"/>
        </w:rPr>
        <w:t xml:space="preserve">. </w:t>
      </w:r>
    </w:p>
    <w:p w14:paraId="07CD954B" w14:textId="6ABF8144" w:rsidR="0027554B" w:rsidRDefault="00161868" w:rsidP="70251F0A">
      <w:pPr>
        <w:pStyle w:val="Heading3"/>
        <w:rPr>
          <w:rFonts w:ascii="Calibri" w:hAnsi="Calibri" w:cs="Calibri"/>
        </w:rPr>
      </w:pPr>
      <w:bookmarkStart w:id="20" w:name="_Toc151024557"/>
      <w:r>
        <w:t xml:space="preserve">Is there </w:t>
      </w:r>
      <w:r w:rsidR="00943CF1">
        <w:t xml:space="preserve">a diagnosis </w:t>
      </w:r>
      <w:r w:rsidR="00DB5A51">
        <w:t xml:space="preserve">age </w:t>
      </w:r>
      <w:r w:rsidR="00B34305">
        <w:t xml:space="preserve">limit </w:t>
      </w:r>
      <w:r w:rsidR="38C88EA3">
        <w:t>for</w:t>
      </w:r>
      <w:r w:rsidR="006659E2">
        <w:t xml:space="preserve"> access to</w:t>
      </w:r>
      <w:r w:rsidR="009F6465">
        <w:t xml:space="preserve"> the </w:t>
      </w:r>
      <w:r w:rsidR="00A22A56">
        <w:t>allied health treatment items?</w:t>
      </w:r>
      <w:bookmarkEnd w:id="20"/>
    </w:p>
    <w:p w14:paraId="29FF04DD" w14:textId="5D09871E" w:rsidR="00BF18ED" w:rsidRPr="00097120" w:rsidRDefault="00F95018" w:rsidP="00097120">
      <w:pPr>
        <w:rPr>
          <w:rFonts w:eastAsia="Times New Roman"/>
        </w:rPr>
      </w:pPr>
      <w:r>
        <w:rPr>
          <w:rFonts w:eastAsia="Times New Roman"/>
        </w:rPr>
        <w:t>Pr</w:t>
      </w:r>
      <w:r w:rsidR="002C1933">
        <w:rPr>
          <w:rFonts w:eastAsia="Times New Roman"/>
        </w:rPr>
        <w:t>ior to</w:t>
      </w:r>
      <w:r>
        <w:rPr>
          <w:rFonts w:eastAsia="Times New Roman"/>
        </w:rPr>
        <w:t xml:space="preserve"> the 1 March 2023 changes</w:t>
      </w:r>
      <w:r w:rsidR="00B248E1">
        <w:rPr>
          <w:rFonts w:eastAsia="Times New Roman"/>
        </w:rPr>
        <w:t xml:space="preserve">, there was a requirement that the patient was diagnosed </w:t>
      </w:r>
      <w:r w:rsidR="002C1933">
        <w:rPr>
          <w:rFonts w:eastAsia="Times New Roman"/>
        </w:rPr>
        <w:t xml:space="preserve">before the age of 13 years old for the allied health treatment items to be accessed. </w:t>
      </w:r>
      <w:r w:rsidR="00196591">
        <w:rPr>
          <w:rFonts w:eastAsia="Times New Roman"/>
        </w:rPr>
        <w:t>This requirement was removed with the 1</w:t>
      </w:r>
      <w:r w:rsidR="00242227">
        <w:rPr>
          <w:rFonts w:eastAsia="Times New Roman"/>
        </w:rPr>
        <w:t> </w:t>
      </w:r>
      <w:r w:rsidR="00196591">
        <w:rPr>
          <w:rFonts w:eastAsia="Times New Roman"/>
        </w:rPr>
        <w:t>March 2023 changes</w:t>
      </w:r>
      <w:r w:rsidR="007568AC">
        <w:rPr>
          <w:rFonts w:eastAsia="Times New Roman"/>
        </w:rPr>
        <w:t>.</w:t>
      </w:r>
      <w:r w:rsidR="005E0A99">
        <w:rPr>
          <w:rFonts w:eastAsia="Times New Roman"/>
        </w:rPr>
        <w:t xml:space="preserve"> The </w:t>
      </w:r>
      <w:r w:rsidR="00441924">
        <w:rPr>
          <w:rFonts w:eastAsia="Times New Roman"/>
        </w:rPr>
        <w:t xml:space="preserve">allied health treatment items </w:t>
      </w:r>
      <w:r w:rsidR="005E0A99">
        <w:rPr>
          <w:rFonts w:eastAsia="Times New Roman"/>
        </w:rPr>
        <w:t>are</w:t>
      </w:r>
      <w:r w:rsidR="00127297">
        <w:rPr>
          <w:rFonts w:eastAsia="Times New Roman"/>
        </w:rPr>
        <w:t xml:space="preserve"> restricted to </w:t>
      </w:r>
      <w:r w:rsidR="004A074B">
        <w:rPr>
          <w:rFonts w:eastAsia="Times New Roman"/>
        </w:rPr>
        <w:t>patient</w:t>
      </w:r>
      <w:r w:rsidR="00127297">
        <w:rPr>
          <w:rFonts w:eastAsia="Times New Roman"/>
        </w:rPr>
        <w:t>s</w:t>
      </w:r>
      <w:r w:rsidR="004A074B">
        <w:rPr>
          <w:rFonts w:eastAsia="Times New Roman"/>
        </w:rPr>
        <w:t xml:space="preserve"> </w:t>
      </w:r>
      <w:r w:rsidR="00AE6D18">
        <w:rPr>
          <w:rFonts w:eastAsia="Times New Roman"/>
        </w:rPr>
        <w:t>under 25 years</w:t>
      </w:r>
      <w:r w:rsidR="00127297">
        <w:rPr>
          <w:rFonts w:eastAsia="Times New Roman"/>
        </w:rPr>
        <w:t xml:space="preserve"> old</w:t>
      </w:r>
      <w:r w:rsidR="00AF6608">
        <w:rPr>
          <w:rFonts w:eastAsia="Times New Roman"/>
        </w:rPr>
        <w:t xml:space="preserve"> that have a </w:t>
      </w:r>
      <w:r w:rsidR="00236509">
        <w:rPr>
          <w:rFonts w:eastAsia="Times New Roman"/>
        </w:rPr>
        <w:t xml:space="preserve">diagnosis of a complex neurodevelopmental disorder and/or an eligible disability, </w:t>
      </w:r>
      <w:r w:rsidR="00BA1DB1">
        <w:rPr>
          <w:rFonts w:eastAsia="Times New Roman"/>
        </w:rPr>
        <w:t xml:space="preserve">a </w:t>
      </w:r>
      <w:r w:rsidR="00AE6D18">
        <w:rPr>
          <w:rFonts w:eastAsia="Times New Roman"/>
        </w:rPr>
        <w:t xml:space="preserve">treatment and management plan </w:t>
      </w:r>
      <w:r w:rsidR="00BA1DB1">
        <w:rPr>
          <w:rFonts w:eastAsia="Times New Roman"/>
        </w:rPr>
        <w:t xml:space="preserve">is </w:t>
      </w:r>
      <w:r w:rsidR="00AE6D18">
        <w:rPr>
          <w:rFonts w:eastAsia="Times New Roman"/>
        </w:rPr>
        <w:t>in place and the other requirements of the item</w:t>
      </w:r>
      <w:r w:rsidR="00BA1DB1">
        <w:rPr>
          <w:rFonts w:eastAsia="Times New Roman"/>
        </w:rPr>
        <w:t>/</w:t>
      </w:r>
      <w:r w:rsidR="00080E4D">
        <w:rPr>
          <w:rFonts w:eastAsia="Times New Roman"/>
        </w:rPr>
        <w:t>s</w:t>
      </w:r>
      <w:r w:rsidR="00AE6D18">
        <w:rPr>
          <w:rFonts w:eastAsia="Times New Roman"/>
        </w:rPr>
        <w:t xml:space="preserve"> ha</w:t>
      </w:r>
      <w:r w:rsidR="00080E4D">
        <w:rPr>
          <w:rFonts w:eastAsia="Times New Roman"/>
        </w:rPr>
        <w:t>ve</w:t>
      </w:r>
      <w:r w:rsidR="00AE6D18">
        <w:rPr>
          <w:rFonts w:eastAsia="Times New Roman"/>
        </w:rPr>
        <w:t xml:space="preserve"> been</w:t>
      </w:r>
      <w:r w:rsidR="005D1CC4">
        <w:rPr>
          <w:rFonts w:eastAsia="Times New Roman"/>
        </w:rPr>
        <w:t xml:space="preserve"> met</w:t>
      </w:r>
      <w:r w:rsidR="00080E4D">
        <w:rPr>
          <w:rFonts w:eastAsia="Times New Roman"/>
        </w:rPr>
        <w:t xml:space="preserve">. Requirements of the item and associated explanatory notes can be found using the search function at </w:t>
      </w:r>
      <w:hyperlink r:id="rId22" w:history="1">
        <w:r w:rsidR="00892591">
          <w:rPr>
            <w:rStyle w:val="Hyperlink"/>
            <w:rFonts w:eastAsia="Times New Roman"/>
          </w:rPr>
          <w:t>MBS</w:t>
        </w:r>
        <w:r w:rsidR="008142B3">
          <w:rPr>
            <w:rStyle w:val="Hyperlink"/>
            <w:rFonts w:eastAsia="Times New Roman"/>
          </w:rPr>
          <w:t xml:space="preserve"> O</w:t>
        </w:r>
        <w:r w:rsidR="00892591">
          <w:rPr>
            <w:rStyle w:val="Hyperlink"/>
            <w:rFonts w:eastAsia="Times New Roman"/>
          </w:rPr>
          <w:t>nline</w:t>
        </w:r>
      </w:hyperlink>
      <w:r w:rsidR="00892591">
        <w:rPr>
          <w:rFonts w:eastAsia="Times New Roman"/>
        </w:rPr>
        <w:t>.</w:t>
      </w:r>
      <w:r w:rsidR="00AE6D18">
        <w:rPr>
          <w:rFonts w:eastAsia="Times New Roman"/>
        </w:rPr>
        <w:t xml:space="preserve"> </w:t>
      </w:r>
    </w:p>
    <w:p w14:paraId="2F20F3D9" w14:textId="1BA39D2D" w:rsidR="00C95AA4" w:rsidRDefault="006332DF" w:rsidP="006332DF">
      <w:pPr>
        <w:pStyle w:val="Heading3"/>
      </w:pPr>
      <w:bookmarkStart w:id="21" w:name="_Toc151024558"/>
      <w:r>
        <w:t>Which allied health pr</w:t>
      </w:r>
      <w:r w:rsidR="00171E30">
        <w:t>actitioner</w:t>
      </w:r>
      <w:r>
        <w:t>s can provide referred treatment services?</w:t>
      </w:r>
      <w:bookmarkEnd w:id="21"/>
    </w:p>
    <w:p w14:paraId="57DF5ED3" w14:textId="1712E6C3" w:rsidR="006332DF" w:rsidRDefault="00C95AA4" w:rsidP="00894FA5">
      <w:pPr>
        <w:rPr>
          <w:rFonts w:ascii="Calibri" w:eastAsia="Times New Roman" w:hAnsi="Calibri" w:cs="Calibri"/>
          <w:szCs w:val="22"/>
        </w:rPr>
      </w:pPr>
      <w:r>
        <w:t>The</w:t>
      </w:r>
      <w:r w:rsidR="00B55711">
        <w:t xml:space="preserve"> allied health </w:t>
      </w:r>
      <w:r w:rsidR="00E60D4D">
        <w:t>pr</w:t>
      </w:r>
      <w:r w:rsidR="00171E30">
        <w:t>actitioner</w:t>
      </w:r>
      <w:r w:rsidR="00E60D4D">
        <w:t>s that can provide treatment</w:t>
      </w:r>
      <w:r w:rsidR="00A34748">
        <w:t xml:space="preserve"> services</w:t>
      </w:r>
      <w:r w:rsidR="00E60D4D">
        <w:t xml:space="preserve"> under</w:t>
      </w:r>
      <w:r w:rsidR="00B55711">
        <w:t xml:space="preserve"> items </w:t>
      </w:r>
      <w:r w:rsidR="00B55711" w:rsidRPr="00B55711">
        <w:t>82015, 82020, 82025, 82035, 93035, 93036, 93043</w:t>
      </w:r>
      <w:r w:rsidR="00E60D4D">
        <w:t xml:space="preserve"> and</w:t>
      </w:r>
      <w:r w:rsidR="00B55711" w:rsidRPr="00B55711">
        <w:t xml:space="preserve"> 93</w:t>
      </w:r>
      <w:r w:rsidR="00E60D4D">
        <w:t>044</w:t>
      </w:r>
      <w:r w:rsidR="00DB5689">
        <w:t xml:space="preserve"> include psychologist</w:t>
      </w:r>
      <w:r w:rsidR="001B6E7D">
        <w:t>s</w:t>
      </w:r>
      <w:r w:rsidR="00DB5689">
        <w:t>, speech pathologists,</w:t>
      </w:r>
      <w:r w:rsidR="00A34748">
        <w:t xml:space="preserve"> occupational therapists, </w:t>
      </w:r>
      <w:r w:rsidR="006332DF">
        <w:rPr>
          <w:rFonts w:eastAsia="Times New Roman"/>
        </w:rPr>
        <w:t xml:space="preserve">audiologists, optometrists, </w:t>
      </w:r>
      <w:r w:rsidR="00303ACA">
        <w:rPr>
          <w:rFonts w:eastAsia="Times New Roman"/>
        </w:rPr>
        <w:t>orthoptists,</w:t>
      </w:r>
      <w:r w:rsidR="00A34748">
        <w:rPr>
          <w:rFonts w:eastAsia="Times New Roman"/>
        </w:rPr>
        <w:t xml:space="preserve"> and physiotherapists. More information on the items can be found </w:t>
      </w:r>
      <w:r w:rsidR="00332DE8">
        <w:rPr>
          <w:rFonts w:eastAsia="Times New Roman"/>
        </w:rPr>
        <w:t xml:space="preserve">by using the search function on </w:t>
      </w:r>
      <w:hyperlink r:id="rId23" w:history="1">
        <w:r w:rsidR="00332DE8">
          <w:rPr>
            <w:rStyle w:val="Hyperlink"/>
            <w:rFonts w:eastAsia="Times New Roman"/>
          </w:rPr>
          <w:t>MBS Online</w:t>
        </w:r>
      </w:hyperlink>
      <w:r w:rsidR="00332DE8">
        <w:rPr>
          <w:rFonts w:eastAsia="Times New Roman"/>
        </w:rPr>
        <w:t>.</w:t>
      </w:r>
    </w:p>
    <w:p w14:paraId="700AFC1C" w14:textId="4FCEF58E" w:rsidR="006B11C7" w:rsidRDefault="00B9400F" w:rsidP="00A561AC">
      <w:pPr>
        <w:spacing w:after="0" w:line="240" w:lineRule="auto"/>
        <w:rPr>
          <w:rFonts w:eastAsia="Times New Roman" w:cs="Arial"/>
          <w:b/>
          <w:bCs/>
          <w:color w:val="358189"/>
          <w:sz w:val="32"/>
          <w:szCs w:val="32"/>
        </w:rPr>
      </w:pPr>
      <w:r w:rsidRPr="70251F0A">
        <w:rPr>
          <w:rFonts w:eastAsia="Times New Roman" w:cs="Arial"/>
          <w:b/>
          <w:bCs/>
          <w:color w:val="358189" w:themeColor="accent2"/>
          <w:sz w:val="32"/>
          <w:szCs w:val="32"/>
        </w:rPr>
        <w:t xml:space="preserve">If </w:t>
      </w:r>
      <w:r w:rsidR="00577BE3" w:rsidRPr="70251F0A">
        <w:rPr>
          <w:rFonts w:eastAsia="Times New Roman" w:cs="Arial"/>
          <w:b/>
          <w:bCs/>
          <w:color w:val="358189" w:themeColor="accent2"/>
          <w:sz w:val="32"/>
          <w:szCs w:val="32"/>
        </w:rPr>
        <w:t xml:space="preserve">a </w:t>
      </w:r>
      <w:r w:rsidR="0BD20696" w:rsidRPr="70251F0A">
        <w:rPr>
          <w:rFonts w:eastAsia="Times New Roman" w:cs="Arial"/>
          <w:b/>
          <w:bCs/>
          <w:color w:val="358189" w:themeColor="accent2"/>
          <w:sz w:val="32"/>
          <w:szCs w:val="32"/>
        </w:rPr>
        <w:t>p</w:t>
      </w:r>
      <w:r w:rsidR="00CD0FCC" w:rsidRPr="70251F0A">
        <w:rPr>
          <w:rFonts w:eastAsia="Times New Roman" w:cs="Arial"/>
          <w:b/>
          <w:bCs/>
          <w:color w:val="358189" w:themeColor="accent2"/>
          <w:sz w:val="32"/>
          <w:szCs w:val="32"/>
        </w:rPr>
        <w:t>aediatrician</w:t>
      </w:r>
      <w:r w:rsidR="00577BE3" w:rsidRPr="70251F0A">
        <w:rPr>
          <w:rFonts w:eastAsia="Times New Roman" w:cs="Arial"/>
          <w:b/>
          <w:bCs/>
          <w:color w:val="358189" w:themeColor="accent2"/>
          <w:sz w:val="32"/>
          <w:szCs w:val="32"/>
        </w:rPr>
        <w:t xml:space="preserve"> requests a</w:t>
      </w:r>
      <w:r w:rsidR="009B2DCA" w:rsidRPr="70251F0A">
        <w:rPr>
          <w:rFonts w:eastAsia="Times New Roman" w:cs="Arial"/>
          <w:b/>
          <w:bCs/>
          <w:color w:val="358189" w:themeColor="accent2"/>
          <w:sz w:val="32"/>
          <w:szCs w:val="32"/>
        </w:rPr>
        <w:t xml:space="preserve">n allied health assessment but the patient turns </w:t>
      </w:r>
      <w:r w:rsidR="00767EC8" w:rsidRPr="70251F0A">
        <w:rPr>
          <w:rFonts w:eastAsia="Times New Roman" w:cs="Arial"/>
          <w:b/>
          <w:bCs/>
          <w:color w:val="358189" w:themeColor="accent2"/>
          <w:sz w:val="32"/>
          <w:szCs w:val="32"/>
        </w:rPr>
        <w:t xml:space="preserve">18 years old </w:t>
      </w:r>
      <w:r w:rsidR="00A436BC" w:rsidRPr="70251F0A">
        <w:rPr>
          <w:rFonts w:eastAsia="Times New Roman" w:cs="Arial"/>
          <w:b/>
          <w:bCs/>
          <w:color w:val="358189" w:themeColor="accent2"/>
          <w:sz w:val="32"/>
          <w:szCs w:val="32"/>
        </w:rPr>
        <w:t>before the assessment is complete</w:t>
      </w:r>
      <w:r w:rsidRPr="70251F0A">
        <w:rPr>
          <w:rFonts w:eastAsia="Times New Roman" w:cs="Arial"/>
          <w:b/>
          <w:bCs/>
          <w:color w:val="358189" w:themeColor="accent2"/>
          <w:sz w:val="32"/>
          <w:szCs w:val="32"/>
        </w:rPr>
        <w:t>,</w:t>
      </w:r>
      <w:r w:rsidR="00A436BC" w:rsidRPr="70251F0A">
        <w:rPr>
          <w:rFonts w:eastAsia="Times New Roman" w:cs="Arial"/>
          <w:b/>
          <w:bCs/>
          <w:color w:val="358189" w:themeColor="accent2"/>
          <w:sz w:val="32"/>
          <w:szCs w:val="32"/>
        </w:rPr>
        <w:t xml:space="preserve"> </w:t>
      </w:r>
      <w:r w:rsidR="006B11C7" w:rsidRPr="70251F0A">
        <w:rPr>
          <w:rFonts w:eastAsia="Times New Roman" w:cs="Arial"/>
          <w:b/>
          <w:bCs/>
          <w:color w:val="358189" w:themeColor="accent2"/>
          <w:sz w:val="32"/>
          <w:szCs w:val="32"/>
        </w:rPr>
        <w:t>what happens to the assessment report?</w:t>
      </w:r>
    </w:p>
    <w:p w14:paraId="590D6799" w14:textId="33C53F5F" w:rsidR="006B11C7" w:rsidRPr="00B76073" w:rsidRDefault="008737EA" w:rsidP="006B11C7">
      <w:pPr>
        <w:rPr>
          <w:rFonts w:cs="Arial"/>
        </w:rPr>
      </w:pPr>
      <w:r w:rsidRPr="00B76073">
        <w:rPr>
          <w:rFonts w:cs="Arial"/>
        </w:rPr>
        <w:t>It is a requirement of the allied health assessment items that o</w:t>
      </w:r>
      <w:r w:rsidR="006B11C7" w:rsidRPr="00B76073">
        <w:rPr>
          <w:rFonts w:cs="Arial"/>
        </w:rPr>
        <w:t xml:space="preserve">n completion of the final assessment service by an allied health practitioner, a written report must be provided to the referring medical practitioner </w:t>
      </w:r>
      <w:r w:rsidR="008153B9" w:rsidRPr="00B76073">
        <w:rPr>
          <w:rFonts w:cs="Arial"/>
        </w:rPr>
        <w:t>which</w:t>
      </w:r>
      <w:r w:rsidR="006B11C7" w:rsidRPr="00B76073">
        <w:rPr>
          <w:rFonts w:cs="Arial"/>
        </w:rPr>
        <w:t xml:space="preserve"> outlines the assessment findings.</w:t>
      </w:r>
      <w:r w:rsidR="00A1351E" w:rsidRPr="00B76073">
        <w:rPr>
          <w:rFonts w:cs="Arial"/>
        </w:rPr>
        <w:t xml:space="preserve"> Providing the assessment is </w:t>
      </w:r>
      <w:r w:rsidR="0033788F" w:rsidRPr="00B76073">
        <w:rPr>
          <w:rFonts w:cs="Arial"/>
        </w:rPr>
        <w:t>undertaken while the patient is under 25 years old, and the requirements of the MB</w:t>
      </w:r>
      <w:r w:rsidR="006654D0">
        <w:rPr>
          <w:rFonts w:cs="Arial"/>
        </w:rPr>
        <w:t>S</w:t>
      </w:r>
      <w:r w:rsidR="0033788F" w:rsidRPr="00B76073">
        <w:rPr>
          <w:rFonts w:cs="Arial"/>
        </w:rPr>
        <w:t xml:space="preserve"> item </w:t>
      </w:r>
      <w:r w:rsidR="006654D0">
        <w:rPr>
          <w:rFonts w:cs="Arial"/>
        </w:rPr>
        <w:t>are</w:t>
      </w:r>
      <w:r w:rsidR="0033788F" w:rsidRPr="00B76073">
        <w:rPr>
          <w:rFonts w:cs="Arial"/>
        </w:rPr>
        <w:t xml:space="preserve"> met </w:t>
      </w:r>
      <w:r w:rsidR="00D5080B">
        <w:rPr>
          <w:rFonts w:cs="Arial"/>
        </w:rPr>
        <w:t>(</w:t>
      </w:r>
      <w:r w:rsidR="0033788F" w:rsidRPr="00B76073">
        <w:rPr>
          <w:rFonts w:cs="Arial"/>
        </w:rPr>
        <w:t xml:space="preserve">including </w:t>
      </w:r>
      <w:r w:rsidR="00C450F5" w:rsidRPr="00B76073">
        <w:rPr>
          <w:rFonts w:cs="Arial"/>
        </w:rPr>
        <w:t>providing the assessment report to the referring medical practitioner</w:t>
      </w:r>
      <w:r w:rsidR="00D5080B">
        <w:rPr>
          <w:rFonts w:cs="Arial"/>
        </w:rPr>
        <w:t>)</w:t>
      </w:r>
      <w:r w:rsidR="00C450F5" w:rsidRPr="00B76073">
        <w:rPr>
          <w:rFonts w:cs="Arial"/>
        </w:rPr>
        <w:t xml:space="preserve">, then the patient is eligible </w:t>
      </w:r>
      <w:r w:rsidR="00967E2C">
        <w:rPr>
          <w:rFonts w:cs="Arial"/>
        </w:rPr>
        <w:t xml:space="preserve">to claim </w:t>
      </w:r>
      <w:r w:rsidR="00C450F5" w:rsidRPr="00B76073">
        <w:rPr>
          <w:rFonts w:cs="Arial"/>
        </w:rPr>
        <w:t>a</w:t>
      </w:r>
      <w:r w:rsidR="00967E2C">
        <w:rPr>
          <w:rFonts w:cs="Arial"/>
        </w:rPr>
        <w:t>n</w:t>
      </w:r>
      <w:r w:rsidR="00C450F5" w:rsidRPr="00B76073">
        <w:rPr>
          <w:rFonts w:cs="Arial"/>
        </w:rPr>
        <w:t xml:space="preserve"> MBS rebate.</w:t>
      </w:r>
    </w:p>
    <w:p w14:paraId="33E0770C" w14:textId="455E5191" w:rsidR="000847AA" w:rsidRPr="00371934" w:rsidRDefault="00F76A1B" w:rsidP="000847AA">
      <w:pPr>
        <w:pStyle w:val="Heading3"/>
      </w:pPr>
      <w:bookmarkStart w:id="22" w:name="_Toc151024559"/>
      <w:r>
        <w:lastRenderedPageBreak/>
        <w:t xml:space="preserve">What is the process of submitting a request for a review </w:t>
      </w:r>
      <w:r w:rsidR="00E2039B">
        <w:t xml:space="preserve">during the </w:t>
      </w:r>
      <w:r w:rsidR="6B24792E">
        <w:t>a</w:t>
      </w:r>
      <w:r>
        <w:t xml:space="preserve">llied </w:t>
      </w:r>
      <w:r w:rsidR="49BB4481">
        <w:t>h</w:t>
      </w:r>
      <w:r>
        <w:t xml:space="preserve">ealth </w:t>
      </w:r>
      <w:r w:rsidR="00A36A89">
        <w:t>assessment phase</w:t>
      </w:r>
      <w:r w:rsidR="000847AA">
        <w:t>?</w:t>
      </w:r>
      <w:bookmarkEnd w:id="22"/>
    </w:p>
    <w:p w14:paraId="40251811" w14:textId="0698C704" w:rsidR="00171532" w:rsidRDefault="00113E8F" w:rsidP="00F76A1B">
      <w:pPr>
        <w:rPr>
          <w:rFonts w:cs="Arial"/>
        </w:rPr>
      </w:pPr>
      <w:r w:rsidRPr="70251F0A">
        <w:rPr>
          <w:rFonts w:cs="Arial"/>
        </w:rPr>
        <w:t xml:space="preserve">A </w:t>
      </w:r>
      <w:r w:rsidR="001667C2" w:rsidRPr="70251F0A">
        <w:rPr>
          <w:rFonts w:cs="Arial"/>
        </w:rPr>
        <w:t xml:space="preserve">single </w:t>
      </w:r>
      <w:r w:rsidRPr="70251F0A">
        <w:rPr>
          <w:rFonts w:cs="Arial"/>
        </w:rPr>
        <w:t xml:space="preserve">eligible </w:t>
      </w:r>
      <w:r w:rsidR="4A76EBC7" w:rsidRPr="70251F0A">
        <w:rPr>
          <w:rFonts w:cs="Arial"/>
        </w:rPr>
        <w:t>a</w:t>
      </w:r>
      <w:r w:rsidRPr="70251F0A">
        <w:rPr>
          <w:rFonts w:cs="Arial"/>
        </w:rPr>
        <w:t xml:space="preserve">llied </w:t>
      </w:r>
      <w:r w:rsidR="0C3E2579" w:rsidRPr="70251F0A">
        <w:rPr>
          <w:rFonts w:cs="Arial"/>
        </w:rPr>
        <w:t>h</w:t>
      </w:r>
      <w:r w:rsidRPr="70251F0A">
        <w:rPr>
          <w:rFonts w:cs="Arial"/>
        </w:rPr>
        <w:t xml:space="preserve">ealth practitioner can provide up to 4 referred assessment services without the need for review and agreement by a referring eligible medical practitioner. </w:t>
      </w:r>
      <w:r w:rsidR="001667C2" w:rsidRPr="70251F0A">
        <w:rPr>
          <w:rFonts w:cs="Arial"/>
        </w:rPr>
        <w:t>For more than 4 allied health assessment services provided by a single pr</w:t>
      </w:r>
      <w:r w:rsidR="00B5070F">
        <w:rPr>
          <w:rFonts w:cs="Arial"/>
        </w:rPr>
        <w:t>actitioner</w:t>
      </w:r>
      <w:r w:rsidR="001667C2" w:rsidRPr="70251F0A">
        <w:rPr>
          <w:rFonts w:cs="Arial"/>
        </w:rPr>
        <w:t>, a</w:t>
      </w:r>
      <w:r w:rsidR="00F76A1B" w:rsidRPr="70251F0A">
        <w:rPr>
          <w:rFonts w:cs="Arial"/>
        </w:rPr>
        <w:t xml:space="preserve"> request for review </w:t>
      </w:r>
      <w:r w:rsidR="001667C2" w:rsidRPr="70251F0A">
        <w:rPr>
          <w:rFonts w:cs="Arial"/>
        </w:rPr>
        <w:t xml:space="preserve">from the </w:t>
      </w:r>
      <w:r w:rsidR="425B53AC" w:rsidRPr="70251F0A">
        <w:rPr>
          <w:rFonts w:cs="Arial"/>
        </w:rPr>
        <w:t>a</w:t>
      </w:r>
      <w:r w:rsidR="00F76A1B" w:rsidRPr="70251F0A">
        <w:rPr>
          <w:rFonts w:cs="Arial"/>
        </w:rPr>
        <w:t xml:space="preserve">llied </w:t>
      </w:r>
      <w:r w:rsidR="79EC35DD" w:rsidRPr="70251F0A">
        <w:rPr>
          <w:rFonts w:cs="Arial"/>
        </w:rPr>
        <w:t>h</w:t>
      </w:r>
      <w:r w:rsidR="00A36A89" w:rsidRPr="70251F0A">
        <w:rPr>
          <w:rFonts w:cs="Arial"/>
        </w:rPr>
        <w:t xml:space="preserve">ealth </w:t>
      </w:r>
      <w:r w:rsidR="001667C2" w:rsidRPr="70251F0A">
        <w:rPr>
          <w:rFonts w:cs="Arial"/>
        </w:rPr>
        <w:t>pr</w:t>
      </w:r>
      <w:r w:rsidR="00382D5D">
        <w:rPr>
          <w:rFonts w:cs="Arial"/>
        </w:rPr>
        <w:t>actitioner</w:t>
      </w:r>
      <w:r w:rsidR="001667C2" w:rsidRPr="70251F0A">
        <w:rPr>
          <w:rFonts w:cs="Arial"/>
        </w:rPr>
        <w:t xml:space="preserve"> </w:t>
      </w:r>
      <w:r w:rsidR="00F76A1B" w:rsidRPr="70251F0A">
        <w:rPr>
          <w:rFonts w:cs="Arial"/>
        </w:rPr>
        <w:t xml:space="preserve">will need to be provided to the consultant paediatrician or psychiatrist. </w:t>
      </w:r>
      <w:r w:rsidRPr="70251F0A">
        <w:rPr>
          <w:rFonts w:cs="Arial"/>
        </w:rPr>
        <w:t xml:space="preserve">An acceptable means of review includes a case conference, phone call, written correspondence, secure online messaging exchange, or attendance. </w:t>
      </w:r>
      <w:r w:rsidR="00F76A1B" w:rsidRPr="70251F0A">
        <w:rPr>
          <w:rFonts w:cs="Arial"/>
        </w:rPr>
        <w:t xml:space="preserve">Approval of the request can be provided in many forms of written communication such as </w:t>
      </w:r>
      <w:r w:rsidRPr="70251F0A">
        <w:rPr>
          <w:rFonts w:cs="Arial"/>
        </w:rPr>
        <w:t>written correspondence or secure online messaging exchange or documenting approval (given during a verbal exchange) in the patient’s notes.</w:t>
      </w:r>
    </w:p>
    <w:p w14:paraId="4841E9B2" w14:textId="77777777" w:rsidR="00171532" w:rsidRDefault="00171532" w:rsidP="00171532">
      <w:pPr>
        <w:spacing w:before="180" w:after="0" w:line="240" w:lineRule="auto"/>
        <w:rPr>
          <w:rFonts w:eastAsia="Times New Roman" w:cs="Arial"/>
          <w:b/>
          <w:bCs/>
          <w:color w:val="358189"/>
          <w:sz w:val="32"/>
          <w:szCs w:val="26"/>
        </w:rPr>
      </w:pPr>
      <w:r w:rsidRPr="00E93AFF">
        <w:rPr>
          <w:rFonts w:eastAsia="Times New Roman" w:cs="Arial"/>
          <w:b/>
          <w:bCs/>
          <w:color w:val="358189"/>
          <w:sz w:val="32"/>
          <w:szCs w:val="26"/>
        </w:rPr>
        <w:t>Can item 82000 be claimed if the child is not present?</w:t>
      </w:r>
    </w:p>
    <w:p w14:paraId="5FF547E5" w14:textId="21EEDA60" w:rsidR="00F76A1B" w:rsidRPr="00371934" w:rsidRDefault="00171532" w:rsidP="00F569B0">
      <w:pPr>
        <w:spacing w:after="0" w:line="300" w:lineRule="atLeast"/>
        <w:rPr>
          <w:rFonts w:cs="Arial"/>
        </w:rPr>
      </w:pPr>
      <w:r w:rsidRPr="00F569B0">
        <w:rPr>
          <w:rFonts w:cs="Arial"/>
        </w:rPr>
        <w:t>For a rebate to be provided for the service described under item 82000, it is a requirement that the service is provided to the patient individually and in person.</w:t>
      </w:r>
    </w:p>
    <w:p w14:paraId="7F25D0DA" w14:textId="481C215F" w:rsidR="00407649" w:rsidRPr="00371934" w:rsidRDefault="00407649" w:rsidP="00407649">
      <w:pPr>
        <w:pStyle w:val="Heading3"/>
      </w:pPr>
      <w:bookmarkStart w:id="23" w:name="_Toc151024560"/>
      <w:r>
        <w:t xml:space="preserve">Is it possible to </w:t>
      </w:r>
      <w:r w:rsidR="0054374A">
        <w:t xml:space="preserve">claim </w:t>
      </w:r>
      <w:r w:rsidR="53857EAE">
        <w:t>a</w:t>
      </w:r>
      <w:r>
        <w:t xml:space="preserve">llied </w:t>
      </w:r>
      <w:r w:rsidR="6B7D1ECB">
        <w:t>h</w:t>
      </w:r>
      <w:r>
        <w:t>ealth assessment items following a 135, 137, 139 or 289?</w:t>
      </w:r>
      <w:bookmarkEnd w:id="23"/>
    </w:p>
    <w:p w14:paraId="2EE8D3E3" w14:textId="17C689C3" w:rsidR="00407649" w:rsidRPr="00371934" w:rsidRDefault="00407649" w:rsidP="00407649">
      <w:pPr>
        <w:rPr>
          <w:rFonts w:cs="Arial"/>
        </w:rPr>
      </w:pPr>
      <w:r w:rsidRPr="00371934">
        <w:rPr>
          <w:rFonts w:cs="Arial"/>
        </w:rPr>
        <w:t xml:space="preserve">No, all Allied Health </w:t>
      </w:r>
      <w:r w:rsidR="00382E99" w:rsidRPr="00371934">
        <w:rPr>
          <w:rFonts w:cs="Arial"/>
        </w:rPr>
        <w:t>a</w:t>
      </w:r>
      <w:r w:rsidRPr="00371934">
        <w:rPr>
          <w:rFonts w:cs="Arial"/>
        </w:rPr>
        <w:t xml:space="preserve">ssessments under items (82000, 82005, 82010, 82030, 93032, 93040, 93033 or 93041) will need to be undertaken </w:t>
      </w:r>
      <w:r w:rsidRPr="00371934">
        <w:rPr>
          <w:rFonts w:cs="Arial"/>
          <w:b/>
          <w:bCs/>
        </w:rPr>
        <w:t>before</w:t>
      </w:r>
      <w:r w:rsidRPr="00371934">
        <w:rPr>
          <w:rFonts w:cs="Arial"/>
        </w:rPr>
        <w:t xml:space="preserve"> billing item 135. These requirements remain unchanged </w:t>
      </w:r>
      <w:r w:rsidR="00382E99" w:rsidRPr="00371934">
        <w:rPr>
          <w:rFonts w:cs="Arial"/>
        </w:rPr>
        <w:t>following the 1</w:t>
      </w:r>
      <w:r w:rsidR="00C605B8">
        <w:rPr>
          <w:rFonts w:cs="Arial"/>
        </w:rPr>
        <w:t> </w:t>
      </w:r>
      <w:r w:rsidR="00382E99" w:rsidRPr="00371934">
        <w:rPr>
          <w:rFonts w:cs="Arial"/>
        </w:rPr>
        <w:t>March</w:t>
      </w:r>
      <w:r w:rsidR="00C605B8">
        <w:rPr>
          <w:rFonts w:cs="Arial"/>
        </w:rPr>
        <w:t> </w:t>
      </w:r>
      <w:r w:rsidR="00382E99" w:rsidRPr="00371934">
        <w:rPr>
          <w:rFonts w:cs="Arial"/>
        </w:rPr>
        <w:t>2023 changes</w:t>
      </w:r>
      <w:r w:rsidRPr="00371934">
        <w:rPr>
          <w:rFonts w:cs="Arial"/>
        </w:rPr>
        <w:t xml:space="preserve">. </w:t>
      </w:r>
    </w:p>
    <w:p w14:paraId="35157618" w14:textId="7CB91D91" w:rsidR="00407649" w:rsidRPr="00371934" w:rsidRDefault="00407649" w:rsidP="00407649">
      <w:pPr>
        <w:rPr>
          <w:rFonts w:cs="Arial"/>
        </w:rPr>
      </w:pPr>
      <w:r w:rsidRPr="70251F0A">
        <w:rPr>
          <w:rFonts w:cs="Arial"/>
        </w:rPr>
        <w:t xml:space="preserve">The </w:t>
      </w:r>
      <w:r w:rsidR="2BC8F487" w:rsidRPr="70251F0A">
        <w:rPr>
          <w:rFonts w:cs="Arial"/>
        </w:rPr>
        <w:t>a</w:t>
      </w:r>
      <w:r w:rsidRPr="70251F0A">
        <w:rPr>
          <w:rFonts w:cs="Arial"/>
        </w:rPr>
        <w:t xml:space="preserve">llied </w:t>
      </w:r>
      <w:r w:rsidR="42B7C563" w:rsidRPr="70251F0A">
        <w:rPr>
          <w:rFonts w:cs="Arial"/>
        </w:rPr>
        <w:t>h</w:t>
      </w:r>
      <w:r w:rsidRPr="70251F0A">
        <w:rPr>
          <w:rFonts w:cs="Arial"/>
        </w:rPr>
        <w:t>ealth assessment items provide a dual purpose of either:</w:t>
      </w:r>
    </w:p>
    <w:p w14:paraId="29A06884" w14:textId="7B307505" w:rsidR="00FD3F60" w:rsidRPr="00371934" w:rsidRDefault="00407649" w:rsidP="00FD3F60">
      <w:pPr>
        <w:pStyle w:val="ListParagraph"/>
        <w:numPr>
          <w:ilvl w:val="0"/>
          <w:numId w:val="29"/>
        </w:numPr>
        <w:spacing w:before="0" w:after="0" w:line="240" w:lineRule="auto"/>
        <w:contextualSpacing w:val="0"/>
        <w:rPr>
          <w:rFonts w:cs="Arial"/>
          <w:sz w:val="20"/>
          <w:szCs w:val="20"/>
        </w:rPr>
      </w:pPr>
      <w:r w:rsidRPr="00371934">
        <w:rPr>
          <w:rFonts w:cs="Arial"/>
          <w:sz w:val="20"/>
          <w:szCs w:val="20"/>
        </w:rPr>
        <w:t xml:space="preserve">Contributing to the </w:t>
      </w:r>
      <w:r w:rsidR="00C14DC4" w:rsidRPr="00371934">
        <w:rPr>
          <w:rFonts w:cs="Arial"/>
          <w:sz w:val="20"/>
          <w:szCs w:val="20"/>
        </w:rPr>
        <w:t>d</w:t>
      </w:r>
      <w:r w:rsidRPr="00371934">
        <w:rPr>
          <w:rFonts w:cs="Arial"/>
          <w:sz w:val="20"/>
          <w:szCs w:val="20"/>
        </w:rPr>
        <w:t>iagnosis</w:t>
      </w:r>
      <w:r w:rsidR="00E75B14" w:rsidRPr="00371934">
        <w:rPr>
          <w:rFonts w:cs="Arial"/>
          <w:sz w:val="20"/>
          <w:szCs w:val="20"/>
        </w:rPr>
        <w:t>;</w:t>
      </w:r>
      <w:r w:rsidRPr="00371934">
        <w:rPr>
          <w:rFonts w:cs="Arial"/>
          <w:sz w:val="20"/>
          <w:szCs w:val="20"/>
        </w:rPr>
        <w:t xml:space="preserve"> </w:t>
      </w:r>
      <w:r w:rsidRPr="00371934">
        <w:rPr>
          <w:rFonts w:cs="Arial"/>
          <w:b/>
          <w:bCs/>
          <w:sz w:val="20"/>
          <w:szCs w:val="20"/>
        </w:rPr>
        <w:t>and/or</w:t>
      </w:r>
      <w:r w:rsidRPr="00371934">
        <w:rPr>
          <w:rFonts w:cs="Arial"/>
          <w:sz w:val="20"/>
          <w:szCs w:val="20"/>
        </w:rPr>
        <w:t xml:space="preserve"> </w:t>
      </w:r>
    </w:p>
    <w:p w14:paraId="19842CF7" w14:textId="4B7B2FC1" w:rsidR="00407649" w:rsidRPr="00371934" w:rsidRDefault="00407649" w:rsidP="00FD3F60">
      <w:pPr>
        <w:pStyle w:val="ListParagraph"/>
        <w:numPr>
          <w:ilvl w:val="0"/>
          <w:numId w:val="29"/>
        </w:numPr>
        <w:spacing w:before="0" w:after="0" w:line="240" w:lineRule="auto"/>
        <w:contextualSpacing w:val="0"/>
        <w:rPr>
          <w:rFonts w:cs="Arial"/>
          <w:sz w:val="20"/>
          <w:szCs w:val="20"/>
        </w:rPr>
      </w:pPr>
      <w:r w:rsidRPr="00371934">
        <w:rPr>
          <w:rFonts w:cs="Arial"/>
          <w:sz w:val="20"/>
          <w:szCs w:val="20"/>
        </w:rPr>
        <w:t xml:space="preserve">Where the diagnosis is confirmed, contributing to the treatment and management plan. </w:t>
      </w:r>
    </w:p>
    <w:p w14:paraId="4FE3EB89" w14:textId="77777777" w:rsidR="00FD3F60" w:rsidRPr="00371934" w:rsidRDefault="00FD3F60" w:rsidP="00FD3F60">
      <w:pPr>
        <w:pStyle w:val="ListParagraph"/>
        <w:spacing w:before="0" w:after="0" w:line="240" w:lineRule="auto"/>
        <w:ind w:left="1128"/>
        <w:contextualSpacing w:val="0"/>
        <w:rPr>
          <w:rFonts w:cs="Arial"/>
          <w:sz w:val="20"/>
          <w:szCs w:val="20"/>
        </w:rPr>
      </w:pPr>
    </w:p>
    <w:p w14:paraId="7EBDBD8B" w14:textId="5A76517B" w:rsidR="00407649" w:rsidRPr="00371934" w:rsidRDefault="00407649" w:rsidP="00407649">
      <w:pPr>
        <w:rPr>
          <w:rStyle w:val="normaltextrun"/>
          <w:rFonts w:cs="Arial"/>
          <w:color w:val="000000"/>
          <w:shd w:val="clear" w:color="auto" w:fill="FFFFFF"/>
        </w:rPr>
      </w:pPr>
      <w:r w:rsidRPr="00371934">
        <w:rPr>
          <w:rStyle w:val="normaltextrun"/>
          <w:rFonts w:cs="Arial"/>
          <w:color w:val="000000"/>
          <w:shd w:val="clear" w:color="auto" w:fill="FFFFFF"/>
        </w:rPr>
        <w:t xml:space="preserve">Where further information is required to assess support needs and finalise the treatment and management plan, even though the diagnosis is confirmed, the </w:t>
      </w:r>
      <w:r w:rsidR="1BCB6203" w:rsidRPr="00371934">
        <w:rPr>
          <w:rStyle w:val="normaltextrun"/>
          <w:rFonts w:cs="Arial"/>
          <w:color w:val="000000"/>
          <w:shd w:val="clear" w:color="auto" w:fill="FFFFFF"/>
        </w:rPr>
        <w:t>a</w:t>
      </w:r>
      <w:r w:rsidRPr="00371934">
        <w:rPr>
          <w:rStyle w:val="normaltextrun"/>
          <w:rFonts w:cs="Arial"/>
          <w:color w:val="000000"/>
          <w:shd w:val="clear" w:color="auto" w:fill="FFFFFF"/>
        </w:rPr>
        <w:t xml:space="preserve">llied </w:t>
      </w:r>
      <w:r w:rsidR="11D55C1B" w:rsidRPr="00371934">
        <w:rPr>
          <w:rStyle w:val="normaltextrun"/>
          <w:rFonts w:cs="Arial"/>
          <w:color w:val="000000"/>
          <w:shd w:val="clear" w:color="auto" w:fill="FFFFFF"/>
        </w:rPr>
        <w:t>h</w:t>
      </w:r>
      <w:r w:rsidRPr="00371934">
        <w:rPr>
          <w:rStyle w:val="normaltextrun"/>
          <w:rFonts w:cs="Arial"/>
          <w:color w:val="000000"/>
          <w:shd w:val="clear" w:color="auto" w:fill="FFFFFF"/>
        </w:rPr>
        <w:t>ealth assessment items would need to be claimed prior to billing 135 or 289.</w:t>
      </w:r>
    </w:p>
    <w:p w14:paraId="501D7814" w14:textId="77777777" w:rsidR="00407649" w:rsidRPr="00371934" w:rsidRDefault="00407649" w:rsidP="00407649">
      <w:pPr>
        <w:rPr>
          <w:rStyle w:val="normaltextrun"/>
          <w:rFonts w:cs="Arial"/>
          <w:color w:val="000000"/>
          <w:shd w:val="clear" w:color="auto" w:fill="FFFFFF"/>
        </w:rPr>
      </w:pPr>
      <w:r w:rsidRPr="00371934">
        <w:rPr>
          <w:rStyle w:val="normaltextrun"/>
          <w:rFonts w:cs="Arial"/>
          <w:color w:val="000000"/>
          <w:shd w:val="clear" w:color="auto" w:fill="FFFFFF"/>
        </w:rPr>
        <w:t>Where additional paediatrician consultations are required during this assessment phase, s</w:t>
      </w:r>
      <w:r w:rsidRPr="00371934">
        <w:rPr>
          <w:rFonts w:cs="Arial"/>
        </w:rPr>
        <w:t>tandard attendance items (110, 116, 119, 122, 128 or 131) can be used if further assessment is required by the paediatrician.</w:t>
      </w:r>
    </w:p>
    <w:p w14:paraId="15402EFE" w14:textId="1E635511" w:rsidR="00407649" w:rsidRPr="00371934" w:rsidRDefault="00407649" w:rsidP="00407649">
      <w:pPr>
        <w:rPr>
          <w:rStyle w:val="normaltextrun"/>
          <w:rFonts w:cs="Arial"/>
          <w:color w:val="000000"/>
          <w:shd w:val="clear" w:color="auto" w:fill="FFFFFF"/>
        </w:rPr>
      </w:pPr>
      <w:r w:rsidRPr="00371934">
        <w:rPr>
          <w:rStyle w:val="normaltextrun"/>
          <w:rFonts w:cs="Arial"/>
          <w:color w:val="000000"/>
          <w:shd w:val="clear" w:color="auto" w:fill="FFFFFF"/>
        </w:rPr>
        <w:t>It is important to note, item 135 or 289 should only be billed if a c</w:t>
      </w:r>
      <w:r w:rsidR="00C14DC4" w:rsidRPr="00371934">
        <w:rPr>
          <w:rStyle w:val="normaltextrun"/>
          <w:rFonts w:cs="Arial"/>
          <w:color w:val="000000"/>
          <w:shd w:val="clear" w:color="auto" w:fill="FFFFFF"/>
        </w:rPr>
        <w:t xml:space="preserve">omplex neurodevelopmental disorder </w:t>
      </w:r>
      <w:r w:rsidRPr="00371934">
        <w:rPr>
          <w:rStyle w:val="normaltextrun"/>
          <w:rFonts w:cs="Arial"/>
          <w:color w:val="000000"/>
          <w:shd w:val="clear" w:color="auto" w:fill="FFFFFF"/>
        </w:rPr>
        <w:t>diagnosis is confirmed</w:t>
      </w:r>
      <w:r w:rsidR="003B6664">
        <w:rPr>
          <w:rStyle w:val="normaltextrun"/>
          <w:rFonts w:cs="Arial"/>
          <w:color w:val="000000"/>
          <w:shd w:val="clear" w:color="auto" w:fill="FFFFFF"/>
        </w:rPr>
        <w:t>,</w:t>
      </w:r>
      <w:r w:rsidRPr="00371934">
        <w:rPr>
          <w:rStyle w:val="normaltextrun"/>
          <w:rFonts w:cs="Arial"/>
          <w:color w:val="000000"/>
          <w:shd w:val="clear" w:color="auto" w:fill="FFFFFF"/>
        </w:rPr>
        <w:t xml:space="preserve"> </w:t>
      </w:r>
      <w:r w:rsidR="00D933A7">
        <w:rPr>
          <w:rStyle w:val="normaltextrun"/>
          <w:rFonts w:cs="Arial"/>
          <w:b/>
          <w:bCs/>
          <w:color w:val="000000"/>
          <w:shd w:val="clear" w:color="auto" w:fill="FFFFFF"/>
        </w:rPr>
        <w:t>and</w:t>
      </w:r>
      <w:r w:rsidR="00D933A7" w:rsidRPr="00371934">
        <w:rPr>
          <w:rStyle w:val="normaltextrun"/>
          <w:rFonts w:cs="Arial"/>
          <w:color w:val="000000"/>
          <w:shd w:val="clear" w:color="auto" w:fill="FFFFFF"/>
        </w:rPr>
        <w:t xml:space="preserve"> </w:t>
      </w:r>
      <w:r w:rsidRPr="00371934">
        <w:rPr>
          <w:rStyle w:val="normaltextrun"/>
          <w:rFonts w:cs="Arial"/>
          <w:color w:val="000000"/>
          <w:shd w:val="clear" w:color="auto" w:fill="FFFFFF"/>
        </w:rPr>
        <w:t xml:space="preserve">a treatment and management plan is documented. </w:t>
      </w:r>
    </w:p>
    <w:p w14:paraId="7FF2AAE7" w14:textId="01FB77B2" w:rsidR="000B73B6" w:rsidRPr="00B310F9" w:rsidRDefault="000B73B6" w:rsidP="000B73B6">
      <w:pPr>
        <w:pStyle w:val="Heading3"/>
      </w:pPr>
      <w:bookmarkStart w:id="24" w:name="_Toc151024561"/>
      <w:bookmarkStart w:id="25" w:name="_Toc126675944"/>
      <w:r w:rsidRPr="001C2E75">
        <w:t>What is the process for making an interdisciplinary referral for allied health assessment items</w:t>
      </w:r>
      <w:r w:rsidR="004B2F0B" w:rsidRPr="001C2E75">
        <w:t>?</w:t>
      </w:r>
      <w:bookmarkEnd w:id="24"/>
      <w:r w:rsidRPr="00B310F9">
        <w:t xml:space="preserve"> </w:t>
      </w:r>
    </w:p>
    <w:p w14:paraId="116D1040" w14:textId="418EEE6F" w:rsidR="003D429B" w:rsidRPr="003D429B" w:rsidRDefault="00B03ED6" w:rsidP="70251F0A">
      <w:pPr>
        <w:pStyle w:val="subsection"/>
        <w:shd w:val="clear" w:color="auto" w:fill="FFFFFF" w:themeFill="background1"/>
        <w:spacing w:after="160" w:line="280" w:lineRule="exact"/>
        <w:ind w:left="0" w:firstLine="0"/>
        <w:rPr>
          <w:rFonts w:ascii="Arial" w:hAnsi="Arial" w:cs="Arial"/>
        </w:rPr>
      </w:pPr>
      <w:r w:rsidRPr="70251F0A">
        <w:rPr>
          <w:rFonts w:ascii="Arial" w:hAnsi="Arial" w:cs="Arial"/>
        </w:rPr>
        <w:t>A</w:t>
      </w:r>
      <w:r w:rsidR="000B73B6" w:rsidRPr="70251F0A">
        <w:rPr>
          <w:rFonts w:ascii="Arial" w:hAnsi="Arial" w:cs="Arial"/>
        </w:rPr>
        <w:t>n eligible allied health pr</w:t>
      </w:r>
      <w:r w:rsidR="00382D5D">
        <w:rPr>
          <w:rFonts w:ascii="Arial" w:hAnsi="Arial" w:cs="Arial"/>
        </w:rPr>
        <w:t>actitioner</w:t>
      </w:r>
      <w:r w:rsidR="000B73B6" w:rsidRPr="70251F0A">
        <w:rPr>
          <w:rFonts w:ascii="Arial" w:hAnsi="Arial" w:cs="Arial"/>
        </w:rPr>
        <w:t xml:space="preserve"> </w:t>
      </w:r>
      <w:r w:rsidRPr="70251F0A">
        <w:rPr>
          <w:rFonts w:ascii="Arial" w:hAnsi="Arial" w:cs="Arial"/>
        </w:rPr>
        <w:t xml:space="preserve">can </w:t>
      </w:r>
      <w:r w:rsidR="000B73B6" w:rsidRPr="70251F0A">
        <w:rPr>
          <w:rFonts w:ascii="Arial" w:hAnsi="Arial" w:cs="Arial"/>
        </w:rPr>
        <w:t xml:space="preserve">make an interdisciplinary referral </w:t>
      </w:r>
      <w:r w:rsidRPr="70251F0A">
        <w:rPr>
          <w:rFonts w:ascii="Arial" w:hAnsi="Arial" w:cs="Arial"/>
        </w:rPr>
        <w:t xml:space="preserve">where they have </w:t>
      </w:r>
      <w:r w:rsidR="004525E8" w:rsidRPr="70251F0A">
        <w:rPr>
          <w:rFonts w:ascii="Arial" w:hAnsi="Arial" w:cs="Arial"/>
        </w:rPr>
        <w:t xml:space="preserve">received a referral from an eligible medical practitioner, assessed the </w:t>
      </w:r>
      <w:r w:rsidRPr="70251F0A">
        <w:rPr>
          <w:rFonts w:ascii="Arial" w:hAnsi="Arial" w:cs="Arial"/>
        </w:rPr>
        <w:t xml:space="preserve">patient and determined that </w:t>
      </w:r>
      <w:r w:rsidR="000B73B6" w:rsidRPr="70251F0A">
        <w:rPr>
          <w:rFonts w:ascii="Arial" w:hAnsi="Arial" w:cs="Arial"/>
        </w:rPr>
        <w:t>another type of allied health pr</w:t>
      </w:r>
      <w:r w:rsidR="00847C32">
        <w:rPr>
          <w:rFonts w:ascii="Arial" w:hAnsi="Arial" w:cs="Arial"/>
        </w:rPr>
        <w:t>actitioner</w:t>
      </w:r>
      <w:r w:rsidR="000B73B6" w:rsidRPr="70251F0A">
        <w:rPr>
          <w:rFonts w:ascii="Arial" w:hAnsi="Arial" w:cs="Arial"/>
        </w:rPr>
        <w:t xml:space="preserve"> assessment is required</w:t>
      </w:r>
      <w:r w:rsidR="004525E8" w:rsidRPr="70251F0A">
        <w:rPr>
          <w:rFonts w:ascii="Arial" w:hAnsi="Arial" w:cs="Arial"/>
        </w:rPr>
        <w:t xml:space="preserve">. </w:t>
      </w:r>
      <w:r w:rsidR="00BC16CD" w:rsidRPr="70251F0A">
        <w:rPr>
          <w:rFonts w:ascii="Arial" w:hAnsi="Arial" w:cs="Arial"/>
        </w:rPr>
        <w:t xml:space="preserve">The referral </w:t>
      </w:r>
      <w:r w:rsidR="003D429B" w:rsidRPr="70251F0A">
        <w:rPr>
          <w:rFonts w:ascii="Arial" w:hAnsi="Arial" w:cs="Arial"/>
        </w:rPr>
        <w:t xml:space="preserve">of the patient to another eligible allied health </w:t>
      </w:r>
      <w:r w:rsidR="00847C32" w:rsidRPr="70251F0A">
        <w:rPr>
          <w:rFonts w:ascii="Arial" w:hAnsi="Arial" w:cs="Arial"/>
        </w:rPr>
        <w:t>pr</w:t>
      </w:r>
      <w:r w:rsidR="00847C32">
        <w:rPr>
          <w:rFonts w:ascii="Arial" w:hAnsi="Arial" w:cs="Arial"/>
        </w:rPr>
        <w:t>actitioner</w:t>
      </w:r>
      <w:r w:rsidR="003D429B" w:rsidRPr="70251F0A">
        <w:rPr>
          <w:rFonts w:ascii="Arial" w:hAnsi="Arial" w:cs="Arial"/>
        </w:rPr>
        <w:t xml:space="preserve"> must be undertaken in consultation and agreement with, but without the need for a physical attendance by, the original referring eligible medical practitioner (such as but not limited to, a phone call, written correspondence or secure online messaging exchange). This consultation and agreement should be documented in the patient notes by the eligible allied health practitioner and included in the interdisciplinary referral. The referral may be a letter or note to an eligible allied health practitioner, signed and dated by the referring eligible allied health </w:t>
      </w:r>
      <w:r w:rsidR="003D429B" w:rsidRPr="70251F0A">
        <w:rPr>
          <w:rFonts w:ascii="Arial" w:hAnsi="Arial" w:cs="Arial"/>
        </w:rPr>
        <w:lastRenderedPageBreak/>
        <w:t>practitioner. There is no specific form to refer patients for these services. The referral should include a copy of the original referral by the eligible medical practitioner.</w:t>
      </w:r>
    </w:p>
    <w:p w14:paraId="30F6572A" w14:textId="2AF582FC" w:rsidR="00AF3F94" w:rsidRPr="00451A74" w:rsidRDefault="00AF3F94" w:rsidP="00084886">
      <w:pPr>
        <w:rPr>
          <w:rFonts w:cs="Arial"/>
        </w:rPr>
      </w:pPr>
      <w:r w:rsidRPr="00451A74">
        <w:rPr>
          <w:rFonts w:cs="Arial"/>
        </w:rPr>
        <w:t>In</w:t>
      </w:r>
      <w:r w:rsidRPr="00451A74">
        <w:t>terdisciplinary referrals will only be valid where the referring eligible medical practitioner’s referral (whose original referral initiated the assessment and assisting with a diagnosis service/contribution to a treatment and management plan) remains valid.</w:t>
      </w:r>
      <w:r w:rsidR="001136C1" w:rsidRPr="00451A74">
        <w:t xml:space="preserve"> </w:t>
      </w:r>
    </w:p>
    <w:p w14:paraId="6E21C491" w14:textId="0DBD5E45" w:rsidR="00AD2617" w:rsidRPr="00371934" w:rsidRDefault="00AD2617" w:rsidP="00F569B0">
      <w:pPr>
        <w:pStyle w:val="Heading2"/>
        <w:spacing w:before="120"/>
      </w:pPr>
      <w:bookmarkStart w:id="26" w:name="_Toc126675952"/>
      <w:bookmarkStart w:id="27" w:name="_Toc151024562"/>
      <w:bookmarkEnd w:id="25"/>
      <w:r w:rsidRPr="00371934">
        <w:t>Where can I find more information?</w:t>
      </w:r>
      <w:bookmarkEnd w:id="26"/>
      <w:bookmarkEnd w:id="27"/>
    </w:p>
    <w:p w14:paraId="6983F732" w14:textId="77777777" w:rsidR="00A92EA5" w:rsidRPr="00867595" w:rsidRDefault="00A92EA5" w:rsidP="00A92EA5">
      <w:pPr>
        <w:rPr>
          <w:szCs w:val="22"/>
        </w:rPr>
      </w:pPr>
      <w:r w:rsidRPr="00867595">
        <w:rPr>
          <w:szCs w:val="22"/>
        </w:rPr>
        <w:t xml:space="preserve">The full item descriptor(s) and information on other changes to the MBS can be found on the MBS Online website at </w:t>
      </w:r>
      <w:hyperlink r:id="rId24"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25" w:history="1">
        <w:r w:rsidRPr="00867595">
          <w:rPr>
            <w:rStyle w:val="Hyperlink"/>
            <w:szCs w:val="22"/>
          </w:rPr>
          <w:t>MBS Online</w:t>
        </w:r>
      </w:hyperlink>
      <w:r w:rsidRPr="00867595">
        <w:rPr>
          <w:szCs w:val="22"/>
        </w:rPr>
        <w:t xml:space="preserve"> and clicking ‘Subscribe’. </w:t>
      </w:r>
    </w:p>
    <w:p w14:paraId="06AF2DE9" w14:textId="711E48ED" w:rsidR="00A92EA5" w:rsidRDefault="00A92EA5" w:rsidP="00A92EA5">
      <w:pPr>
        <w:rPr>
          <w:szCs w:val="22"/>
        </w:rPr>
      </w:pPr>
      <w:r w:rsidRPr="00867595">
        <w:rPr>
          <w:szCs w:val="22"/>
        </w:rPr>
        <w:t xml:space="preserve">The Department of Health </w:t>
      </w:r>
      <w:r>
        <w:rPr>
          <w:szCs w:val="22"/>
        </w:rPr>
        <w:t>and Aged Care</w:t>
      </w:r>
      <w:r w:rsidR="00165768">
        <w:rPr>
          <w:szCs w:val="22"/>
        </w:rPr>
        <w:t xml:space="preserve"> (the Department)</w:t>
      </w:r>
      <w:r>
        <w:rPr>
          <w:szCs w:val="22"/>
        </w:rPr>
        <w:t xml:space="preserve"> </w:t>
      </w:r>
      <w:r w:rsidRPr="00867595">
        <w:rPr>
          <w:szCs w:val="22"/>
        </w:rPr>
        <w:t xml:space="preserve">provides an email advice service for providers seeking advice on interpretation of the MBS items and rules and the </w:t>
      </w:r>
      <w:r w:rsidRPr="00E71492">
        <w:rPr>
          <w:i/>
          <w:iCs/>
          <w:szCs w:val="22"/>
        </w:rPr>
        <w:t>Health Insurance Act 1973</w:t>
      </w:r>
      <w:r w:rsidRPr="00867595">
        <w:rPr>
          <w:szCs w:val="22"/>
        </w:rPr>
        <w:t xml:space="preserve"> and associated regulations. If you have a query relating exclusively to interpretation of the Schedule, you should email </w:t>
      </w:r>
      <w:hyperlink r:id="rId26" w:history="1">
        <w:r w:rsidRPr="00867595">
          <w:rPr>
            <w:rStyle w:val="Hyperlink"/>
            <w:szCs w:val="22"/>
          </w:rPr>
          <w:t>askMBS@health.gov.au</w:t>
        </w:r>
      </w:hyperlink>
      <w:r w:rsidRPr="00867595">
        <w:rPr>
          <w:szCs w:val="22"/>
        </w:rPr>
        <w:t>.</w:t>
      </w:r>
    </w:p>
    <w:p w14:paraId="0980E79D" w14:textId="77777777" w:rsidR="00A92EA5" w:rsidRDefault="00A92EA5" w:rsidP="00A92EA5">
      <w:r>
        <w:t xml:space="preserve">Private health insurance information on the product tier arrangements is available at </w:t>
      </w:r>
      <w:hyperlink r:id="rId27" w:history="1">
        <w:r>
          <w:rPr>
            <w:rStyle w:val="Hyperlink"/>
          </w:rPr>
          <w:t>www.privatehealth.gov.au</w:t>
        </w:r>
      </w:hyperlink>
      <w:r>
        <w:t xml:space="preserve">. Detailed information on the MBS item listing within clinical categories is available on the </w:t>
      </w:r>
      <w:hyperlink r:id="rId28"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29" w:history="1">
        <w:r w:rsidRPr="005E2D76">
          <w:rPr>
            <w:rStyle w:val="Hyperlink"/>
            <w:iCs/>
          </w:rPr>
          <w:t>Federal Register of Legislation</w:t>
        </w:r>
      </w:hyperlink>
      <w:r>
        <w:t xml:space="preserve">. If you have a query in relation to private health insurance, you should email </w:t>
      </w:r>
      <w:hyperlink r:id="rId30" w:history="1">
        <w:r>
          <w:rPr>
            <w:rStyle w:val="Hyperlink"/>
          </w:rPr>
          <w:t>PHI@health.gov.au</w:t>
        </w:r>
      </w:hyperlink>
      <w:r>
        <w:t>.</w:t>
      </w:r>
    </w:p>
    <w:p w14:paraId="31422CB5" w14:textId="77777777" w:rsidR="00A92EA5" w:rsidRPr="00867595" w:rsidRDefault="00A92EA5" w:rsidP="00A92EA5">
      <w:pPr>
        <w:rPr>
          <w:szCs w:val="22"/>
        </w:rPr>
      </w:pPr>
      <w:r w:rsidRPr="00867595">
        <w:rPr>
          <w:szCs w:val="22"/>
        </w:rPr>
        <w:t>Subscribe to ‘</w:t>
      </w:r>
      <w:hyperlink r:id="rId31" w:history="1">
        <w:r w:rsidRPr="00867595">
          <w:rPr>
            <w:rStyle w:val="Hyperlink"/>
            <w:szCs w:val="22"/>
          </w:rPr>
          <w:t>News for Health Professionals</w:t>
        </w:r>
      </w:hyperlink>
      <w:r w:rsidRPr="00867595">
        <w:rPr>
          <w:szCs w:val="22"/>
        </w:rPr>
        <w:t>’ on the Services Australia website and you will receive regular news highlights.</w:t>
      </w:r>
    </w:p>
    <w:p w14:paraId="52B9D7D8" w14:textId="77777777" w:rsidR="00A92EA5" w:rsidRDefault="00A92EA5" w:rsidP="00A92EA5">
      <w:pPr>
        <w:rPr>
          <w:szCs w:val="22"/>
        </w:rPr>
      </w:pPr>
      <w:r w:rsidRPr="00867595">
        <w:rPr>
          <w:szCs w:val="22"/>
        </w:rPr>
        <w:t xml:space="preserve">If you are seeking advice in relation to Medicare billing, claiming, payments, or obtaining a provider number, please </w:t>
      </w:r>
      <w:bookmarkStart w:id="28" w:name="_Hlk7773414"/>
      <w:r w:rsidRPr="00867595">
        <w:rPr>
          <w:szCs w:val="22"/>
        </w:rPr>
        <w:t xml:space="preserve">go to the Health Professionals page on the Services Australia website or </w:t>
      </w:r>
      <w:bookmarkEnd w:id="28"/>
      <w:r w:rsidRPr="00867595">
        <w:rPr>
          <w:szCs w:val="22"/>
        </w:rPr>
        <w:t xml:space="preserve">contact the Services Australia on the Provider Enquiry Line – 13 21 50. </w:t>
      </w:r>
    </w:p>
    <w:p w14:paraId="3E9A6D3C" w14:textId="77777777" w:rsidR="00A92EA5" w:rsidRPr="00867595" w:rsidRDefault="00A92EA5" w:rsidP="00A92EA5">
      <w:pPr>
        <w:rPr>
          <w:szCs w:val="22"/>
        </w:rPr>
      </w:pPr>
      <w:r w:rsidRPr="00867595">
        <w:rPr>
          <w:szCs w:val="22"/>
        </w:rPr>
        <w:t xml:space="preserve">The data file for software vendors when available can be accessed via the </w:t>
      </w:r>
      <w:hyperlink r:id="rId32" w:history="1">
        <w:r w:rsidRPr="00867595">
          <w:rPr>
            <w:rStyle w:val="Hyperlink"/>
            <w:szCs w:val="22"/>
          </w:rPr>
          <w:t>Downloads</w:t>
        </w:r>
      </w:hyperlink>
      <w:r w:rsidRPr="00867595">
        <w:rPr>
          <w:szCs w:val="22"/>
        </w:rPr>
        <w:t xml:space="preserve"> page.</w:t>
      </w:r>
    </w:p>
    <w:p w14:paraId="4FDCBF02" w14:textId="77777777" w:rsidR="00E93851" w:rsidRPr="009A0BEE" w:rsidRDefault="00E93851" w:rsidP="00E93851">
      <w:pPr>
        <w:spacing w:line="276" w:lineRule="auto"/>
        <w:rPr>
          <w:rFonts w:eastAsia="Times New Roman" w:cs="Times New Roman"/>
          <w:color w:val="000000" w:themeColor="text1"/>
          <w:sz w:val="22"/>
          <w:szCs w:val="24"/>
        </w:rPr>
      </w:pPr>
    </w:p>
    <w:p w14:paraId="629883F2" w14:textId="77777777" w:rsidR="00E93851" w:rsidRPr="002441E3" w:rsidRDefault="00E93851" w:rsidP="00E93851">
      <w:pPr>
        <w:pBdr>
          <w:top w:val="single" w:sz="12" w:space="1" w:color="358189" w:themeColor="accent2"/>
          <w:bottom w:val="single" w:sz="12" w:space="1" w:color="358189" w:themeColor="accent2"/>
        </w:pBdr>
        <w:shd w:val="clear" w:color="auto" w:fill="D0EAED" w:themeFill="accent2" w:themeFillTint="33"/>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00ABB0D" w14:textId="77777777" w:rsidR="00E93851" w:rsidRPr="002441E3" w:rsidRDefault="00E93851" w:rsidP="00E93851">
      <w:pPr>
        <w:pBdr>
          <w:top w:val="single" w:sz="12" w:space="1" w:color="358189" w:themeColor="accent2"/>
          <w:bottom w:val="single" w:sz="12" w:space="1" w:color="358189" w:themeColor="accent2"/>
        </w:pBdr>
        <w:shd w:val="clear" w:color="auto" w:fill="D0EAED" w:themeFill="accent2" w:themeFillTint="33"/>
        <w:ind w:left="567" w:right="1394"/>
        <w:rPr>
          <w:b/>
          <w:sz w:val="16"/>
          <w:szCs w:val="16"/>
        </w:rPr>
      </w:pPr>
      <w:r w:rsidRPr="002441E3">
        <w:rPr>
          <w:b/>
          <w:sz w:val="16"/>
          <w:szCs w:val="16"/>
        </w:rPr>
        <w:t>This sheet is current as of the Last updated date shown above and does not account for MBS changes since that date.</w:t>
      </w:r>
    </w:p>
    <w:p w14:paraId="3BE96EC7" w14:textId="0B2970E5" w:rsidR="009040E9" w:rsidRPr="00F569B0" w:rsidRDefault="009040E9" w:rsidP="00E93851">
      <w:pPr>
        <w:pStyle w:val="Disclaimer"/>
        <w:ind w:right="139"/>
        <w:rPr>
          <w:rFonts w:cs="Arial"/>
        </w:rPr>
      </w:pPr>
    </w:p>
    <w:sectPr w:rsidR="009040E9" w:rsidRPr="00F569B0" w:rsidSect="007876C6">
      <w:headerReference w:type="default" r:id="rId33"/>
      <w:footerReference w:type="default" r:id="rId34"/>
      <w:headerReference w:type="first" r:id="rId35"/>
      <w:footerReference w:type="first" r:id="rId36"/>
      <w:type w:val="continuous"/>
      <w:pgSz w:w="11906" w:h="16838"/>
      <w:pgMar w:top="1701" w:right="1133" w:bottom="141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38D2" w14:textId="77777777" w:rsidR="006A03FC" w:rsidRDefault="006A03FC" w:rsidP="006B56BB">
      <w:r>
        <w:separator/>
      </w:r>
    </w:p>
    <w:p w14:paraId="324A9B5E" w14:textId="77777777" w:rsidR="006A03FC" w:rsidRDefault="006A03FC"/>
  </w:endnote>
  <w:endnote w:type="continuationSeparator" w:id="0">
    <w:p w14:paraId="297E0153" w14:textId="77777777" w:rsidR="006A03FC" w:rsidRDefault="006A03FC" w:rsidP="006B56BB">
      <w:r>
        <w:continuationSeparator/>
      </w:r>
    </w:p>
    <w:p w14:paraId="62059E4C" w14:textId="77777777" w:rsidR="006A03FC" w:rsidRDefault="006A03FC"/>
  </w:endnote>
  <w:endnote w:type="continuationNotice" w:id="1">
    <w:p w14:paraId="0E2834FD" w14:textId="77777777" w:rsidR="006A03FC" w:rsidRDefault="006A0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8325D9" w:rsidP="00F51321">
    <w:pPr>
      <w:pStyle w:val="Footer"/>
      <w:jc w:val="left"/>
    </w:pPr>
    <w:r>
      <w:rPr>
        <w:rStyle w:val="BookTitle"/>
        <w:rFonts w:eastAsiaTheme="minorEastAsia"/>
        <w:noProof/>
      </w:rPr>
      <w:pict w14:anchorId="79578A0C">
        <v:rect id="_x0000_i1026" style="width:523.3pt;height:1.9pt" o:hralign="center" o:hrstd="t" o:hr="t" fillcolor="#a0a0a0" stroked="f"/>
      </w:pict>
    </w:r>
    <w:r w:rsidR="00F51321">
      <w:t>Medicare Benefits Schedule</w:t>
    </w:r>
  </w:p>
  <w:p w14:paraId="1EBE15CC" w14:textId="54F20626" w:rsidR="00F51321" w:rsidRDefault="00187ECD" w:rsidP="00F51321">
    <w:pPr>
      <w:pStyle w:val="Footer"/>
      <w:tabs>
        <w:tab w:val="clear" w:pos="9026"/>
        <w:tab w:val="right" w:pos="10466"/>
      </w:tabs>
    </w:pPr>
    <w:r>
      <w:rPr>
        <w:b/>
      </w:rPr>
      <w:t xml:space="preserve">Complex </w:t>
    </w:r>
    <w:r w:rsidR="00C401FA">
      <w:rPr>
        <w:b/>
      </w:rPr>
      <w:t>n</w:t>
    </w:r>
    <w:r>
      <w:rPr>
        <w:b/>
      </w:rPr>
      <w:t xml:space="preserve">eurodevelopmental </w:t>
    </w:r>
    <w:r w:rsidR="00C401FA">
      <w:rPr>
        <w:b/>
      </w:rPr>
      <w:t>d</w:t>
    </w:r>
    <w:r>
      <w:rPr>
        <w:b/>
      </w:rPr>
      <w:t>isorder and eligible disability FAQs</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8325D9" w:rsidP="00F51321">
    <w:pPr>
      <w:pStyle w:val="Footer"/>
      <w:jc w:val="left"/>
      <w:rPr>
        <w:rStyle w:val="Hyperlink"/>
        <w:szCs w:val="18"/>
      </w:rPr>
    </w:pPr>
    <w:hyperlink r:id="rId1" w:history="1">
      <w:r w:rsidR="00F51321" w:rsidRPr="00E863C4">
        <w:rPr>
          <w:rStyle w:val="Hyperlink"/>
          <w:szCs w:val="18"/>
        </w:rPr>
        <w:t>MBS Online</w:t>
      </w:r>
    </w:hyperlink>
  </w:p>
  <w:p w14:paraId="0D093570" w14:textId="1BBEA8A2" w:rsidR="00F51321" w:rsidRPr="009B32BA" w:rsidRDefault="70251F0A" w:rsidP="00F51321">
    <w:pPr>
      <w:pStyle w:val="Footer"/>
      <w:jc w:val="left"/>
    </w:pPr>
    <w:r>
      <w:t xml:space="preserve">Last updated – </w:t>
    </w:r>
    <w:r w:rsidR="00E93851">
      <w:t xml:space="preserve">16 November </w:t>
    </w:r>
    <w:r>
      <w:t>2023</w:t>
    </w:r>
  </w:p>
  <w:p w14:paraId="78B91981" w14:textId="77777777" w:rsidR="00ED126C" w:rsidRPr="00F51321" w:rsidRDefault="00ED126C"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325D9" w:rsidP="00064168">
    <w:pPr>
      <w:pStyle w:val="Footer"/>
      <w:jc w:val="left"/>
    </w:pPr>
    <w:r>
      <w:rPr>
        <w:rStyle w:val="BookTitle"/>
        <w:rFonts w:eastAsiaTheme="minorEastAsia"/>
        <w:noProof/>
      </w:rPr>
      <w:pict w14:anchorId="1DB3991B">
        <v:rect id="_x0000_i1027" style="width:523.3pt;height:1.9pt" o:hralign="center" o:hrstd="t" o:hr="t" fillcolor="#a0a0a0" stroked="f"/>
      </w:pict>
    </w:r>
    <w:r w:rsidR="00064168">
      <w:t>Medicare Benefits Schedule</w:t>
    </w:r>
  </w:p>
  <w:p w14:paraId="7DCCE2B2" w14:textId="169F7F66" w:rsidR="00064168" w:rsidRDefault="00187ECD" w:rsidP="00064168">
    <w:pPr>
      <w:pStyle w:val="Footer"/>
      <w:tabs>
        <w:tab w:val="clear" w:pos="9026"/>
        <w:tab w:val="right" w:pos="10466"/>
      </w:tabs>
    </w:pPr>
    <w:r>
      <w:rPr>
        <w:b/>
      </w:rPr>
      <w:t xml:space="preserve">Complex </w:t>
    </w:r>
    <w:r w:rsidR="00C401FA">
      <w:rPr>
        <w:b/>
      </w:rPr>
      <w:t>n</w:t>
    </w:r>
    <w:r>
      <w:rPr>
        <w:b/>
      </w:rPr>
      <w:t xml:space="preserve">eurodevelopmental </w:t>
    </w:r>
    <w:r w:rsidR="00C401FA">
      <w:rPr>
        <w:b/>
      </w:rPr>
      <w:t>d</w:t>
    </w:r>
    <w:r>
      <w:rPr>
        <w:b/>
      </w:rPr>
      <w:t>isorder and eligible disability FAQs</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8325D9" w:rsidP="00064168">
    <w:pPr>
      <w:pStyle w:val="Footer"/>
      <w:jc w:val="left"/>
      <w:rPr>
        <w:rStyle w:val="Hyperlink"/>
        <w:szCs w:val="18"/>
      </w:rPr>
    </w:pPr>
    <w:hyperlink r:id="rId1" w:history="1">
      <w:r w:rsidR="00064168" w:rsidRPr="00E863C4">
        <w:rPr>
          <w:rStyle w:val="Hyperlink"/>
          <w:szCs w:val="18"/>
        </w:rPr>
        <w:t>MBS Online</w:t>
      </w:r>
    </w:hyperlink>
  </w:p>
  <w:p w14:paraId="03585E81" w14:textId="0812B415" w:rsidR="00064168" w:rsidRPr="009B32BA" w:rsidRDefault="00064168" w:rsidP="00064168">
    <w:pPr>
      <w:pStyle w:val="Footer"/>
      <w:jc w:val="left"/>
      <w:rPr>
        <w:szCs w:val="18"/>
      </w:rPr>
    </w:pPr>
    <w:r w:rsidRPr="00870B05">
      <w:t>Last updated</w:t>
    </w:r>
    <w:r>
      <w:t xml:space="preserve"> – </w:t>
    </w:r>
    <w:r w:rsidR="00E93851">
      <w:t>16 November</w:t>
    </w:r>
    <w:r w:rsidR="00187ECD">
      <w:t xml:space="preserve"> 2023</w:t>
    </w:r>
  </w:p>
  <w:p w14:paraId="2964AB57" w14:textId="77777777" w:rsidR="00ED126C" w:rsidRPr="00064168" w:rsidRDefault="00ED126C"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7146" w14:textId="77777777" w:rsidR="006A03FC" w:rsidRDefault="006A03FC" w:rsidP="006B56BB">
      <w:r>
        <w:separator/>
      </w:r>
    </w:p>
    <w:p w14:paraId="5BE335BD" w14:textId="77777777" w:rsidR="006A03FC" w:rsidRDefault="006A03FC"/>
  </w:footnote>
  <w:footnote w:type="continuationSeparator" w:id="0">
    <w:p w14:paraId="041159F4" w14:textId="77777777" w:rsidR="006A03FC" w:rsidRDefault="006A03FC" w:rsidP="006B56BB">
      <w:r>
        <w:continuationSeparator/>
      </w:r>
    </w:p>
    <w:p w14:paraId="28B48B08" w14:textId="77777777" w:rsidR="006A03FC" w:rsidRDefault="006A03FC"/>
  </w:footnote>
  <w:footnote w:type="continuationNotice" w:id="1">
    <w:p w14:paraId="785827FB" w14:textId="77777777" w:rsidR="006A03FC" w:rsidRDefault="006A0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6" name="Picture 1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2277FF"/>
    <w:multiLevelType w:val="hybridMultilevel"/>
    <w:tmpl w:val="C1F420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1080" w:hanging="360"/>
      </w:pPr>
      <w:rPr>
        <w:rFonts w:ascii="Symbol" w:hAnsi="Symbol" w:hint="default"/>
      </w:rPr>
    </w:lvl>
    <w:lvl w:ilvl="4" w:tplc="0C090003">
      <w:start w:val="1"/>
      <w:numFmt w:val="bullet"/>
      <w:lvlText w:val="o"/>
      <w:lvlJc w:val="left"/>
      <w:pPr>
        <w:ind w:left="1800" w:hanging="360"/>
      </w:pPr>
      <w:rPr>
        <w:rFonts w:ascii="Courier New" w:hAnsi="Courier New" w:cs="Courier New" w:hint="default"/>
      </w:rPr>
    </w:lvl>
    <w:lvl w:ilvl="5" w:tplc="0C090005">
      <w:start w:val="1"/>
      <w:numFmt w:val="bullet"/>
      <w:lvlText w:val=""/>
      <w:lvlJc w:val="left"/>
      <w:pPr>
        <w:ind w:left="2520" w:hanging="360"/>
      </w:pPr>
      <w:rPr>
        <w:rFonts w:ascii="Wingdings" w:hAnsi="Wingdings" w:hint="default"/>
      </w:rPr>
    </w:lvl>
    <w:lvl w:ilvl="6" w:tplc="0C090001">
      <w:start w:val="1"/>
      <w:numFmt w:val="bullet"/>
      <w:lvlText w:val=""/>
      <w:lvlJc w:val="left"/>
      <w:pPr>
        <w:ind w:left="3240" w:hanging="360"/>
      </w:pPr>
      <w:rPr>
        <w:rFonts w:ascii="Symbol" w:hAnsi="Symbol" w:hint="default"/>
      </w:rPr>
    </w:lvl>
    <w:lvl w:ilvl="7" w:tplc="0C090003">
      <w:start w:val="1"/>
      <w:numFmt w:val="bullet"/>
      <w:lvlText w:val="o"/>
      <w:lvlJc w:val="left"/>
      <w:pPr>
        <w:ind w:left="3960" w:hanging="360"/>
      </w:pPr>
      <w:rPr>
        <w:rFonts w:ascii="Courier New" w:hAnsi="Courier New" w:cs="Courier New" w:hint="default"/>
      </w:rPr>
    </w:lvl>
    <w:lvl w:ilvl="8" w:tplc="0C090005">
      <w:start w:val="1"/>
      <w:numFmt w:val="bullet"/>
      <w:lvlText w:val=""/>
      <w:lvlJc w:val="left"/>
      <w:pPr>
        <w:ind w:left="46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A503BA"/>
    <w:multiLevelType w:val="hybridMultilevel"/>
    <w:tmpl w:val="49BAB92A"/>
    <w:lvl w:ilvl="0" w:tplc="E14CDBB4">
      <w:start w:val="1"/>
      <w:numFmt w:val="bullet"/>
      <w:lvlText w:val=""/>
      <w:lvlJc w:val="left"/>
      <w:pPr>
        <w:ind w:left="720" w:hanging="360"/>
      </w:pPr>
      <w:rPr>
        <w:rFonts w:ascii="Symbol" w:hAnsi="Symbol" w:hint="default"/>
        <w:color w:val="000000"/>
        <w:sz w:val="22"/>
        <w:szCs w:val="22"/>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6655F5"/>
    <w:multiLevelType w:val="hybridMultilevel"/>
    <w:tmpl w:val="D6A2BA6E"/>
    <w:lvl w:ilvl="0" w:tplc="FFFFFFFF">
      <w:start w:val="19"/>
      <w:numFmt w:val="bullet"/>
      <w:lvlText w:val="-"/>
      <w:lvlJc w:val="left"/>
      <w:pPr>
        <w:ind w:left="1080" w:hanging="360"/>
      </w:pPr>
      <w:rPr>
        <w:rFonts w:ascii="Arial" w:eastAsiaTheme="minorEastAsia" w:hAnsi="Arial" w:cs="Arial" w:hint="default"/>
      </w:rPr>
    </w:lvl>
    <w:lvl w:ilvl="1" w:tplc="70A00ECA">
      <w:start w:val="19"/>
      <w:numFmt w:val="bullet"/>
      <w:lvlText w:val="-"/>
      <w:lvlJc w:val="left"/>
      <w:pPr>
        <w:ind w:left="1800" w:hanging="360"/>
      </w:pPr>
      <w:rPr>
        <w:rFonts w:ascii="Arial" w:eastAsiaTheme="minorEastAsia"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355D9C"/>
    <w:multiLevelType w:val="hybridMultilevel"/>
    <w:tmpl w:val="FE5A7E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9F93C1F"/>
    <w:multiLevelType w:val="hybridMultilevel"/>
    <w:tmpl w:val="4560C0A0"/>
    <w:lvl w:ilvl="0" w:tplc="0C090001">
      <w:start w:val="1"/>
      <w:numFmt w:val="bullet"/>
      <w:lvlText w:val=""/>
      <w:lvlJc w:val="left"/>
      <w:pPr>
        <w:ind w:left="1128" w:hanging="360"/>
      </w:pPr>
      <w:rPr>
        <w:rFonts w:ascii="Symbol" w:hAnsi="Symbol" w:hint="default"/>
      </w:rPr>
    </w:lvl>
    <w:lvl w:ilvl="1" w:tplc="0C090003">
      <w:start w:val="1"/>
      <w:numFmt w:val="bullet"/>
      <w:lvlText w:val="o"/>
      <w:lvlJc w:val="left"/>
      <w:pPr>
        <w:ind w:left="1848" w:hanging="360"/>
      </w:pPr>
      <w:rPr>
        <w:rFonts w:ascii="Courier New" w:hAnsi="Courier New" w:cs="Courier New" w:hint="default"/>
      </w:rPr>
    </w:lvl>
    <w:lvl w:ilvl="2" w:tplc="0C090005">
      <w:start w:val="1"/>
      <w:numFmt w:val="bullet"/>
      <w:lvlText w:val=""/>
      <w:lvlJc w:val="left"/>
      <w:pPr>
        <w:ind w:left="2568" w:hanging="360"/>
      </w:pPr>
      <w:rPr>
        <w:rFonts w:ascii="Wingdings" w:hAnsi="Wingdings" w:hint="default"/>
      </w:rPr>
    </w:lvl>
    <w:lvl w:ilvl="3" w:tplc="0C090001">
      <w:start w:val="1"/>
      <w:numFmt w:val="bullet"/>
      <w:lvlText w:val=""/>
      <w:lvlJc w:val="left"/>
      <w:pPr>
        <w:ind w:left="3288" w:hanging="360"/>
      </w:pPr>
      <w:rPr>
        <w:rFonts w:ascii="Symbol" w:hAnsi="Symbol" w:hint="default"/>
      </w:rPr>
    </w:lvl>
    <w:lvl w:ilvl="4" w:tplc="0C090003">
      <w:start w:val="1"/>
      <w:numFmt w:val="bullet"/>
      <w:lvlText w:val="o"/>
      <w:lvlJc w:val="left"/>
      <w:pPr>
        <w:ind w:left="4008" w:hanging="360"/>
      </w:pPr>
      <w:rPr>
        <w:rFonts w:ascii="Courier New" w:hAnsi="Courier New" w:cs="Courier New" w:hint="default"/>
      </w:rPr>
    </w:lvl>
    <w:lvl w:ilvl="5" w:tplc="0C090005">
      <w:start w:val="1"/>
      <w:numFmt w:val="bullet"/>
      <w:lvlText w:val=""/>
      <w:lvlJc w:val="left"/>
      <w:pPr>
        <w:ind w:left="4728" w:hanging="360"/>
      </w:pPr>
      <w:rPr>
        <w:rFonts w:ascii="Wingdings" w:hAnsi="Wingdings" w:hint="default"/>
      </w:rPr>
    </w:lvl>
    <w:lvl w:ilvl="6" w:tplc="0C090001">
      <w:start w:val="1"/>
      <w:numFmt w:val="bullet"/>
      <w:lvlText w:val=""/>
      <w:lvlJc w:val="left"/>
      <w:pPr>
        <w:ind w:left="5448" w:hanging="360"/>
      </w:pPr>
      <w:rPr>
        <w:rFonts w:ascii="Symbol" w:hAnsi="Symbol" w:hint="default"/>
      </w:rPr>
    </w:lvl>
    <w:lvl w:ilvl="7" w:tplc="0C090003">
      <w:start w:val="1"/>
      <w:numFmt w:val="bullet"/>
      <w:lvlText w:val="o"/>
      <w:lvlJc w:val="left"/>
      <w:pPr>
        <w:ind w:left="6168" w:hanging="360"/>
      </w:pPr>
      <w:rPr>
        <w:rFonts w:ascii="Courier New" w:hAnsi="Courier New" w:cs="Courier New" w:hint="default"/>
      </w:rPr>
    </w:lvl>
    <w:lvl w:ilvl="8" w:tplc="0C090005">
      <w:start w:val="1"/>
      <w:numFmt w:val="bullet"/>
      <w:lvlText w:val=""/>
      <w:lvlJc w:val="left"/>
      <w:pPr>
        <w:ind w:left="6888" w:hanging="360"/>
      </w:pPr>
      <w:rPr>
        <w:rFonts w:ascii="Wingdings" w:hAnsi="Wingdings" w:hint="default"/>
      </w:rPr>
    </w:lvl>
  </w:abstractNum>
  <w:abstractNum w:abstractNumId="19" w15:restartNumberingAfterBreak="0">
    <w:nsid w:val="3D122040"/>
    <w:multiLevelType w:val="hybridMultilevel"/>
    <w:tmpl w:val="E9E22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F782883"/>
    <w:multiLevelType w:val="hybridMultilevel"/>
    <w:tmpl w:val="AA46F27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8C919DE"/>
    <w:multiLevelType w:val="hybridMultilevel"/>
    <w:tmpl w:val="9A181C90"/>
    <w:lvl w:ilvl="0" w:tplc="B30C4558">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B37E8C"/>
    <w:multiLevelType w:val="hybridMultilevel"/>
    <w:tmpl w:val="170C98BE"/>
    <w:lvl w:ilvl="0" w:tplc="FFFFFFFF">
      <w:start w:val="19"/>
      <w:numFmt w:val="bullet"/>
      <w:lvlText w:val="-"/>
      <w:lvlJc w:val="left"/>
      <w:pPr>
        <w:ind w:left="1080" w:hanging="360"/>
      </w:pPr>
      <w:rPr>
        <w:rFonts w:ascii="Arial" w:eastAsiaTheme="minorEastAsia" w:hAnsi="Arial" w:cs="Arial" w:hint="default"/>
      </w:rPr>
    </w:lvl>
    <w:lvl w:ilvl="1" w:tplc="70A00ECA">
      <w:start w:val="19"/>
      <w:numFmt w:val="bullet"/>
      <w:lvlText w:val="-"/>
      <w:lvlJc w:val="left"/>
      <w:pPr>
        <w:ind w:left="1800" w:hanging="360"/>
      </w:pPr>
      <w:rPr>
        <w:rFonts w:ascii="Arial" w:eastAsiaTheme="minorEastAsia"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6B3BF6"/>
    <w:multiLevelType w:val="hybridMultilevel"/>
    <w:tmpl w:val="FFE835A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C91E0D"/>
    <w:multiLevelType w:val="hybridMultilevel"/>
    <w:tmpl w:val="29B692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9519DF"/>
    <w:multiLevelType w:val="hybridMultilevel"/>
    <w:tmpl w:val="5150E40C"/>
    <w:lvl w:ilvl="0" w:tplc="70A00ECA">
      <w:start w:val="19"/>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9" w15:restartNumberingAfterBreak="0">
    <w:nsid w:val="5EF94054"/>
    <w:multiLevelType w:val="multilevel"/>
    <w:tmpl w:val="441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977D17"/>
    <w:multiLevelType w:val="hybridMultilevel"/>
    <w:tmpl w:val="468006C0"/>
    <w:lvl w:ilvl="0" w:tplc="5AFA8038">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0462328"/>
    <w:multiLevelType w:val="hybridMultilevel"/>
    <w:tmpl w:val="D0249FE0"/>
    <w:lvl w:ilvl="0" w:tplc="70A00EC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330848"/>
    <w:multiLevelType w:val="hybridMultilevel"/>
    <w:tmpl w:val="943C3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8A0AD5"/>
    <w:multiLevelType w:val="multilevel"/>
    <w:tmpl w:val="62CC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30021175">
    <w:abstractNumId w:val="7"/>
  </w:num>
  <w:num w:numId="2" w16cid:durableId="9765816">
    <w:abstractNumId w:val="25"/>
  </w:num>
  <w:num w:numId="3" w16cid:durableId="413087779">
    <w:abstractNumId w:val="33"/>
  </w:num>
  <w:num w:numId="4" w16cid:durableId="1603562826">
    <w:abstractNumId w:val="8"/>
  </w:num>
  <w:num w:numId="5" w16cid:durableId="978455220">
    <w:abstractNumId w:val="8"/>
    <w:lvlOverride w:ilvl="0">
      <w:startOverride w:val="1"/>
    </w:lvlOverride>
  </w:num>
  <w:num w:numId="6" w16cid:durableId="155344075">
    <w:abstractNumId w:val="9"/>
  </w:num>
  <w:num w:numId="7" w16cid:durableId="93597822">
    <w:abstractNumId w:val="21"/>
  </w:num>
  <w:num w:numId="8" w16cid:durableId="1451164494">
    <w:abstractNumId w:val="32"/>
  </w:num>
  <w:num w:numId="9" w16cid:durableId="531920419">
    <w:abstractNumId w:val="5"/>
  </w:num>
  <w:num w:numId="10" w16cid:durableId="1191333323">
    <w:abstractNumId w:val="4"/>
  </w:num>
  <w:num w:numId="11" w16cid:durableId="1734350837">
    <w:abstractNumId w:val="3"/>
  </w:num>
  <w:num w:numId="12" w16cid:durableId="1827673371">
    <w:abstractNumId w:val="2"/>
  </w:num>
  <w:num w:numId="13" w16cid:durableId="416756848">
    <w:abstractNumId w:val="6"/>
  </w:num>
  <w:num w:numId="14" w16cid:durableId="2076857509">
    <w:abstractNumId w:val="1"/>
  </w:num>
  <w:num w:numId="15" w16cid:durableId="862090873">
    <w:abstractNumId w:val="0"/>
  </w:num>
  <w:num w:numId="16" w16cid:durableId="1853687163">
    <w:abstractNumId w:val="36"/>
  </w:num>
  <w:num w:numId="17" w16cid:durableId="236596768">
    <w:abstractNumId w:val="11"/>
  </w:num>
  <w:num w:numId="18" w16cid:durableId="1344626949">
    <w:abstractNumId w:val="15"/>
  </w:num>
  <w:num w:numId="19" w16cid:durableId="642122920">
    <w:abstractNumId w:val="17"/>
  </w:num>
  <w:num w:numId="20" w16cid:durableId="1502548403">
    <w:abstractNumId w:val="11"/>
  </w:num>
  <w:num w:numId="21" w16cid:durableId="1261377472">
    <w:abstractNumId w:val="17"/>
  </w:num>
  <w:num w:numId="22" w16cid:durableId="1375081276">
    <w:abstractNumId w:val="36"/>
  </w:num>
  <w:num w:numId="23" w16cid:durableId="66803276">
    <w:abstractNumId w:val="25"/>
  </w:num>
  <w:num w:numId="24" w16cid:durableId="277223161">
    <w:abstractNumId w:val="33"/>
  </w:num>
  <w:num w:numId="25" w16cid:durableId="1428380885">
    <w:abstractNumId w:val="8"/>
  </w:num>
  <w:num w:numId="26" w16cid:durableId="557329043">
    <w:abstractNumId w:val="24"/>
  </w:num>
  <w:num w:numId="27" w16cid:durableId="1178958867">
    <w:abstractNumId w:val="13"/>
  </w:num>
  <w:num w:numId="28" w16cid:durableId="1175805494">
    <w:abstractNumId w:val="35"/>
  </w:num>
  <w:num w:numId="29" w16cid:durableId="1787502493">
    <w:abstractNumId w:val="18"/>
  </w:num>
  <w:num w:numId="30" w16cid:durableId="562371315">
    <w:abstractNumId w:val="16"/>
  </w:num>
  <w:num w:numId="31" w16cid:durableId="967586655">
    <w:abstractNumId w:val="30"/>
  </w:num>
  <w:num w:numId="32" w16cid:durableId="1244342987">
    <w:abstractNumId w:val="22"/>
  </w:num>
  <w:num w:numId="33" w16cid:durableId="144275592">
    <w:abstractNumId w:val="34"/>
  </w:num>
  <w:num w:numId="34" w16cid:durableId="341906097">
    <w:abstractNumId w:val="10"/>
  </w:num>
  <w:num w:numId="35" w16cid:durableId="28994456">
    <w:abstractNumId w:val="31"/>
  </w:num>
  <w:num w:numId="36" w16cid:durableId="1158770745">
    <w:abstractNumId w:val="19"/>
  </w:num>
  <w:num w:numId="37" w16cid:durableId="1688944287">
    <w:abstractNumId w:val="26"/>
  </w:num>
  <w:num w:numId="38" w16cid:durableId="491600624">
    <w:abstractNumId w:val="27"/>
  </w:num>
  <w:num w:numId="39" w16cid:durableId="1966543088">
    <w:abstractNumId w:val="20"/>
  </w:num>
  <w:num w:numId="40" w16cid:durableId="678316566">
    <w:abstractNumId w:val="14"/>
  </w:num>
  <w:num w:numId="41" w16cid:durableId="112141349">
    <w:abstractNumId w:val="23"/>
  </w:num>
  <w:num w:numId="42" w16cid:durableId="690304020">
    <w:abstractNumId w:val="19"/>
  </w:num>
  <w:num w:numId="43" w16cid:durableId="684744159">
    <w:abstractNumId w:val="29"/>
  </w:num>
  <w:num w:numId="44" w16cid:durableId="1816751664">
    <w:abstractNumId w:val="28"/>
  </w:num>
  <w:num w:numId="45" w16cid:durableId="330565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F7E"/>
    <w:rsid w:val="0000257C"/>
    <w:rsid w:val="00003743"/>
    <w:rsid w:val="000047B4"/>
    <w:rsid w:val="00005712"/>
    <w:rsid w:val="00007FD8"/>
    <w:rsid w:val="000117F8"/>
    <w:rsid w:val="00011B05"/>
    <w:rsid w:val="00013162"/>
    <w:rsid w:val="0001460F"/>
    <w:rsid w:val="00022629"/>
    <w:rsid w:val="00026139"/>
    <w:rsid w:val="00027601"/>
    <w:rsid w:val="00033321"/>
    <w:rsid w:val="000337FD"/>
    <w:rsid w:val="000338E5"/>
    <w:rsid w:val="00033ECC"/>
    <w:rsid w:val="0003422F"/>
    <w:rsid w:val="00034E83"/>
    <w:rsid w:val="000427A2"/>
    <w:rsid w:val="00046FF0"/>
    <w:rsid w:val="00050176"/>
    <w:rsid w:val="00050342"/>
    <w:rsid w:val="0005351B"/>
    <w:rsid w:val="000551E9"/>
    <w:rsid w:val="0005781A"/>
    <w:rsid w:val="00064168"/>
    <w:rsid w:val="00067456"/>
    <w:rsid w:val="00071506"/>
    <w:rsid w:val="0007154F"/>
    <w:rsid w:val="000718C0"/>
    <w:rsid w:val="00080E4D"/>
    <w:rsid w:val="00081AB1"/>
    <w:rsid w:val="000847AA"/>
    <w:rsid w:val="00084886"/>
    <w:rsid w:val="00087087"/>
    <w:rsid w:val="00090316"/>
    <w:rsid w:val="00090EA5"/>
    <w:rsid w:val="0009138A"/>
    <w:rsid w:val="00093981"/>
    <w:rsid w:val="00097120"/>
    <w:rsid w:val="000A24E2"/>
    <w:rsid w:val="000A3F27"/>
    <w:rsid w:val="000B067A"/>
    <w:rsid w:val="000B1540"/>
    <w:rsid w:val="000B16A4"/>
    <w:rsid w:val="000B1E53"/>
    <w:rsid w:val="000B33FD"/>
    <w:rsid w:val="000B38DE"/>
    <w:rsid w:val="000B4ABA"/>
    <w:rsid w:val="000B73B6"/>
    <w:rsid w:val="000C4B16"/>
    <w:rsid w:val="000C50C3"/>
    <w:rsid w:val="000C5E14"/>
    <w:rsid w:val="000D21F6"/>
    <w:rsid w:val="000D4500"/>
    <w:rsid w:val="000D46B5"/>
    <w:rsid w:val="000D4837"/>
    <w:rsid w:val="000D52FC"/>
    <w:rsid w:val="000D5407"/>
    <w:rsid w:val="000D7AEA"/>
    <w:rsid w:val="000E2C66"/>
    <w:rsid w:val="000E439F"/>
    <w:rsid w:val="000E68A6"/>
    <w:rsid w:val="000F123C"/>
    <w:rsid w:val="000F1DAC"/>
    <w:rsid w:val="000F2FED"/>
    <w:rsid w:val="000F7BA8"/>
    <w:rsid w:val="001025BD"/>
    <w:rsid w:val="0010616D"/>
    <w:rsid w:val="001067B0"/>
    <w:rsid w:val="00110478"/>
    <w:rsid w:val="00112885"/>
    <w:rsid w:val="001136C1"/>
    <w:rsid w:val="00113E8F"/>
    <w:rsid w:val="0011711B"/>
    <w:rsid w:val="001175BC"/>
    <w:rsid w:val="00117F8A"/>
    <w:rsid w:val="00121B9B"/>
    <w:rsid w:val="00122060"/>
    <w:rsid w:val="00122ADC"/>
    <w:rsid w:val="00127297"/>
    <w:rsid w:val="00130F59"/>
    <w:rsid w:val="00133EC0"/>
    <w:rsid w:val="001344FF"/>
    <w:rsid w:val="001374C7"/>
    <w:rsid w:val="0014130E"/>
    <w:rsid w:val="00141433"/>
    <w:rsid w:val="00141CE5"/>
    <w:rsid w:val="00144908"/>
    <w:rsid w:val="00154CDC"/>
    <w:rsid w:val="00156BF5"/>
    <w:rsid w:val="00156D96"/>
    <w:rsid w:val="001571C7"/>
    <w:rsid w:val="0016054E"/>
    <w:rsid w:val="00161094"/>
    <w:rsid w:val="00161868"/>
    <w:rsid w:val="00162D03"/>
    <w:rsid w:val="00165768"/>
    <w:rsid w:val="001667C2"/>
    <w:rsid w:val="00170094"/>
    <w:rsid w:val="00171532"/>
    <w:rsid w:val="00171E30"/>
    <w:rsid w:val="00174214"/>
    <w:rsid w:val="0017665C"/>
    <w:rsid w:val="00177AD2"/>
    <w:rsid w:val="00180AC2"/>
    <w:rsid w:val="001815A8"/>
    <w:rsid w:val="001840FA"/>
    <w:rsid w:val="00187ECD"/>
    <w:rsid w:val="00190079"/>
    <w:rsid w:val="0019622E"/>
    <w:rsid w:val="00196591"/>
    <w:rsid w:val="001966A7"/>
    <w:rsid w:val="001A4627"/>
    <w:rsid w:val="001A4979"/>
    <w:rsid w:val="001B15D3"/>
    <w:rsid w:val="001B3443"/>
    <w:rsid w:val="001B6490"/>
    <w:rsid w:val="001B6E7D"/>
    <w:rsid w:val="001C0326"/>
    <w:rsid w:val="001C192F"/>
    <w:rsid w:val="001C2E75"/>
    <w:rsid w:val="001C3C42"/>
    <w:rsid w:val="001C696A"/>
    <w:rsid w:val="001D7869"/>
    <w:rsid w:val="0020020E"/>
    <w:rsid w:val="002026CD"/>
    <w:rsid w:val="002033FC"/>
    <w:rsid w:val="002044BB"/>
    <w:rsid w:val="002055DE"/>
    <w:rsid w:val="002062D3"/>
    <w:rsid w:val="00207E99"/>
    <w:rsid w:val="00210B09"/>
    <w:rsid w:val="00210C9E"/>
    <w:rsid w:val="00211840"/>
    <w:rsid w:val="002173D8"/>
    <w:rsid w:val="00220E5F"/>
    <w:rsid w:val="002212B5"/>
    <w:rsid w:val="0022245B"/>
    <w:rsid w:val="0022282C"/>
    <w:rsid w:val="002256FE"/>
    <w:rsid w:val="00226668"/>
    <w:rsid w:val="00230148"/>
    <w:rsid w:val="00231CB3"/>
    <w:rsid w:val="00232D77"/>
    <w:rsid w:val="00233809"/>
    <w:rsid w:val="00234EAF"/>
    <w:rsid w:val="00236509"/>
    <w:rsid w:val="00240046"/>
    <w:rsid w:val="00241A95"/>
    <w:rsid w:val="00242227"/>
    <w:rsid w:val="0024797F"/>
    <w:rsid w:val="00250583"/>
    <w:rsid w:val="0025119E"/>
    <w:rsid w:val="00251269"/>
    <w:rsid w:val="002535C0"/>
    <w:rsid w:val="002579FE"/>
    <w:rsid w:val="00260552"/>
    <w:rsid w:val="0026311C"/>
    <w:rsid w:val="0026668C"/>
    <w:rsid w:val="002668FC"/>
    <w:rsid w:val="00266AC1"/>
    <w:rsid w:val="0027178C"/>
    <w:rsid w:val="002719FA"/>
    <w:rsid w:val="00272668"/>
    <w:rsid w:val="0027330B"/>
    <w:rsid w:val="0027554B"/>
    <w:rsid w:val="002803AD"/>
    <w:rsid w:val="00281350"/>
    <w:rsid w:val="00282052"/>
    <w:rsid w:val="002831A3"/>
    <w:rsid w:val="00283C0C"/>
    <w:rsid w:val="0028519E"/>
    <w:rsid w:val="002856A5"/>
    <w:rsid w:val="002872ED"/>
    <w:rsid w:val="002905C2"/>
    <w:rsid w:val="002909EF"/>
    <w:rsid w:val="00292C61"/>
    <w:rsid w:val="00292E70"/>
    <w:rsid w:val="0029385B"/>
    <w:rsid w:val="00295AF2"/>
    <w:rsid w:val="00295C91"/>
    <w:rsid w:val="00297151"/>
    <w:rsid w:val="002A04E4"/>
    <w:rsid w:val="002A5247"/>
    <w:rsid w:val="002A699C"/>
    <w:rsid w:val="002B20E6"/>
    <w:rsid w:val="002B42A3"/>
    <w:rsid w:val="002C0CDD"/>
    <w:rsid w:val="002C1933"/>
    <w:rsid w:val="002C38C4"/>
    <w:rsid w:val="002C548D"/>
    <w:rsid w:val="002E1A1D"/>
    <w:rsid w:val="002E4081"/>
    <w:rsid w:val="002E49E7"/>
    <w:rsid w:val="002E5B78"/>
    <w:rsid w:val="002F3AE3"/>
    <w:rsid w:val="002F407D"/>
    <w:rsid w:val="002F65AE"/>
    <w:rsid w:val="00300046"/>
    <w:rsid w:val="0030267C"/>
    <w:rsid w:val="003032FB"/>
    <w:rsid w:val="00303ACA"/>
    <w:rsid w:val="0030464B"/>
    <w:rsid w:val="0030786C"/>
    <w:rsid w:val="00312AAA"/>
    <w:rsid w:val="00314BCC"/>
    <w:rsid w:val="003153C9"/>
    <w:rsid w:val="00316AD3"/>
    <w:rsid w:val="003233DE"/>
    <w:rsid w:val="0032466B"/>
    <w:rsid w:val="00325555"/>
    <w:rsid w:val="00332DE8"/>
    <w:rsid w:val="003330EB"/>
    <w:rsid w:val="0033788F"/>
    <w:rsid w:val="00337F35"/>
    <w:rsid w:val="003415FD"/>
    <w:rsid w:val="003429F0"/>
    <w:rsid w:val="00344FDE"/>
    <w:rsid w:val="00345A82"/>
    <w:rsid w:val="0035097A"/>
    <w:rsid w:val="00352ECA"/>
    <w:rsid w:val="003540A4"/>
    <w:rsid w:val="003542EE"/>
    <w:rsid w:val="00357BCC"/>
    <w:rsid w:val="00360E4E"/>
    <w:rsid w:val="00370AAA"/>
    <w:rsid w:val="00371934"/>
    <w:rsid w:val="00375730"/>
    <w:rsid w:val="00375F77"/>
    <w:rsid w:val="00381BBE"/>
    <w:rsid w:val="00382903"/>
    <w:rsid w:val="00382D5D"/>
    <w:rsid w:val="00382E99"/>
    <w:rsid w:val="003846FF"/>
    <w:rsid w:val="003857D4"/>
    <w:rsid w:val="00385AD4"/>
    <w:rsid w:val="00387924"/>
    <w:rsid w:val="0039384D"/>
    <w:rsid w:val="00395C23"/>
    <w:rsid w:val="0039766B"/>
    <w:rsid w:val="003A217C"/>
    <w:rsid w:val="003A2E4F"/>
    <w:rsid w:val="003A4438"/>
    <w:rsid w:val="003A5013"/>
    <w:rsid w:val="003A5078"/>
    <w:rsid w:val="003A62DD"/>
    <w:rsid w:val="003A775A"/>
    <w:rsid w:val="003B213A"/>
    <w:rsid w:val="003B43AD"/>
    <w:rsid w:val="003B6664"/>
    <w:rsid w:val="003C0FEC"/>
    <w:rsid w:val="003C2AC8"/>
    <w:rsid w:val="003C4C4C"/>
    <w:rsid w:val="003D033A"/>
    <w:rsid w:val="003D17F9"/>
    <w:rsid w:val="003D2D88"/>
    <w:rsid w:val="003D41EA"/>
    <w:rsid w:val="003D429B"/>
    <w:rsid w:val="003D4850"/>
    <w:rsid w:val="003D535A"/>
    <w:rsid w:val="003E5265"/>
    <w:rsid w:val="003E7A8F"/>
    <w:rsid w:val="003F0955"/>
    <w:rsid w:val="003F2B6F"/>
    <w:rsid w:val="003F3E9C"/>
    <w:rsid w:val="003F5F4D"/>
    <w:rsid w:val="003F646F"/>
    <w:rsid w:val="003F6947"/>
    <w:rsid w:val="00400F00"/>
    <w:rsid w:val="004014E4"/>
    <w:rsid w:val="00404F8B"/>
    <w:rsid w:val="00405256"/>
    <w:rsid w:val="00407649"/>
    <w:rsid w:val="00410031"/>
    <w:rsid w:val="00415C81"/>
    <w:rsid w:val="00424569"/>
    <w:rsid w:val="004268F6"/>
    <w:rsid w:val="004312CF"/>
    <w:rsid w:val="00432378"/>
    <w:rsid w:val="00437B0C"/>
    <w:rsid w:val="004406E9"/>
    <w:rsid w:val="00440D65"/>
    <w:rsid w:val="00441924"/>
    <w:rsid w:val="004435E6"/>
    <w:rsid w:val="00447E31"/>
    <w:rsid w:val="00451A74"/>
    <w:rsid w:val="004525E8"/>
    <w:rsid w:val="00453923"/>
    <w:rsid w:val="00454B9B"/>
    <w:rsid w:val="00457858"/>
    <w:rsid w:val="00460B0B"/>
    <w:rsid w:val="00461023"/>
    <w:rsid w:val="00462FAC"/>
    <w:rsid w:val="00463BFF"/>
    <w:rsid w:val="00464631"/>
    <w:rsid w:val="00464B79"/>
    <w:rsid w:val="00467BBF"/>
    <w:rsid w:val="00470C79"/>
    <w:rsid w:val="0047250A"/>
    <w:rsid w:val="0048470F"/>
    <w:rsid w:val="0048593C"/>
    <w:rsid w:val="004867E2"/>
    <w:rsid w:val="004915DD"/>
    <w:rsid w:val="004929A9"/>
    <w:rsid w:val="004A030B"/>
    <w:rsid w:val="004A074B"/>
    <w:rsid w:val="004A2599"/>
    <w:rsid w:val="004A78D9"/>
    <w:rsid w:val="004B2F0B"/>
    <w:rsid w:val="004B6168"/>
    <w:rsid w:val="004C1BCD"/>
    <w:rsid w:val="004C4E05"/>
    <w:rsid w:val="004C55B9"/>
    <w:rsid w:val="004C6BCF"/>
    <w:rsid w:val="004D58BF"/>
    <w:rsid w:val="004E4335"/>
    <w:rsid w:val="004F13EE"/>
    <w:rsid w:val="004F2022"/>
    <w:rsid w:val="004F7676"/>
    <w:rsid w:val="004F7C05"/>
    <w:rsid w:val="00501C94"/>
    <w:rsid w:val="00506432"/>
    <w:rsid w:val="00506E82"/>
    <w:rsid w:val="0052051D"/>
    <w:rsid w:val="00522081"/>
    <w:rsid w:val="005241A4"/>
    <w:rsid w:val="00531CAC"/>
    <w:rsid w:val="00535D65"/>
    <w:rsid w:val="00537FA2"/>
    <w:rsid w:val="005426AB"/>
    <w:rsid w:val="0054374A"/>
    <w:rsid w:val="00545EE6"/>
    <w:rsid w:val="00550A25"/>
    <w:rsid w:val="00550AAB"/>
    <w:rsid w:val="005550E7"/>
    <w:rsid w:val="005564FB"/>
    <w:rsid w:val="005572C7"/>
    <w:rsid w:val="005650ED"/>
    <w:rsid w:val="00575754"/>
    <w:rsid w:val="00577BE3"/>
    <w:rsid w:val="00581FBA"/>
    <w:rsid w:val="0058676E"/>
    <w:rsid w:val="00591B07"/>
    <w:rsid w:val="00591E20"/>
    <w:rsid w:val="0059228C"/>
    <w:rsid w:val="00595408"/>
    <w:rsid w:val="00595E84"/>
    <w:rsid w:val="005A0C59"/>
    <w:rsid w:val="005A48EB"/>
    <w:rsid w:val="005A5C3A"/>
    <w:rsid w:val="005A6CFB"/>
    <w:rsid w:val="005B2899"/>
    <w:rsid w:val="005B4319"/>
    <w:rsid w:val="005B6B45"/>
    <w:rsid w:val="005C0C11"/>
    <w:rsid w:val="005C1E1E"/>
    <w:rsid w:val="005C41DE"/>
    <w:rsid w:val="005C5AEB"/>
    <w:rsid w:val="005D1CC4"/>
    <w:rsid w:val="005D6449"/>
    <w:rsid w:val="005D7FBE"/>
    <w:rsid w:val="005E0A3F"/>
    <w:rsid w:val="005E0A99"/>
    <w:rsid w:val="005E0DA5"/>
    <w:rsid w:val="005E3ACC"/>
    <w:rsid w:val="005E6883"/>
    <w:rsid w:val="005E772F"/>
    <w:rsid w:val="005F4ECA"/>
    <w:rsid w:val="005F749A"/>
    <w:rsid w:val="005F77FB"/>
    <w:rsid w:val="0060018B"/>
    <w:rsid w:val="006041BE"/>
    <w:rsid w:val="006043C7"/>
    <w:rsid w:val="00617F59"/>
    <w:rsid w:val="00620199"/>
    <w:rsid w:val="00624B52"/>
    <w:rsid w:val="00630794"/>
    <w:rsid w:val="00631DF4"/>
    <w:rsid w:val="006328B3"/>
    <w:rsid w:val="006332DF"/>
    <w:rsid w:val="00634175"/>
    <w:rsid w:val="006408AC"/>
    <w:rsid w:val="00642346"/>
    <w:rsid w:val="006511B6"/>
    <w:rsid w:val="00652C98"/>
    <w:rsid w:val="00656FD8"/>
    <w:rsid w:val="00657FF8"/>
    <w:rsid w:val="00660CF5"/>
    <w:rsid w:val="00661371"/>
    <w:rsid w:val="006654D0"/>
    <w:rsid w:val="006659E2"/>
    <w:rsid w:val="00666E29"/>
    <w:rsid w:val="0066750B"/>
    <w:rsid w:val="00670D99"/>
    <w:rsid w:val="00670E2B"/>
    <w:rsid w:val="006734BB"/>
    <w:rsid w:val="00673AE3"/>
    <w:rsid w:val="0067697A"/>
    <w:rsid w:val="006821EB"/>
    <w:rsid w:val="006865F9"/>
    <w:rsid w:val="006A03FC"/>
    <w:rsid w:val="006A2F71"/>
    <w:rsid w:val="006B11C7"/>
    <w:rsid w:val="006B2286"/>
    <w:rsid w:val="006B56BB"/>
    <w:rsid w:val="006C2973"/>
    <w:rsid w:val="006C77A8"/>
    <w:rsid w:val="006D4098"/>
    <w:rsid w:val="006D73B9"/>
    <w:rsid w:val="006D7681"/>
    <w:rsid w:val="006D7B2E"/>
    <w:rsid w:val="006E02EA"/>
    <w:rsid w:val="006E08EA"/>
    <w:rsid w:val="006E0968"/>
    <w:rsid w:val="006E2AF6"/>
    <w:rsid w:val="006F1E8F"/>
    <w:rsid w:val="00701275"/>
    <w:rsid w:val="00706A13"/>
    <w:rsid w:val="00707F56"/>
    <w:rsid w:val="00711B4B"/>
    <w:rsid w:val="00713558"/>
    <w:rsid w:val="00714AA2"/>
    <w:rsid w:val="00716438"/>
    <w:rsid w:val="00716743"/>
    <w:rsid w:val="00720D08"/>
    <w:rsid w:val="007263B9"/>
    <w:rsid w:val="007334F8"/>
    <w:rsid w:val="007339CD"/>
    <w:rsid w:val="007359D8"/>
    <w:rsid w:val="007362D4"/>
    <w:rsid w:val="007429FC"/>
    <w:rsid w:val="00752118"/>
    <w:rsid w:val="00755318"/>
    <w:rsid w:val="007568AC"/>
    <w:rsid w:val="00763ADA"/>
    <w:rsid w:val="0076672A"/>
    <w:rsid w:val="00767EC8"/>
    <w:rsid w:val="0077223F"/>
    <w:rsid w:val="007755CB"/>
    <w:rsid w:val="00775E45"/>
    <w:rsid w:val="00776E74"/>
    <w:rsid w:val="00782488"/>
    <w:rsid w:val="0078469D"/>
    <w:rsid w:val="00785169"/>
    <w:rsid w:val="007876C6"/>
    <w:rsid w:val="00792816"/>
    <w:rsid w:val="007954AB"/>
    <w:rsid w:val="007A048B"/>
    <w:rsid w:val="007A14C5"/>
    <w:rsid w:val="007A3176"/>
    <w:rsid w:val="007A3E8E"/>
    <w:rsid w:val="007A4A10"/>
    <w:rsid w:val="007B1760"/>
    <w:rsid w:val="007C1FDC"/>
    <w:rsid w:val="007C6D9C"/>
    <w:rsid w:val="007C7DDB"/>
    <w:rsid w:val="007D2CC7"/>
    <w:rsid w:val="007D673D"/>
    <w:rsid w:val="007E0A08"/>
    <w:rsid w:val="007E0FB8"/>
    <w:rsid w:val="007E2292"/>
    <w:rsid w:val="007E4D09"/>
    <w:rsid w:val="007F1D99"/>
    <w:rsid w:val="007F2220"/>
    <w:rsid w:val="007F4B3E"/>
    <w:rsid w:val="007F6B25"/>
    <w:rsid w:val="008013C6"/>
    <w:rsid w:val="0080639E"/>
    <w:rsid w:val="008127AF"/>
    <w:rsid w:val="00812B46"/>
    <w:rsid w:val="008142B3"/>
    <w:rsid w:val="008153B9"/>
    <w:rsid w:val="00815700"/>
    <w:rsid w:val="0081673E"/>
    <w:rsid w:val="0082246B"/>
    <w:rsid w:val="00822BDE"/>
    <w:rsid w:val="008264EB"/>
    <w:rsid w:val="00826B8F"/>
    <w:rsid w:val="00831E8A"/>
    <w:rsid w:val="008325D9"/>
    <w:rsid w:val="008337DC"/>
    <w:rsid w:val="00835C76"/>
    <w:rsid w:val="008376E2"/>
    <w:rsid w:val="00843049"/>
    <w:rsid w:val="00847C02"/>
    <w:rsid w:val="00847C32"/>
    <w:rsid w:val="008503AD"/>
    <w:rsid w:val="0085209B"/>
    <w:rsid w:val="00852548"/>
    <w:rsid w:val="00856B66"/>
    <w:rsid w:val="008601AC"/>
    <w:rsid w:val="00861A5F"/>
    <w:rsid w:val="008644AD"/>
    <w:rsid w:val="00865735"/>
    <w:rsid w:val="00865DDB"/>
    <w:rsid w:val="00866FBF"/>
    <w:rsid w:val="00867538"/>
    <w:rsid w:val="008737EA"/>
    <w:rsid w:val="00873D90"/>
    <w:rsid w:val="00873FC8"/>
    <w:rsid w:val="00884C63"/>
    <w:rsid w:val="00885908"/>
    <w:rsid w:val="008864B7"/>
    <w:rsid w:val="00892591"/>
    <w:rsid w:val="00894FA5"/>
    <w:rsid w:val="00895EEC"/>
    <w:rsid w:val="0089677E"/>
    <w:rsid w:val="008967E1"/>
    <w:rsid w:val="008977CD"/>
    <w:rsid w:val="008A3550"/>
    <w:rsid w:val="008A7438"/>
    <w:rsid w:val="008B1334"/>
    <w:rsid w:val="008B25C7"/>
    <w:rsid w:val="008C0278"/>
    <w:rsid w:val="008C24E9"/>
    <w:rsid w:val="008C30EB"/>
    <w:rsid w:val="008C4C1B"/>
    <w:rsid w:val="008D0533"/>
    <w:rsid w:val="008D07BD"/>
    <w:rsid w:val="008D284E"/>
    <w:rsid w:val="008D42CB"/>
    <w:rsid w:val="008D48C9"/>
    <w:rsid w:val="008D525B"/>
    <w:rsid w:val="008D6381"/>
    <w:rsid w:val="008E0C77"/>
    <w:rsid w:val="008E625F"/>
    <w:rsid w:val="008E6945"/>
    <w:rsid w:val="008E6A6C"/>
    <w:rsid w:val="008F264D"/>
    <w:rsid w:val="008F39B5"/>
    <w:rsid w:val="009040E9"/>
    <w:rsid w:val="00906B7A"/>
    <w:rsid w:val="009074E1"/>
    <w:rsid w:val="009112F7"/>
    <w:rsid w:val="00911740"/>
    <w:rsid w:val="009122AF"/>
    <w:rsid w:val="00912D54"/>
    <w:rsid w:val="0091389F"/>
    <w:rsid w:val="009208F7"/>
    <w:rsid w:val="00921649"/>
    <w:rsid w:val="00922517"/>
    <w:rsid w:val="00922722"/>
    <w:rsid w:val="009261E6"/>
    <w:rsid w:val="009268E1"/>
    <w:rsid w:val="009271EE"/>
    <w:rsid w:val="00932F5C"/>
    <w:rsid w:val="009330B3"/>
    <w:rsid w:val="009344AE"/>
    <w:rsid w:val="009344DE"/>
    <w:rsid w:val="009409EC"/>
    <w:rsid w:val="00943CF1"/>
    <w:rsid w:val="0094467D"/>
    <w:rsid w:val="00945E48"/>
    <w:rsid w:val="00945E7F"/>
    <w:rsid w:val="0095465E"/>
    <w:rsid w:val="009557C1"/>
    <w:rsid w:val="00960D6E"/>
    <w:rsid w:val="0096372B"/>
    <w:rsid w:val="00967E2C"/>
    <w:rsid w:val="00974B59"/>
    <w:rsid w:val="00976B3D"/>
    <w:rsid w:val="0097795A"/>
    <w:rsid w:val="00982AF7"/>
    <w:rsid w:val="0098340B"/>
    <w:rsid w:val="00985AC0"/>
    <w:rsid w:val="00986830"/>
    <w:rsid w:val="009924C3"/>
    <w:rsid w:val="00993102"/>
    <w:rsid w:val="0099377A"/>
    <w:rsid w:val="00993ECD"/>
    <w:rsid w:val="00997BBD"/>
    <w:rsid w:val="009B1570"/>
    <w:rsid w:val="009B2DCA"/>
    <w:rsid w:val="009C62A7"/>
    <w:rsid w:val="009C6F10"/>
    <w:rsid w:val="009D148F"/>
    <w:rsid w:val="009D1C8C"/>
    <w:rsid w:val="009D3D70"/>
    <w:rsid w:val="009D5C4C"/>
    <w:rsid w:val="009E17A3"/>
    <w:rsid w:val="009E1820"/>
    <w:rsid w:val="009E3FA4"/>
    <w:rsid w:val="009E66F6"/>
    <w:rsid w:val="009E6C91"/>
    <w:rsid w:val="009E6F7E"/>
    <w:rsid w:val="009E7A57"/>
    <w:rsid w:val="009F0D50"/>
    <w:rsid w:val="009F4803"/>
    <w:rsid w:val="009F4F6A"/>
    <w:rsid w:val="009F6465"/>
    <w:rsid w:val="00A01EBA"/>
    <w:rsid w:val="00A02366"/>
    <w:rsid w:val="00A04786"/>
    <w:rsid w:val="00A04CE3"/>
    <w:rsid w:val="00A1329D"/>
    <w:rsid w:val="00A1351E"/>
    <w:rsid w:val="00A13EB5"/>
    <w:rsid w:val="00A16E36"/>
    <w:rsid w:val="00A17AE5"/>
    <w:rsid w:val="00A22A56"/>
    <w:rsid w:val="00A24961"/>
    <w:rsid w:val="00A24B10"/>
    <w:rsid w:val="00A277EF"/>
    <w:rsid w:val="00A30E9B"/>
    <w:rsid w:val="00A34748"/>
    <w:rsid w:val="00A36A89"/>
    <w:rsid w:val="00A36DB1"/>
    <w:rsid w:val="00A41A55"/>
    <w:rsid w:val="00A436BC"/>
    <w:rsid w:val="00A4512D"/>
    <w:rsid w:val="00A50244"/>
    <w:rsid w:val="00A52F40"/>
    <w:rsid w:val="00A561AC"/>
    <w:rsid w:val="00A56813"/>
    <w:rsid w:val="00A627D7"/>
    <w:rsid w:val="00A6418D"/>
    <w:rsid w:val="00A656C7"/>
    <w:rsid w:val="00A67428"/>
    <w:rsid w:val="00A705AF"/>
    <w:rsid w:val="00A719F6"/>
    <w:rsid w:val="00A72454"/>
    <w:rsid w:val="00A76ABD"/>
    <w:rsid w:val="00A77696"/>
    <w:rsid w:val="00A80557"/>
    <w:rsid w:val="00A81D33"/>
    <w:rsid w:val="00A8341C"/>
    <w:rsid w:val="00A85447"/>
    <w:rsid w:val="00A86AB8"/>
    <w:rsid w:val="00A923A0"/>
    <w:rsid w:val="00A92EA5"/>
    <w:rsid w:val="00A930AE"/>
    <w:rsid w:val="00A933DE"/>
    <w:rsid w:val="00A96531"/>
    <w:rsid w:val="00AA1571"/>
    <w:rsid w:val="00AA1A95"/>
    <w:rsid w:val="00AA260F"/>
    <w:rsid w:val="00AA30F5"/>
    <w:rsid w:val="00AA6DB3"/>
    <w:rsid w:val="00AB1EE7"/>
    <w:rsid w:val="00AB4B37"/>
    <w:rsid w:val="00AB5762"/>
    <w:rsid w:val="00AC2679"/>
    <w:rsid w:val="00AC4185"/>
    <w:rsid w:val="00AC4992"/>
    <w:rsid w:val="00AC4BE4"/>
    <w:rsid w:val="00AD05E6"/>
    <w:rsid w:val="00AD0D3F"/>
    <w:rsid w:val="00AD23FB"/>
    <w:rsid w:val="00AD2617"/>
    <w:rsid w:val="00AE1D7D"/>
    <w:rsid w:val="00AE2A8B"/>
    <w:rsid w:val="00AE2C4E"/>
    <w:rsid w:val="00AE3F64"/>
    <w:rsid w:val="00AE5DB6"/>
    <w:rsid w:val="00AE6D18"/>
    <w:rsid w:val="00AF3F94"/>
    <w:rsid w:val="00AF6608"/>
    <w:rsid w:val="00AF7386"/>
    <w:rsid w:val="00AF7934"/>
    <w:rsid w:val="00B00B81"/>
    <w:rsid w:val="00B02F41"/>
    <w:rsid w:val="00B03ED6"/>
    <w:rsid w:val="00B04580"/>
    <w:rsid w:val="00B04B09"/>
    <w:rsid w:val="00B101C4"/>
    <w:rsid w:val="00B105AA"/>
    <w:rsid w:val="00B15D38"/>
    <w:rsid w:val="00B16A51"/>
    <w:rsid w:val="00B17030"/>
    <w:rsid w:val="00B1752E"/>
    <w:rsid w:val="00B17620"/>
    <w:rsid w:val="00B2248E"/>
    <w:rsid w:val="00B244B7"/>
    <w:rsid w:val="00B248E1"/>
    <w:rsid w:val="00B27F8D"/>
    <w:rsid w:val="00B30183"/>
    <w:rsid w:val="00B310F9"/>
    <w:rsid w:val="00B3138D"/>
    <w:rsid w:val="00B32222"/>
    <w:rsid w:val="00B34305"/>
    <w:rsid w:val="00B3618D"/>
    <w:rsid w:val="00B36233"/>
    <w:rsid w:val="00B42851"/>
    <w:rsid w:val="00B459CD"/>
    <w:rsid w:val="00B45AC7"/>
    <w:rsid w:val="00B47D61"/>
    <w:rsid w:val="00B5070F"/>
    <w:rsid w:val="00B5372F"/>
    <w:rsid w:val="00B53987"/>
    <w:rsid w:val="00B55711"/>
    <w:rsid w:val="00B603C8"/>
    <w:rsid w:val="00B61129"/>
    <w:rsid w:val="00B66875"/>
    <w:rsid w:val="00B67E7F"/>
    <w:rsid w:val="00B736D3"/>
    <w:rsid w:val="00B76073"/>
    <w:rsid w:val="00B839B2"/>
    <w:rsid w:val="00B840D0"/>
    <w:rsid w:val="00B85694"/>
    <w:rsid w:val="00B9400F"/>
    <w:rsid w:val="00B94252"/>
    <w:rsid w:val="00B9715A"/>
    <w:rsid w:val="00BA14BE"/>
    <w:rsid w:val="00BA1DB1"/>
    <w:rsid w:val="00BA2732"/>
    <w:rsid w:val="00BA293D"/>
    <w:rsid w:val="00BA49BC"/>
    <w:rsid w:val="00BA56B7"/>
    <w:rsid w:val="00BA5DC6"/>
    <w:rsid w:val="00BA7285"/>
    <w:rsid w:val="00BA7A1E"/>
    <w:rsid w:val="00BB2F6C"/>
    <w:rsid w:val="00BB3875"/>
    <w:rsid w:val="00BB5860"/>
    <w:rsid w:val="00BB6AAD"/>
    <w:rsid w:val="00BC16CD"/>
    <w:rsid w:val="00BC2450"/>
    <w:rsid w:val="00BC4A19"/>
    <w:rsid w:val="00BC4E6D"/>
    <w:rsid w:val="00BD0617"/>
    <w:rsid w:val="00BD14EF"/>
    <w:rsid w:val="00BD2E9B"/>
    <w:rsid w:val="00BD4FC4"/>
    <w:rsid w:val="00BD7FB2"/>
    <w:rsid w:val="00BE6785"/>
    <w:rsid w:val="00BF0744"/>
    <w:rsid w:val="00BF18ED"/>
    <w:rsid w:val="00BF1DC7"/>
    <w:rsid w:val="00C000E6"/>
    <w:rsid w:val="00C00930"/>
    <w:rsid w:val="00C060AD"/>
    <w:rsid w:val="00C071DE"/>
    <w:rsid w:val="00C113BF"/>
    <w:rsid w:val="00C124D4"/>
    <w:rsid w:val="00C14DC4"/>
    <w:rsid w:val="00C2176E"/>
    <w:rsid w:val="00C22915"/>
    <w:rsid w:val="00C23291"/>
    <w:rsid w:val="00C23430"/>
    <w:rsid w:val="00C27152"/>
    <w:rsid w:val="00C27D67"/>
    <w:rsid w:val="00C33AC7"/>
    <w:rsid w:val="00C368E0"/>
    <w:rsid w:val="00C401FA"/>
    <w:rsid w:val="00C4138A"/>
    <w:rsid w:val="00C450F5"/>
    <w:rsid w:val="00C45C0B"/>
    <w:rsid w:val="00C4631F"/>
    <w:rsid w:val="00C47CDE"/>
    <w:rsid w:val="00C50E16"/>
    <w:rsid w:val="00C51FBB"/>
    <w:rsid w:val="00C5250C"/>
    <w:rsid w:val="00C54EA2"/>
    <w:rsid w:val="00C55258"/>
    <w:rsid w:val="00C605B8"/>
    <w:rsid w:val="00C62122"/>
    <w:rsid w:val="00C65093"/>
    <w:rsid w:val="00C67393"/>
    <w:rsid w:val="00C75774"/>
    <w:rsid w:val="00C75E26"/>
    <w:rsid w:val="00C82EEB"/>
    <w:rsid w:val="00C87648"/>
    <w:rsid w:val="00C91E69"/>
    <w:rsid w:val="00C95AA4"/>
    <w:rsid w:val="00C965DE"/>
    <w:rsid w:val="00C971DC"/>
    <w:rsid w:val="00CA16B7"/>
    <w:rsid w:val="00CA62AE"/>
    <w:rsid w:val="00CB1684"/>
    <w:rsid w:val="00CB4C5F"/>
    <w:rsid w:val="00CB5B1A"/>
    <w:rsid w:val="00CB7296"/>
    <w:rsid w:val="00CC220B"/>
    <w:rsid w:val="00CC5C43"/>
    <w:rsid w:val="00CD02AE"/>
    <w:rsid w:val="00CD0FCC"/>
    <w:rsid w:val="00CD2A4F"/>
    <w:rsid w:val="00CD3E94"/>
    <w:rsid w:val="00CD51FF"/>
    <w:rsid w:val="00CD55ED"/>
    <w:rsid w:val="00CE03CA"/>
    <w:rsid w:val="00CE22F1"/>
    <w:rsid w:val="00CE3C5E"/>
    <w:rsid w:val="00CE50F2"/>
    <w:rsid w:val="00CE5EB8"/>
    <w:rsid w:val="00CE6502"/>
    <w:rsid w:val="00CF7D3C"/>
    <w:rsid w:val="00D01F09"/>
    <w:rsid w:val="00D07CD6"/>
    <w:rsid w:val="00D147EB"/>
    <w:rsid w:val="00D21E95"/>
    <w:rsid w:val="00D254F3"/>
    <w:rsid w:val="00D34667"/>
    <w:rsid w:val="00D401E1"/>
    <w:rsid w:val="00D408B4"/>
    <w:rsid w:val="00D44330"/>
    <w:rsid w:val="00D47E97"/>
    <w:rsid w:val="00D5080B"/>
    <w:rsid w:val="00D524C8"/>
    <w:rsid w:val="00D54611"/>
    <w:rsid w:val="00D57FFE"/>
    <w:rsid w:val="00D666B4"/>
    <w:rsid w:val="00D66A02"/>
    <w:rsid w:val="00D70E24"/>
    <w:rsid w:val="00D72B61"/>
    <w:rsid w:val="00D72B6A"/>
    <w:rsid w:val="00D73E4A"/>
    <w:rsid w:val="00D80EC9"/>
    <w:rsid w:val="00D9194C"/>
    <w:rsid w:val="00D933A7"/>
    <w:rsid w:val="00DA3D1D"/>
    <w:rsid w:val="00DA52D6"/>
    <w:rsid w:val="00DA5CE0"/>
    <w:rsid w:val="00DA7B37"/>
    <w:rsid w:val="00DB1416"/>
    <w:rsid w:val="00DB20C0"/>
    <w:rsid w:val="00DB5689"/>
    <w:rsid w:val="00DB586B"/>
    <w:rsid w:val="00DB5A51"/>
    <w:rsid w:val="00DB6286"/>
    <w:rsid w:val="00DB645F"/>
    <w:rsid w:val="00DB76E9"/>
    <w:rsid w:val="00DB7E5D"/>
    <w:rsid w:val="00DC0A67"/>
    <w:rsid w:val="00DC1D5E"/>
    <w:rsid w:val="00DC406A"/>
    <w:rsid w:val="00DC5220"/>
    <w:rsid w:val="00DC56B1"/>
    <w:rsid w:val="00DC6BD6"/>
    <w:rsid w:val="00DD0721"/>
    <w:rsid w:val="00DD2061"/>
    <w:rsid w:val="00DD7DAB"/>
    <w:rsid w:val="00DE1416"/>
    <w:rsid w:val="00DE2E57"/>
    <w:rsid w:val="00DE3355"/>
    <w:rsid w:val="00DF0C60"/>
    <w:rsid w:val="00DF33FB"/>
    <w:rsid w:val="00DF4436"/>
    <w:rsid w:val="00DF486F"/>
    <w:rsid w:val="00DF5B5B"/>
    <w:rsid w:val="00DF7619"/>
    <w:rsid w:val="00E01FF1"/>
    <w:rsid w:val="00E022DA"/>
    <w:rsid w:val="00E042D8"/>
    <w:rsid w:val="00E05E31"/>
    <w:rsid w:val="00E07EE7"/>
    <w:rsid w:val="00E1103B"/>
    <w:rsid w:val="00E17B44"/>
    <w:rsid w:val="00E2039B"/>
    <w:rsid w:val="00E20F27"/>
    <w:rsid w:val="00E22443"/>
    <w:rsid w:val="00E25B1F"/>
    <w:rsid w:val="00E270E8"/>
    <w:rsid w:val="00E27FEA"/>
    <w:rsid w:val="00E32400"/>
    <w:rsid w:val="00E325E1"/>
    <w:rsid w:val="00E34F23"/>
    <w:rsid w:val="00E35121"/>
    <w:rsid w:val="00E4086F"/>
    <w:rsid w:val="00E43B3C"/>
    <w:rsid w:val="00E50188"/>
    <w:rsid w:val="00E50BB3"/>
    <w:rsid w:val="00E515CB"/>
    <w:rsid w:val="00E52260"/>
    <w:rsid w:val="00E54720"/>
    <w:rsid w:val="00E60C2A"/>
    <w:rsid w:val="00E60D4D"/>
    <w:rsid w:val="00E639B6"/>
    <w:rsid w:val="00E6434B"/>
    <w:rsid w:val="00E6463D"/>
    <w:rsid w:val="00E72E9B"/>
    <w:rsid w:val="00E75B14"/>
    <w:rsid w:val="00E80D35"/>
    <w:rsid w:val="00E8284B"/>
    <w:rsid w:val="00E832D4"/>
    <w:rsid w:val="00E850C3"/>
    <w:rsid w:val="00E87DF2"/>
    <w:rsid w:val="00E93851"/>
    <w:rsid w:val="00E9462E"/>
    <w:rsid w:val="00E951C6"/>
    <w:rsid w:val="00EA470E"/>
    <w:rsid w:val="00EA47A7"/>
    <w:rsid w:val="00EA57EB"/>
    <w:rsid w:val="00EB3226"/>
    <w:rsid w:val="00EC213A"/>
    <w:rsid w:val="00EC6CD7"/>
    <w:rsid w:val="00EC7744"/>
    <w:rsid w:val="00ED0A31"/>
    <w:rsid w:val="00ED0DAD"/>
    <w:rsid w:val="00ED0F46"/>
    <w:rsid w:val="00ED126C"/>
    <w:rsid w:val="00ED2373"/>
    <w:rsid w:val="00ED2A5A"/>
    <w:rsid w:val="00ED6919"/>
    <w:rsid w:val="00EE2151"/>
    <w:rsid w:val="00EE3E8A"/>
    <w:rsid w:val="00EF58B8"/>
    <w:rsid w:val="00EF634A"/>
    <w:rsid w:val="00EF6ECA"/>
    <w:rsid w:val="00F0083D"/>
    <w:rsid w:val="00F024E1"/>
    <w:rsid w:val="00F04C5D"/>
    <w:rsid w:val="00F06C10"/>
    <w:rsid w:val="00F1096F"/>
    <w:rsid w:val="00F12589"/>
    <w:rsid w:val="00F12595"/>
    <w:rsid w:val="00F134D9"/>
    <w:rsid w:val="00F1403D"/>
    <w:rsid w:val="00F1463F"/>
    <w:rsid w:val="00F17295"/>
    <w:rsid w:val="00F21302"/>
    <w:rsid w:val="00F2430D"/>
    <w:rsid w:val="00F321DE"/>
    <w:rsid w:val="00F33777"/>
    <w:rsid w:val="00F34D05"/>
    <w:rsid w:val="00F37871"/>
    <w:rsid w:val="00F40648"/>
    <w:rsid w:val="00F445D8"/>
    <w:rsid w:val="00F47DA2"/>
    <w:rsid w:val="00F51321"/>
    <w:rsid w:val="00F519FC"/>
    <w:rsid w:val="00F51BE0"/>
    <w:rsid w:val="00F569B0"/>
    <w:rsid w:val="00F6239D"/>
    <w:rsid w:val="00F625E3"/>
    <w:rsid w:val="00F715D2"/>
    <w:rsid w:val="00F7274F"/>
    <w:rsid w:val="00F74E84"/>
    <w:rsid w:val="00F76A1B"/>
    <w:rsid w:val="00F76FA8"/>
    <w:rsid w:val="00F77C5C"/>
    <w:rsid w:val="00F85707"/>
    <w:rsid w:val="00F870D5"/>
    <w:rsid w:val="00F93F08"/>
    <w:rsid w:val="00F94CED"/>
    <w:rsid w:val="00F95018"/>
    <w:rsid w:val="00FA02BB"/>
    <w:rsid w:val="00FA2CEE"/>
    <w:rsid w:val="00FA318C"/>
    <w:rsid w:val="00FA7841"/>
    <w:rsid w:val="00FB4586"/>
    <w:rsid w:val="00FB6F92"/>
    <w:rsid w:val="00FC026E"/>
    <w:rsid w:val="00FC5124"/>
    <w:rsid w:val="00FC7F13"/>
    <w:rsid w:val="00FD3F60"/>
    <w:rsid w:val="00FD4731"/>
    <w:rsid w:val="00FD6768"/>
    <w:rsid w:val="00FD7ED1"/>
    <w:rsid w:val="00FF0AB0"/>
    <w:rsid w:val="00FF28AC"/>
    <w:rsid w:val="00FF777D"/>
    <w:rsid w:val="00FF7F62"/>
    <w:rsid w:val="057EB02B"/>
    <w:rsid w:val="0BD20696"/>
    <w:rsid w:val="0C3E2579"/>
    <w:rsid w:val="11D55C1B"/>
    <w:rsid w:val="1594D3F5"/>
    <w:rsid w:val="15F4C346"/>
    <w:rsid w:val="1BCB6203"/>
    <w:rsid w:val="2BC8F487"/>
    <w:rsid w:val="30645FDB"/>
    <w:rsid w:val="3261F83F"/>
    <w:rsid w:val="34E6BD61"/>
    <w:rsid w:val="3646C41D"/>
    <w:rsid w:val="381E5E23"/>
    <w:rsid w:val="38C88EA3"/>
    <w:rsid w:val="41CD2DEF"/>
    <w:rsid w:val="425B53AC"/>
    <w:rsid w:val="42B7C563"/>
    <w:rsid w:val="4368FE50"/>
    <w:rsid w:val="4504CEB1"/>
    <w:rsid w:val="49BB4481"/>
    <w:rsid w:val="4A76EBC7"/>
    <w:rsid w:val="53857EAE"/>
    <w:rsid w:val="54E99EDB"/>
    <w:rsid w:val="560EB56E"/>
    <w:rsid w:val="592D2DD3"/>
    <w:rsid w:val="5B4215E2"/>
    <w:rsid w:val="6B24792E"/>
    <w:rsid w:val="6B7D1ECB"/>
    <w:rsid w:val="6F4F3D4C"/>
    <w:rsid w:val="70251F0A"/>
    <w:rsid w:val="78983F9C"/>
    <w:rsid w:val="79EC35DD"/>
    <w:rsid w:val="7D6BB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C98"/>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3"/>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DA7B37"/>
    <w:pPr>
      <w:keepNext/>
      <w:spacing w:before="240" w:after="60"/>
      <w:outlineLvl w:val="1"/>
    </w:pPr>
    <w:rPr>
      <w:rFonts w:ascii="Arial" w:hAnsi="Arial" w:cs="Arial"/>
      <w:b/>
      <w:bCs/>
      <w:iCs/>
      <w:color w:val="002060"/>
      <w:sz w:val="36"/>
      <w:szCs w:val="28"/>
      <w:lang w:eastAsia="en-US"/>
    </w:rPr>
  </w:style>
  <w:style w:type="paragraph" w:styleId="Heading3">
    <w:name w:val="heading 3"/>
    <w:next w:val="Normal"/>
    <w:link w:val="Heading3Char"/>
    <w:uiPriority w:val="9"/>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line="276" w:lineRule="auto"/>
    </w:pPr>
    <w:rPr>
      <w:rFonts w:eastAsia="Times New Roman" w:cs="Times New Roman"/>
      <w:color w:val="000000" w:themeColor="text1"/>
      <w:sz w:val="22"/>
      <w:szCs w:val="24"/>
    </w:rPr>
  </w:style>
  <w:style w:type="paragraph" w:styleId="ListParagraph">
    <w:name w:val="List Paragraph"/>
    <w:aliases w:val="List Paragraph1,Recommendation,List Paragraph11,dot point 1,Body text,Bullet point,Bullets,CV text,Dot pt,F5 List Paragraph,FooterText,L,List Paragraph111,List Paragraph2,Medium Grid 1 - Accent 21,NAST Quote,NFP GP Bulleted List"/>
    <w:basedOn w:val="Normal"/>
    <w:link w:val="ListParagraphChar"/>
    <w:uiPriority w:val="34"/>
    <w:qFormat/>
    <w:rsid w:val="00A719F6"/>
    <w:pPr>
      <w:spacing w:before="120" w:after="120" w:line="276" w:lineRule="auto"/>
      <w:ind w:left="720"/>
      <w:contextualSpacing/>
    </w:pPr>
    <w:rPr>
      <w:rFonts w:eastAsia="Times New Roman" w:cs="Times New Roman"/>
      <w:color w:val="000000" w:themeColor="text1"/>
      <w:sz w:val="22"/>
      <w:szCs w:val="24"/>
    </w:r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pPr>
      <w:spacing w:before="120" w:after="120" w:line="276" w:lineRule="auto"/>
    </w:pPr>
    <w:rPr>
      <w:rFonts w:eastAsia="Times New Roman" w:cs="Times New Roman"/>
      <w:color w:val="000000" w:themeColor="text1"/>
      <w:sz w:val="22"/>
      <w:szCs w:val="24"/>
    </w:rPr>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line="276" w:lineRule="auto"/>
    </w:pPr>
    <w:rPr>
      <w:rFonts w:eastAsia="Cambria" w:cs="Times New Roman"/>
      <w:b/>
      <w:color w:val="FFFFFF" w:themeColor="background1"/>
      <w:sz w:val="22"/>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line="276" w:lineRule="auto"/>
    </w:pPr>
    <w:rPr>
      <w:rFonts w:eastAsia="Cambria" w:cs="Times New Roman"/>
      <w:b/>
      <w:color w:val="FFFFFF" w:themeColor="background1"/>
      <w:sz w:val="22"/>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s="Times New Roman"/>
      <w:color w:val="358189"/>
      <w:sz w:val="22"/>
      <w:szCs w:val="24"/>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after="120" w:line="260" w:lineRule="auto"/>
      <w:ind w:left="227" w:right="227"/>
    </w:pPr>
    <w:rPr>
      <w:rFonts w:eastAsia="Times New Roman" w:cs="Times New Roman"/>
      <w:color w:val="000000" w:themeColor="text1"/>
      <w:sz w:val="22"/>
      <w:szCs w:val="24"/>
    </w:rPr>
  </w:style>
  <w:style w:type="paragraph" w:customStyle="1" w:styleId="IntroPara">
    <w:name w:val="Intro Para"/>
    <w:basedOn w:val="Normal"/>
    <w:next w:val="Normal"/>
    <w:qFormat/>
    <w:rsid w:val="00A719F6"/>
    <w:pPr>
      <w:spacing w:before="480" w:after="120" w:line="400" w:lineRule="exact"/>
    </w:pPr>
    <w:rPr>
      <w:rFonts w:eastAsia="Times New Roman" w:cs="Times New Roman"/>
      <w:color w:val="358189"/>
      <w:sz w:val="28"/>
      <w:szCs w:val="24"/>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pPr>
      <w:spacing w:before="120" w:after="120" w:line="276" w:lineRule="auto"/>
    </w:pPr>
    <w:rPr>
      <w:rFonts w:ascii="Tahoma" w:eastAsia="Times New Roman" w:hAnsi="Tahoma" w:cs="Tahoma"/>
      <w:color w:val="000000" w:themeColor="text1"/>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DA7B37"/>
    <w:rPr>
      <w:rFonts w:ascii="Arial" w:hAnsi="Arial" w:cs="Arial"/>
      <w:b/>
      <w:bCs/>
      <w:iCs/>
      <w:color w:val="002060"/>
      <w:sz w:val="36"/>
      <w:szCs w:val="28"/>
      <w:lang w:eastAsia="en-US"/>
    </w:rPr>
  </w:style>
  <w:style w:type="paragraph" w:styleId="CommentText">
    <w:name w:val="annotation text"/>
    <w:basedOn w:val="Normal"/>
    <w:link w:val="CommentTextChar"/>
    <w:unhideWhenUsed/>
    <w:rsid w:val="00064168"/>
    <w:pPr>
      <w:spacing w:line="240" w:lineRule="auto"/>
    </w:pPr>
    <w:rPr>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ind w:left="567" w:right="1394"/>
    </w:pPr>
    <w:rPr>
      <w:i/>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Heading1Char">
    <w:name w:val="Heading 1 Char"/>
    <w:basedOn w:val="DefaultParagraphFont"/>
    <w:link w:val="Heading1"/>
    <w:uiPriority w:val="3"/>
    <w:rsid w:val="000847AA"/>
    <w:rPr>
      <w:rFonts w:ascii="Arial" w:hAnsi="Arial" w:cs="Arial"/>
      <w:b/>
      <w:bCs/>
      <w:color w:val="3F4A75"/>
      <w:kern w:val="28"/>
      <w:sz w:val="44"/>
      <w:szCs w:val="36"/>
      <w:lang w:eastAsia="en-US"/>
    </w:rPr>
  </w:style>
  <w:style w:type="character" w:styleId="CommentReference">
    <w:name w:val="annotation reference"/>
    <w:basedOn w:val="DefaultParagraphFont"/>
    <w:unhideWhenUsed/>
    <w:rsid w:val="000847AA"/>
    <w:rPr>
      <w:sz w:val="16"/>
      <w:szCs w:val="16"/>
    </w:rPr>
  </w:style>
  <w:style w:type="character" w:customStyle="1" w:styleId="Heading3Char">
    <w:name w:val="Heading 3 Char"/>
    <w:basedOn w:val="DefaultParagraphFont"/>
    <w:link w:val="Heading3"/>
    <w:uiPriority w:val="9"/>
    <w:rsid w:val="000847AA"/>
    <w:rPr>
      <w:rFonts w:ascii="Arial" w:hAnsi="Arial" w:cs="Arial"/>
      <w:b/>
      <w:bCs/>
      <w:color w:val="358189"/>
      <w:sz w:val="32"/>
      <w:szCs w:val="26"/>
      <w:lang w:eastAsia="en-US"/>
    </w:rPr>
  </w:style>
  <w:style w:type="character" w:customStyle="1" w:styleId="normaltextrun">
    <w:name w:val="normaltextrun"/>
    <w:basedOn w:val="DefaultParagraphFont"/>
    <w:rsid w:val="00231CB3"/>
  </w:style>
  <w:style w:type="character" w:customStyle="1" w:styleId="subsectionChar">
    <w:name w:val="subsection Char"/>
    <w:aliases w:val="ss Char"/>
    <w:basedOn w:val="DefaultParagraphFont"/>
    <w:link w:val="subsection"/>
    <w:locked/>
    <w:rsid w:val="009F0D50"/>
  </w:style>
  <w:style w:type="paragraph" w:customStyle="1" w:styleId="subsection">
    <w:name w:val="subsection"/>
    <w:aliases w:val="ss,Subsection"/>
    <w:basedOn w:val="Normal"/>
    <w:link w:val="subsectionChar"/>
    <w:rsid w:val="009F0D50"/>
    <w:pPr>
      <w:spacing w:before="180" w:after="0" w:line="240" w:lineRule="auto"/>
      <w:ind w:left="1134" w:hanging="1134"/>
    </w:pPr>
    <w:rPr>
      <w:rFonts w:ascii="Times New Roman" w:eastAsia="Times New Roman" w:hAnsi="Times New Roman" w:cs="Times New Roman"/>
      <w:szCs w:val="20"/>
      <w:lang w:eastAsia="en-AU"/>
    </w:rPr>
  </w:style>
  <w:style w:type="paragraph" w:customStyle="1" w:styleId="itemhead">
    <w:name w:val="itemhead"/>
    <w:basedOn w:val="Normal"/>
    <w:rsid w:val="009F0D50"/>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item">
    <w:name w:val="item"/>
    <w:basedOn w:val="Normal"/>
    <w:rsid w:val="009F0D50"/>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styleId="CommentSubject">
    <w:name w:val="annotation subject"/>
    <w:basedOn w:val="CommentText"/>
    <w:next w:val="CommentText"/>
    <w:link w:val="CommentSubjectChar"/>
    <w:semiHidden/>
    <w:unhideWhenUsed/>
    <w:rsid w:val="001025BD"/>
    <w:rPr>
      <w:b/>
      <w:bCs/>
    </w:rPr>
  </w:style>
  <w:style w:type="character" w:customStyle="1" w:styleId="CommentSubjectChar">
    <w:name w:val="Comment Subject Char"/>
    <w:basedOn w:val="CommentTextChar"/>
    <w:link w:val="CommentSubject"/>
    <w:semiHidden/>
    <w:rsid w:val="001025BD"/>
    <w:rPr>
      <w:rFonts w:ascii="Arial" w:eastAsiaTheme="minorEastAsia" w:hAnsi="Arial" w:cstheme="minorBidi"/>
      <w:b/>
      <w:bCs/>
      <w:lang w:eastAsia="en-US"/>
    </w:rPr>
  </w:style>
  <w:style w:type="character" w:styleId="FollowedHyperlink">
    <w:name w:val="FollowedHyperlink"/>
    <w:basedOn w:val="DefaultParagraphFont"/>
    <w:semiHidden/>
    <w:unhideWhenUsed/>
    <w:rsid w:val="00531CAC"/>
    <w:rPr>
      <w:color w:val="800080" w:themeColor="followedHyperlink"/>
      <w:u w:val="single"/>
    </w:rPr>
  </w:style>
  <w:style w:type="character" w:customStyle="1" w:styleId="ListParagraphChar">
    <w:name w:val="List Paragraph Char"/>
    <w:aliases w:val="List Paragraph1 Char,Recommendation Char,List Paragraph11 Char,dot point 1 Char,Body text Char,Bullet point Char,Bullets Char,CV text Char,Dot pt Char,F5 List Paragraph Char,FooterText Char,L Char,List Paragraph111 Char"/>
    <w:link w:val="ListParagraph"/>
    <w:uiPriority w:val="34"/>
    <w:locked/>
    <w:rsid w:val="00C965DE"/>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8337DC"/>
    <w:rPr>
      <w:color w:val="605E5C"/>
      <w:shd w:val="clear" w:color="auto" w:fill="E1DFDD"/>
    </w:rPr>
  </w:style>
  <w:style w:type="paragraph" w:styleId="Revision">
    <w:name w:val="Revision"/>
    <w:hidden/>
    <w:uiPriority w:val="99"/>
    <w:semiHidden/>
    <w:rsid w:val="00371934"/>
    <w:rPr>
      <w:rFonts w:ascii="Arial" w:eastAsiaTheme="minorEastAsia" w:hAnsi="Arial" w:cstheme="minorBidi"/>
      <w:szCs w:val="21"/>
      <w:lang w:eastAsia="en-US"/>
    </w:rPr>
  </w:style>
  <w:style w:type="paragraph" w:styleId="TOCHeading">
    <w:name w:val="TOC Heading"/>
    <w:basedOn w:val="Heading1"/>
    <w:next w:val="Normal"/>
    <w:uiPriority w:val="39"/>
    <w:unhideWhenUsed/>
    <w:qFormat/>
    <w:rsid w:val="00312AAA"/>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312AAA"/>
    <w:pPr>
      <w:spacing w:after="100"/>
    </w:pPr>
  </w:style>
  <w:style w:type="paragraph" w:styleId="TOC2">
    <w:name w:val="toc 2"/>
    <w:basedOn w:val="Normal"/>
    <w:next w:val="Normal"/>
    <w:autoRedefine/>
    <w:uiPriority w:val="39"/>
    <w:unhideWhenUsed/>
    <w:rsid w:val="00DA52D6"/>
    <w:pPr>
      <w:tabs>
        <w:tab w:val="right" w:leader="dot" w:pos="9060"/>
      </w:tabs>
      <w:spacing w:after="100"/>
      <w:ind w:left="200"/>
    </w:pPr>
    <w:rPr>
      <w:b/>
      <w:bCs/>
      <w:noProof/>
    </w:rPr>
  </w:style>
  <w:style w:type="paragraph" w:styleId="TOC3">
    <w:name w:val="toc 3"/>
    <w:basedOn w:val="Normal"/>
    <w:next w:val="Normal"/>
    <w:autoRedefine/>
    <w:uiPriority w:val="39"/>
    <w:unhideWhenUsed/>
    <w:rsid w:val="007876C6"/>
    <w:pPr>
      <w:tabs>
        <w:tab w:val="right" w:leader="dot" w:pos="9639"/>
      </w:tabs>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29">
      <w:bodyDiv w:val="1"/>
      <w:marLeft w:val="0"/>
      <w:marRight w:val="0"/>
      <w:marTop w:val="0"/>
      <w:marBottom w:val="0"/>
      <w:divBdr>
        <w:top w:val="none" w:sz="0" w:space="0" w:color="auto"/>
        <w:left w:val="none" w:sz="0" w:space="0" w:color="auto"/>
        <w:bottom w:val="none" w:sz="0" w:space="0" w:color="auto"/>
        <w:right w:val="none" w:sz="0" w:space="0" w:color="auto"/>
      </w:divBdr>
    </w:div>
    <w:div w:id="246698323">
      <w:bodyDiv w:val="1"/>
      <w:marLeft w:val="0"/>
      <w:marRight w:val="0"/>
      <w:marTop w:val="0"/>
      <w:marBottom w:val="0"/>
      <w:divBdr>
        <w:top w:val="none" w:sz="0" w:space="0" w:color="auto"/>
        <w:left w:val="none" w:sz="0" w:space="0" w:color="auto"/>
        <w:bottom w:val="none" w:sz="0" w:space="0" w:color="auto"/>
        <w:right w:val="none" w:sz="0" w:space="0" w:color="auto"/>
      </w:divBdr>
    </w:div>
    <w:div w:id="3265221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7743971">
      <w:bodyDiv w:val="1"/>
      <w:marLeft w:val="0"/>
      <w:marRight w:val="0"/>
      <w:marTop w:val="0"/>
      <w:marBottom w:val="0"/>
      <w:divBdr>
        <w:top w:val="none" w:sz="0" w:space="0" w:color="auto"/>
        <w:left w:val="none" w:sz="0" w:space="0" w:color="auto"/>
        <w:bottom w:val="none" w:sz="0" w:space="0" w:color="auto"/>
        <w:right w:val="none" w:sz="0" w:space="0" w:color="auto"/>
      </w:divBdr>
    </w:div>
    <w:div w:id="60569252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1382702">
      <w:bodyDiv w:val="1"/>
      <w:marLeft w:val="0"/>
      <w:marRight w:val="0"/>
      <w:marTop w:val="0"/>
      <w:marBottom w:val="0"/>
      <w:divBdr>
        <w:top w:val="none" w:sz="0" w:space="0" w:color="auto"/>
        <w:left w:val="none" w:sz="0" w:space="0" w:color="auto"/>
        <w:bottom w:val="none" w:sz="0" w:space="0" w:color="auto"/>
        <w:right w:val="none" w:sz="0" w:space="0" w:color="auto"/>
      </w:divBdr>
    </w:div>
    <w:div w:id="860164030">
      <w:bodyDiv w:val="1"/>
      <w:marLeft w:val="0"/>
      <w:marRight w:val="0"/>
      <w:marTop w:val="0"/>
      <w:marBottom w:val="0"/>
      <w:divBdr>
        <w:top w:val="none" w:sz="0" w:space="0" w:color="auto"/>
        <w:left w:val="none" w:sz="0" w:space="0" w:color="auto"/>
        <w:bottom w:val="none" w:sz="0" w:space="0" w:color="auto"/>
        <w:right w:val="none" w:sz="0" w:space="0" w:color="auto"/>
      </w:divBdr>
    </w:div>
    <w:div w:id="111517172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6206765">
      <w:bodyDiv w:val="1"/>
      <w:marLeft w:val="0"/>
      <w:marRight w:val="0"/>
      <w:marTop w:val="0"/>
      <w:marBottom w:val="0"/>
      <w:divBdr>
        <w:top w:val="none" w:sz="0" w:space="0" w:color="auto"/>
        <w:left w:val="none" w:sz="0" w:space="0" w:color="auto"/>
        <w:bottom w:val="none" w:sz="0" w:space="0" w:color="auto"/>
        <w:right w:val="none" w:sz="0" w:space="0" w:color="auto"/>
      </w:divBdr>
    </w:div>
    <w:div w:id="1711612855">
      <w:bodyDiv w:val="1"/>
      <w:marLeft w:val="0"/>
      <w:marRight w:val="0"/>
      <w:marTop w:val="0"/>
      <w:marBottom w:val="0"/>
      <w:divBdr>
        <w:top w:val="none" w:sz="0" w:space="0" w:color="auto"/>
        <w:left w:val="none" w:sz="0" w:space="0" w:color="auto"/>
        <w:bottom w:val="none" w:sz="0" w:space="0" w:color="auto"/>
        <w:right w:val="none" w:sz="0" w:space="0" w:color="auto"/>
      </w:divBdr>
    </w:div>
    <w:div w:id="1781561538">
      <w:bodyDiv w:val="1"/>
      <w:marLeft w:val="0"/>
      <w:marRight w:val="0"/>
      <w:marTop w:val="0"/>
      <w:marBottom w:val="0"/>
      <w:divBdr>
        <w:top w:val="none" w:sz="0" w:space="0" w:color="auto"/>
        <w:left w:val="none" w:sz="0" w:space="0" w:color="auto"/>
        <w:bottom w:val="none" w:sz="0" w:space="0" w:color="auto"/>
        <w:right w:val="none" w:sz="0" w:space="0" w:color="auto"/>
      </w:divBdr>
    </w:div>
    <w:div w:id="1819036618">
      <w:bodyDiv w:val="1"/>
      <w:marLeft w:val="0"/>
      <w:marRight w:val="0"/>
      <w:marTop w:val="0"/>
      <w:marBottom w:val="0"/>
      <w:divBdr>
        <w:top w:val="none" w:sz="0" w:space="0" w:color="auto"/>
        <w:left w:val="none" w:sz="0" w:space="0" w:color="auto"/>
        <w:bottom w:val="none" w:sz="0" w:space="0" w:color="auto"/>
        <w:right w:val="none" w:sz="0" w:space="0" w:color="auto"/>
      </w:divBdr>
    </w:div>
    <w:div w:id="186471176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113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MBS@health.gov.au" TargetMode="External"/><Relationship Id="rId13" Type="http://schemas.openxmlformats.org/officeDocument/2006/relationships/hyperlink" Target="https://www.health.gov.au/news/newsletters/chief-allied-health-officer-newsletter-issue-2-december-2021" TargetMode="External"/><Relationship Id="rId18" Type="http://schemas.openxmlformats.org/officeDocument/2006/relationships/hyperlink" Target="https://www.legislation.gov.au/Details/F2023C00970" TargetMode="External"/><Relationship Id="rId26" Type="http://schemas.openxmlformats.org/officeDocument/2006/relationships/hyperlink" Target="mailto:askMBS@health.gov.au" TargetMode="External"/><Relationship Id="rId3" Type="http://schemas.openxmlformats.org/officeDocument/2006/relationships/styles" Target="styles.xml"/><Relationship Id="rId21" Type="http://schemas.openxmlformats.org/officeDocument/2006/relationships/hyperlink" Target="https://www.health.gov.au/our-work/mbs-review"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internet/mbsonline/publishing.nsf/Content/Factsheet-CND+Eligible-disability-MBS-changes" TargetMode="External"/><Relationship Id="rId17" Type="http://schemas.openxmlformats.org/officeDocument/2006/relationships/hyperlink" Target="http://www9.health.gov.au/mbs/fullDisplay.cfm?type=note&amp;qt=NoteID&amp;q=MN.10.3" TargetMode="External"/><Relationship Id="rId25" Type="http://schemas.openxmlformats.org/officeDocument/2006/relationships/hyperlink" Target="http://www.mbsonline.gov.a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9.health.gov.au/mbs/fullDisplay.cfm?type=note&amp;qt=NoteID&amp;q=AR.29.1" TargetMode="External"/><Relationship Id="rId20" Type="http://schemas.openxmlformats.org/officeDocument/2006/relationships/hyperlink" Target="http://www9.health.gov.au/mbs/fullDisplay.cfm?type=note&amp;qt=NoteID&amp;q=MN.10.3" TargetMode="External"/><Relationship Id="rId29"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internet/mbsonline/publishing.nsf/Content/Factsheet-CND+Eligible-disability-MBS-changes" TargetMode="External"/><Relationship Id="rId24" Type="http://schemas.openxmlformats.org/officeDocument/2006/relationships/hyperlink" Target="http://www.mbsonline.gov.au/" TargetMode="External"/><Relationship Id="rId32" Type="http://schemas.openxmlformats.org/officeDocument/2006/relationships/hyperlink" Target="http://www.mbsonline.gov.au/internet/mbsonline/publishing.nsf/Content/download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Details/F2023C00970" TargetMode="External"/><Relationship Id="rId23" Type="http://schemas.openxmlformats.org/officeDocument/2006/relationships/hyperlink" Target="http://www.mbsonline.gov.au/internet/mbsonline/publishing.nsf/Content/Home" TargetMode="External"/><Relationship Id="rId28" Type="http://schemas.openxmlformats.org/officeDocument/2006/relationships/hyperlink" Target="https://www.health.gov.au/topics/private-health-insurance/private-health-insurance-reforms" TargetMode="External"/><Relationship Id="rId36" Type="http://schemas.openxmlformats.org/officeDocument/2006/relationships/footer" Target="footer2.xml"/><Relationship Id="rId10" Type="http://schemas.openxmlformats.org/officeDocument/2006/relationships/hyperlink" Target="http://www.mbsonline.gov.au/internet/mbsonline/publishing.nsf/Content/Factsheet-CND+Eligible-disability-MBS-changes" TargetMode="External"/><Relationship Id="rId19" Type="http://schemas.openxmlformats.org/officeDocument/2006/relationships/hyperlink" Target="http://www9.health.gov.au/mbs/fullDisplay.cfm?type=note&amp;qt=NoteID&amp;q=AR.29.1" TargetMode="External"/><Relationship Id="rId31"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https://us3.campaign-archive.com/?u=1f52d99769eadbb98a6751dbd&amp;id=ef956b8ccc" TargetMode="External"/><Relationship Id="rId22" Type="http://schemas.openxmlformats.org/officeDocument/2006/relationships/hyperlink" Target="http://www.mbsonline.gov.au/internet/mbsonline/publishing.nsf/Content/Home" TargetMode="External"/><Relationship Id="rId27" Type="http://schemas.openxmlformats.org/officeDocument/2006/relationships/hyperlink" Target="https://www.privatehealth.gov.au/health_insurance/phichanges/index.htm" TargetMode="External"/><Relationship Id="rId30" Type="http://schemas.openxmlformats.org/officeDocument/2006/relationships/hyperlink" Target="mailto:PHI@health.gov.au"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2949</Words>
  <Characters>19935</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2023-11-27T23:44:00Z</dcterms:created>
  <dcterms:modified xsi:type="dcterms:W3CDTF">2023-11-28T00:20:00Z</dcterms:modified>
</cp:coreProperties>
</file>