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CF" w:rsidRDefault="008B42CF" w:rsidP="008B42CF">
      <w:pPr>
        <w:pStyle w:val="Heading1"/>
      </w:pPr>
      <w:bookmarkStart w:id="0" w:name="_Hlk4568006"/>
      <w:bookmarkStart w:id="1" w:name="_GoBack"/>
      <w:bookmarkEnd w:id="1"/>
      <w:r>
        <w:t>Changes to MBS items for breast biopsy services factsheet</w:t>
      </w:r>
    </w:p>
    <w:p w:rsidR="00907B4A" w:rsidRPr="00AB53A4" w:rsidRDefault="00907B4A" w:rsidP="00AB53A4">
      <w:r>
        <w:t xml:space="preserve">Last updated: </w:t>
      </w:r>
      <w:r w:rsidR="007B5A75">
        <w:t xml:space="preserve"> </w:t>
      </w:r>
      <w:r w:rsidR="00095D20">
        <w:t xml:space="preserve">16 </w:t>
      </w:r>
      <w:r w:rsidR="007B5A75">
        <w:t>April</w:t>
      </w:r>
      <w:r w:rsidR="008B42CF">
        <w:t xml:space="preserve"> 2020</w:t>
      </w:r>
    </w:p>
    <w:bookmarkEnd w:id="0"/>
    <w:p w:rsidR="008B42CF" w:rsidRDefault="008B42CF" w:rsidP="008B42CF">
      <w:pPr>
        <w:pStyle w:val="ListParagraph"/>
      </w:pPr>
      <w:r>
        <w:t>From 1 May 2020, Medicare Benefits Schedule (MBS) items for breast biopsy services will chang</w:t>
      </w:r>
      <w:r w:rsidR="00E636F8">
        <w:t>e</w:t>
      </w:r>
      <w:r>
        <w:t xml:space="preserve"> to reflect contemporary clinical practice.</w:t>
      </w:r>
    </w:p>
    <w:p w:rsidR="00045810" w:rsidRDefault="008B42CF" w:rsidP="009E66EE">
      <w:pPr>
        <w:pStyle w:val="ListParagraph"/>
      </w:pPr>
      <w:r>
        <w:t>These changes were recommended by the MBS Review Taskforce (Taskforce), in consultation with stakeholders, after consideration of the clinical evidence, cost-effectiveness and safety of the procedures.</w:t>
      </w:r>
    </w:p>
    <w:p w:rsidR="00045810" w:rsidRDefault="008B42CF" w:rsidP="00045810">
      <w:pPr>
        <w:pStyle w:val="ListParagraph"/>
      </w:pPr>
      <w:r>
        <w:t>These changes will result in an increase to the schedule fee for</w:t>
      </w:r>
      <w:r w:rsidR="006A32B4">
        <w:t xml:space="preserve"> mechanical breast biopsy (</w:t>
      </w:r>
      <w:r>
        <w:t>item 31548</w:t>
      </w:r>
      <w:r w:rsidR="006A32B4">
        <w:t>)</w:t>
      </w:r>
      <w:r>
        <w:t xml:space="preserve">, and the deletion of </w:t>
      </w:r>
      <w:r w:rsidR="006A32B4">
        <w:t>bore-enbloc stereotactic biopsy (</w:t>
      </w:r>
      <w:r>
        <w:t>items 31539, 31542 and 31545</w:t>
      </w:r>
      <w:r w:rsidR="006A32B4">
        <w:t>)</w:t>
      </w:r>
      <w:r>
        <w:t>.</w:t>
      </w:r>
    </w:p>
    <w:p w:rsidR="00AB53A4" w:rsidRDefault="008B42CF" w:rsidP="00E922C5">
      <w:pPr>
        <w:pStyle w:val="ListParagraph"/>
      </w:pPr>
      <w:r>
        <w:t>These changes are relevant for</w:t>
      </w:r>
      <w:r w:rsidR="00E922C5">
        <w:t xml:space="preserve"> </w:t>
      </w:r>
      <w:r>
        <w:t xml:space="preserve">specialists involved in </w:t>
      </w:r>
      <w:r w:rsidR="00281A3A" w:rsidRPr="006A32B4">
        <w:t>image-guided breast biopsy</w:t>
      </w:r>
      <w:r w:rsidR="00E922C5">
        <w:t xml:space="preserve">, </w:t>
      </w:r>
      <w:r w:rsidR="006A32B4" w:rsidRPr="006A32B4">
        <w:t xml:space="preserve">providers </w:t>
      </w:r>
      <w:r w:rsidR="006A32B4">
        <w:t xml:space="preserve">of </w:t>
      </w:r>
      <w:r w:rsidR="006A32B4" w:rsidRPr="006A32B4">
        <w:t>imaging services</w:t>
      </w:r>
      <w:r w:rsidR="00E922C5">
        <w:t xml:space="preserve">, </w:t>
      </w:r>
      <w:r w:rsidR="00281A3A" w:rsidRPr="006A32B4">
        <w:t xml:space="preserve">consumers </w:t>
      </w:r>
      <w:r w:rsidR="006A32B4" w:rsidRPr="006A32B4">
        <w:t>receiving breast biopsy</w:t>
      </w:r>
      <w:r w:rsidR="00281A3A" w:rsidRPr="006A32B4">
        <w:t xml:space="preserve"> services</w:t>
      </w:r>
      <w:r w:rsidR="00E922C5">
        <w:t>, private hospitals,</w:t>
      </w:r>
      <w:r w:rsidR="00E636F8">
        <w:t xml:space="preserve"> and</w:t>
      </w:r>
      <w:r w:rsidR="00E922C5">
        <w:t xml:space="preserve"> </w:t>
      </w:r>
      <w:r w:rsidR="00281A3A">
        <w:t>private health insurers.</w:t>
      </w:r>
    </w:p>
    <w:p w:rsidR="0017279A" w:rsidRDefault="001E403E" w:rsidP="00AB53A4">
      <w:pPr>
        <w:sectPr w:rsidR="0017279A" w:rsidSect="00E922C5">
          <w:headerReference w:type="default" r:id="rId10"/>
          <w:footerReference w:type="default" r:id="rId11"/>
          <w:type w:val="continuous"/>
          <w:pgSz w:w="11906" w:h="16838"/>
          <w:pgMar w:top="2835" w:right="720" w:bottom="720" w:left="720" w:header="708" w:footer="708" w:gutter="0"/>
          <w:cols w:space="708"/>
          <w:docGrid w:linePitch="360"/>
        </w:sectPr>
      </w:pPr>
      <w:r>
        <w:rPr>
          <w:rStyle w:val="BookTitle"/>
        </w:rPr>
        <w:pict w14:anchorId="6AC0CEE7">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281A3A" w:rsidRDefault="009E66EE" w:rsidP="00B23A4C">
      <w:r>
        <w:t xml:space="preserve">From </w:t>
      </w:r>
      <w:r w:rsidR="00281A3A">
        <w:t>1 May 2020</w:t>
      </w:r>
      <w:r w:rsidR="00CA405A">
        <w:t>,</w:t>
      </w:r>
      <w:r w:rsidR="009807D9">
        <w:t xml:space="preserve"> changes to breast biopsy services will include</w:t>
      </w:r>
      <w:r w:rsidR="00281A3A">
        <w:t>:</w:t>
      </w:r>
    </w:p>
    <w:p w:rsidR="00135417" w:rsidRDefault="00680495" w:rsidP="00135417">
      <w:pPr>
        <w:pStyle w:val="ListParagraph"/>
      </w:pPr>
      <w:r>
        <w:t>An increase in the sc</w:t>
      </w:r>
      <w:r w:rsidR="009807D9">
        <w:t xml:space="preserve">hedule fee </w:t>
      </w:r>
      <w:r w:rsidR="00135417">
        <w:t xml:space="preserve">for </w:t>
      </w:r>
      <w:r w:rsidR="009807D9">
        <w:t>mechanical breast biopsy</w:t>
      </w:r>
      <w:r>
        <w:t xml:space="preserve"> (item 31548)</w:t>
      </w:r>
      <w:r w:rsidR="009807D9">
        <w:t xml:space="preserve"> to</w:t>
      </w:r>
      <w:r w:rsidR="002C5633">
        <w:t xml:space="preserve"> $203.20. This</w:t>
      </w:r>
      <w:r w:rsidR="009807D9">
        <w:t xml:space="preserve"> </w:t>
      </w:r>
      <w:r w:rsidR="002C5633">
        <w:t xml:space="preserve">fee </w:t>
      </w:r>
      <w:r w:rsidR="009807D9">
        <w:t>reflect</w:t>
      </w:r>
      <w:r w:rsidR="002C5633">
        <w:t>s</w:t>
      </w:r>
      <w:r w:rsidR="009807D9">
        <w:t xml:space="preserve"> the higher costs, clinical superiority and technical difficulty of mechanical breast biopsy compared to that performed using fine needle aspiration.</w:t>
      </w:r>
    </w:p>
    <w:p w:rsidR="00680495" w:rsidRDefault="00680495" w:rsidP="00135417">
      <w:pPr>
        <w:pStyle w:val="ListParagraph"/>
      </w:pPr>
      <w:r>
        <w:t>The introduction of a requirement that breast abnormalities requiring biopsy should be assessed by core biopsy or vacuum-assisted core biopsy.  This change reflects contemporary practice and clinical guidelines.</w:t>
      </w:r>
    </w:p>
    <w:p w:rsidR="009B7859" w:rsidRDefault="00680495" w:rsidP="00135417">
      <w:pPr>
        <w:pStyle w:val="ListParagraph"/>
      </w:pPr>
      <w:r>
        <w:t xml:space="preserve">The deletion of the </w:t>
      </w:r>
      <w:r w:rsidR="00281A3A">
        <w:t>bore-enbloc stereotactic biopsy</w:t>
      </w:r>
      <w:r>
        <w:t xml:space="preserve"> items</w:t>
      </w:r>
      <w:r w:rsidR="009B7859" w:rsidRPr="00291041">
        <w:t xml:space="preserve"> (</w:t>
      </w:r>
      <w:r w:rsidR="00281A3A">
        <w:t>31539, 31542 and 31545)</w:t>
      </w:r>
      <w:r w:rsidR="009807D9">
        <w:t xml:space="preserve"> as these services are considered clinically obsolete.</w:t>
      </w:r>
    </w:p>
    <w:p w:rsidR="00135417" w:rsidRDefault="00135417" w:rsidP="00AB53A4">
      <w:pPr>
        <w:pStyle w:val="Heading2"/>
      </w:pPr>
      <w:r>
        <w:t xml:space="preserve">Why </w:t>
      </w:r>
      <w:r w:rsidR="009F52D4">
        <w:t>are the changes being made</w:t>
      </w:r>
      <w:r>
        <w:t>?</w:t>
      </w:r>
    </w:p>
    <w:p w:rsidR="00CA405A" w:rsidRDefault="009807D9" w:rsidP="00CA405A">
      <w:r>
        <w:t xml:space="preserve">The MBS Review Taskforce found that </w:t>
      </w:r>
      <w:r w:rsidR="00CA405A">
        <w:t xml:space="preserve">changes to breast biopsy services </w:t>
      </w:r>
      <w:r w:rsidR="00680495">
        <w:t xml:space="preserve">were required </w:t>
      </w:r>
      <w:r w:rsidR="00CA405A">
        <w:t>to reflect contemporary clinical practice, encourage best practice, support patient care and safety, and ensure MBS services provide value to the patient and the healthcare system.</w:t>
      </w:r>
    </w:p>
    <w:p w:rsidR="001E6F63" w:rsidRDefault="001E6F63" w:rsidP="00433682">
      <w:bookmarkStart w:id="2" w:name="_Hlk535386664"/>
      <w:r>
        <w:t>These changes are a result o</w:t>
      </w:r>
      <w:r w:rsidR="00680495">
        <w:t>f</w:t>
      </w:r>
      <w:r>
        <w:t xml:space="preserve"> a review by the MBS</w:t>
      </w:r>
      <w:r w:rsidR="004511F2">
        <w:t> </w:t>
      </w:r>
      <w:r>
        <w:t>Review</w:t>
      </w:r>
      <w:r w:rsidR="004511F2">
        <w:t> </w:t>
      </w:r>
      <w:r>
        <w:t xml:space="preserve">Taskforce, which was informed by </w:t>
      </w:r>
      <w:r w:rsidR="00152ED5">
        <w:t xml:space="preserve">the </w:t>
      </w:r>
      <w:r w:rsidR="005F6D55">
        <w:t xml:space="preserve">Diagnostic Imaging </w:t>
      </w:r>
      <w:r>
        <w:t>Clinical Committee</w:t>
      </w:r>
      <w:r w:rsidR="005F6D55">
        <w:t xml:space="preserve"> (DICC)</w:t>
      </w:r>
      <w:r>
        <w:t>.</w:t>
      </w:r>
      <w:r w:rsidR="004511F2">
        <w:t xml:space="preserve"> </w:t>
      </w:r>
      <w:r>
        <w:t xml:space="preserve">More information about the Taskforce and associated Committees is available </w:t>
      </w:r>
      <w:r w:rsidR="007E2604">
        <w:t>in</w:t>
      </w:r>
      <w:r w:rsidR="00FE50B6">
        <w:t xml:space="preserve"> </w:t>
      </w:r>
      <w:hyperlink r:id="rId12" w:history="1">
        <w:r w:rsidR="00FE50B6" w:rsidRPr="00FE50B6">
          <w:rPr>
            <w:rStyle w:val="Hyperlink"/>
          </w:rPr>
          <w:t>Medicare Benefits Schedule Review</w:t>
        </w:r>
      </w:hyperlink>
      <w:r w:rsidR="00FE50B6">
        <w:t xml:space="preserve"> in the consumer section of the Department of Health website </w:t>
      </w:r>
      <w:hyperlink r:id="rId13" w:history="1">
        <w:r w:rsidR="00FE50B6" w:rsidRPr="007E7EB0">
          <w:rPr>
            <w:rStyle w:val="Hyperlink"/>
          </w:rPr>
          <w:t>www.health.gov.au</w:t>
        </w:r>
      </w:hyperlink>
      <w:r>
        <w:t xml:space="preserve">. </w:t>
      </w:r>
    </w:p>
    <w:bookmarkEnd w:id="2"/>
    <w:p w:rsidR="00425089" w:rsidRDefault="00425089" w:rsidP="00AB53A4">
      <w:pPr>
        <w:pStyle w:val="Heading2"/>
      </w:pPr>
      <w:r>
        <w:t xml:space="preserve">What does this mean for </w:t>
      </w:r>
      <w:r w:rsidR="00135417">
        <w:t>providers</w:t>
      </w:r>
      <w:r>
        <w:t>?</w:t>
      </w:r>
    </w:p>
    <w:p w:rsidR="00135417" w:rsidRDefault="00636764" w:rsidP="00425089">
      <w:r>
        <w:t xml:space="preserve">Providers </w:t>
      </w:r>
      <w:r w:rsidR="00680495">
        <w:t>will need to familiarise themselves with a new Explanatory Note for the use of breast biopsy items, and</w:t>
      </w:r>
      <w:r>
        <w:t xml:space="preserve"> cease using the bore-enbloc stereotactic biopsy items</w:t>
      </w:r>
      <w:r w:rsidR="005E45AF">
        <w:t xml:space="preserve"> by 1 May 2020</w:t>
      </w:r>
      <w:r>
        <w:t>.  Providers have a responsibility to ensure that any services they bill to Medicare fully meet the eligibility requirements outlined in the legislation</w:t>
      </w:r>
      <w:r w:rsidR="00AB53A4">
        <w:t>.</w:t>
      </w:r>
    </w:p>
    <w:p w:rsidR="00BF00A9" w:rsidRDefault="008766AD" w:rsidP="00AB53A4">
      <w:pPr>
        <w:pStyle w:val="Heading2"/>
      </w:pPr>
      <w:r>
        <w:lastRenderedPageBreak/>
        <w:t>How will</w:t>
      </w:r>
      <w:r w:rsidR="009F52D4">
        <w:t xml:space="preserve"> these changes affect patients</w:t>
      </w:r>
      <w:r w:rsidR="00BF00A9" w:rsidRPr="001A7FB7">
        <w:t>?</w:t>
      </w:r>
    </w:p>
    <w:p w:rsidR="002D2CC5" w:rsidRDefault="005F6D55" w:rsidP="002D2CC5">
      <w:r>
        <w:t xml:space="preserve">Patients will receive a higher </w:t>
      </w:r>
      <w:r w:rsidR="00680495">
        <w:t xml:space="preserve">Medicare </w:t>
      </w:r>
      <w:r>
        <w:t>rebate for a brea</w:t>
      </w:r>
      <w:r w:rsidR="0024618A">
        <w:t>s</w:t>
      </w:r>
      <w:r>
        <w:t>t biopsy service that is clinically appropriate and reflects modern clinical practice.</w:t>
      </w:r>
    </w:p>
    <w:p w:rsidR="00595BBD" w:rsidRDefault="00595BBD" w:rsidP="00AB53A4">
      <w:pPr>
        <w:pStyle w:val="Heading2"/>
      </w:pPr>
      <w:r w:rsidRPr="001A7FB7">
        <w:t>Who was consulted on the changes?</w:t>
      </w:r>
    </w:p>
    <w:p w:rsidR="00F74DFC" w:rsidRPr="005E45AF" w:rsidRDefault="005F6D55" w:rsidP="00F74DFC">
      <w:r w:rsidRPr="005E45AF">
        <w:t>The DICC was established in</w:t>
      </w:r>
      <w:r w:rsidRPr="00680495">
        <w:t xml:space="preserve"> 20</w:t>
      </w:r>
      <w:r w:rsidR="00680495" w:rsidRPr="00680495">
        <w:t>15</w:t>
      </w:r>
      <w:r w:rsidRPr="00680495">
        <w:t xml:space="preserve"> </w:t>
      </w:r>
      <w:r w:rsidRPr="005E45AF">
        <w:t>by the MBS Review Taskforce to provide broad clinician and consumer expertise.</w:t>
      </w:r>
    </w:p>
    <w:p w:rsidR="005F6D55" w:rsidRDefault="005F6D55" w:rsidP="00F74DFC">
      <w:r>
        <w:t>The MBS Review included a public consultation process on the recommendations outlining the proposed changes.  Feedback was received from a range of stakeholders and was considered by the DICC prior to making its final recommendations to the Taskforce.</w:t>
      </w:r>
    </w:p>
    <w:p w:rsidR="005F6D55" w:rsidRDefault="005F6D55" w:rsidP="00F74DFC">
      <w:r>
        <w:t xml:space="preserve">Following the MBS Review (during implementation), ongoing consultation occurred with the Royal </w:t>
      </w:r>
      <w:r w:rsidR="00680495">
        <w:t>Australasian</w:t>
      </w:r>
      <w:r>
        <w:t xml:space="preserve"> Colle</w:t>
      </w:r>
      <w:r w:rsidR="00851289">
        <w:t>ge of Surgeons, and the diagnos</w:t>
      </w:r>
      <w:r>
        <w:t>tic imaging peak bodies.</w:t>
      </w:r>
    </w:p>
    <w:p w:rsidR="00595BBD" w:rsidRDefault="00595BBD" w:rsidP="00AB53A4">
      <w:pPr>
        <w:pStyle w:val="Heading2"/>
      </w:pPr>
      <w:r w:rsidRPr="001A7FB7">
        <w:t>How will the changes be monitored</w:t>
      </w:r>
      <w:r w:rsidR="000367AA">
        <w:t xml:space="preserve"> and reviewed</w:t>
      </w:r>
      <w:r w:rsidRPr="001A7FB7">
        <w:t>?</w:t>
      </w:r>
    </w:p>
    <w:p w:rsidR="00595BBD" w:rsidRDefault="005F6D55" w:rsidP="00595BBD">
      <w:r>
        <w:t>Service use of the breast biopsy item</w:t>
      </w:r>
      <w:r w:rsidR="00680495">
        <w:t>s</w:t>
      </w:r>
      <w:r>
        <w:t xml:space="preserve"> will be monitored and reviewed post-implementation.</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rsidR="00B378D4" w:rsidRDefault="00B378D4">
      <w:r>
        <w:t>Subscribe to ‘</w:t>
      </w:r>
      <w:hyperlink r:id="rId17" w:history="1">
        <w:r w:rsidRPr="00B378D4">
          <w:rPr>
            <w:rStyle w:val="Hyperlink"/>
          </w:rPr>
          <w:t>News for Health Professionals</w:t>
        </w:r>
      </w:hyperlink>
      <w:r>
        <w:t xml:space="preserve">’ on the </w:t>
      </w:r>
      <w:r w:rsidR="00CF3984">
        <w:t>Services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Services </w:t>
      </w:r>
      <w:r w:rsidR="00CF3984">
        <w:t xml:space="preserve">Australia </w:t>
      </w:r>
      <w:r w:rsidR="00B378D4">
        <w:t xml:space="preserve">website or </w:t>
      </w:r>
      <w:bookmarkEnd w:id="3"/>
      <w:r>
        <w:t xml:space="preserve">contact Services </w:t>
      </w:r>
      <w:r w:rsidR="00CF3984">
        <w:t xml:space="preserve">Australia </w:t>
      </w:r>
      <w:r>
        <w:t xml:space="preserve">on the Provider Enquiry Line </w:t>
      </w:r>
      <w:r w:rsidR="00CF3984">
        <w:t>-</w:t>
      </w:r>
      <w:r>
        <w:t xml:space="preserve"> 13 21 50. </w:t>
      </w:r>
    </w:p>
    <w:p w:rsidR="008A6F4F" w:rsidRDefault="008A6F4F">
      <w:r>
        <w:t xml:space="preserve">The data file for software vendors </w:t>
      </w:r>
      <w:r w:rsidR="002427E0">
        <w:t xml:space="preserve">can be accessed via the MBS Online website under the </w:t>
      </w:r>
      <w:hyperlink r:id="rId18" w:history="1">
        <w:r w:rsidR="002427E0" w:rsidRPr="002427E0">
          <w:rPr>
            <w:rStyle w:val="Hyperlink"/>
          </w:rPr>
          <w:t>Downloads</w:t>
        </w:r>
      </w:hyperlink>
      <w:r w:rsidR="002427E0">
        <w:t xml:space="preserve"> page.</w:t>
      </w:r>
    </w:p>
    <w:p w:rsidR="00656F11" w:rsidRDefault="00656F11" w:rsidP="005E1472"/>
    <w:p w:rsidR="00656F11" w:rsidRDefault="00656F11" w:rsidP="00E922C5">
      <w:pPr>
        <w:pStyle w:val="Disclaimer"/>
        <w:jc w:val="both"/>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E922C5">
      <w:pPr>
        <w:pStyle w:val="Disclaimer"/>
        <w:jc w:val="both"/>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8A" w:rsidRDefault="0024618A" w:rsidP="006D1088">
      <w:pPr>
        <w:spacing w:after="0" w:line="240" w:lineRule="auto"/>
      </w:pPr>
      <w:r>
        <w:separator/>
      </w:r>
    </w:p>
  </w:endnote>
  <w:endnote w:type="continuationSeparator" w:id="0">
    <w:p w:rsidR="0024618A" w:rsidRDefault="0024618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1E403E" w:rsidP="009B32BA">
    <w:pPr>
      <w:pStyle w:val="Footer"/>
    </w:pPr>
    <w:r>
      <w:rPr>
        <w:rStyle w:val="BookTitle"/>
        <w:noProof/>
      </w:rPr>
      <w:pict w14:anchorId="5A7A9481">
        <v:rect id="_x0000_i1025" style="width:523.3pt;height:1.9pt" o:hralign="center" o:hrstd="t" o:hr="t" fillcolor="#a0a0a0" stroked="f"/>
      </w:pict>
    </w:r>
    <w:r w:rsidR="009B32BA">
      <w:t>Medicare Benefits Schedule</w:t>
    </w:r>
  </w:p>
  <w:p w:rsidR="009B32BA" w:rsidRDefault="005F6D55" w:rsidP="009B32BA">
    <w:pPr>
      <w:pStyle w:val="Footer"/>
      <w:tabs>
        <w:tab w:val="clear" w:pos="9026"/>
        <w:tab w:val="right" w:pos="10466"/>
      </w:tabs>
    </w:pPr>
    <w:r>
      <w:rPr>
        <w:b/>
      </w:rPr>
      <w:t>Changes to MBS items for breast biopsy services</w:t>
    </w:r>
    <w:r w:rsidR="009B32BA" w:rsidRPr="00E863C4">
      <w:rPr>
        <w:b/>
      </w:rPr>
      <w:t xml:space="preserve"> </w:t>
    </w:r>
    <w:r w:rsidR="00E922C5">
      <w:rPr>
        <w:b/>
      </w:rPr>
      <w:t>f</w:t>
    </w:r>
    <w:r w:rsidR="009B32BA">
      <w:rPr>
        <w:b/>
      </w:rPr>
      <w:t>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1E403E">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1E403E">
                  <w:rPr>
                    <w:bCs/>
                    <w:noProof/>
                  </w:rPr>
                  <w:t>2</w:t>
                </w:r>
                <w:r w:rsidR="009B32BA" w:rsidRPr="00F546CA">
                  <w:rPr>
                    <w:bCs/>
                    <w:sz w:val="24"/>
                    <w:szCs w:val="24"/>
                  </w:rPr>
                  <w:fldChar w:fldCharType="end"/>
                </w:r>
              </w:sdtContent>
            </w:sdt>
          </w:sdtContent>
        </w:sdt>
        <w:r w:rsidR="009B32BA">
          <w:t xml:space="preserve"> </w:t>
        </w:r>
      </w:sdtContent>
    </w:sdt>
  </w:p>
  <w:p w:rsidR="009B32BA" w:rsidRDefault="001E403E">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095D20">
      <w:t>16</w:t>
    </w:r>
    <w:r w:rsidR="007B5A75">
      <w:t xml:space="preserve"> April</w:t>
    </w:r>
    <w:r w:rsidR="005F6D55">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8A" w:rsidRDefault="0024618A" w:rsidP="006D1088">
      <w:pPr>
        <w:spacing w:after="0" w:line="240" w:lineRule="auto"/>
      </w:pPr>
      <w:r>
        <w:separator/>
      </w:r>
    </w:p>
  </w:footnote>
  <w:footnote w:type="continuationSeparator" w:id="0">
    <w:p w:rsidR="0024618A" w:rsidRDefault="0024618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4869CF74" wp14:editId="5F0A4818">
          <wp:simplePos x="0" y="0"/>
          <wp:positionH relativeFrom="page">
            <wp:align>left</wp:align>
          </wp:positionH>
          <wp:positionV relativeFrom="paragraph">
            <wp:posOffset>-449580</wp:posOffset>
          </wp:positionV>
          <wp:extent cx="7643250" cy="1611213"/>
          <wp:effectExtent l="0" t="0" r="0" b="8255"/>
          <wp:wrapNone/>
          <wp:docPr id="9" name="Picture 9"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28F6"/>
    <w:multiLevelType w:val="hybridMultilevel"/>
    <w:tmpl w:val="48569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AD60B7"/>
    <w:multiLevelType w:val="hybridMultilevel"/>
    <w:tmpl w:val="3262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1"/>
  </w:num>
  <w:num w:numId="16">
    <w:abstractNumId w:val="10"/>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8A"/>
    <w:rsid w:val="000074DD"/>
    <w:rsid w:val="000367AA"/>
    <w:rsid w:val="00045810"/>
    <w:rsid w:val="00081B97"/>
    <w:rsid w:val="00095D20"/>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2ED5"/>
    <w:rsid w:val="00155BD4"/>
    <w:rsid w:val="00167446"/>
    <w:rsid w:val="0017279A"/>
    <w:rsid w:val="00181B52"/>
    <w:rsid w:val="0018507E"/>
    <w:rsid w:val="0019170A"/>
    <w:rsid w:val="001A6FE6"/>
    <w:rsid w:val="001A7FB7"/>
    <w:rsid w:val="001C5C56"/>
    <w:rsid w:val="001E403E"/>
    <w:rsid w:val="001E6F63"/>
    <w:rsid w:val="001F49E8"/>
    <w:rsid w:val="00200902"/>
    <w:rsid w:val="00203F3E"/>
    <w:rsid w:val="00221334"/>
    <w:rsid w:val="002427E0"/>
    <w:rsid w:val="00243D1C"/>
    <w:rsid w:val="0024618A"/>
    <w:rsid w:val="0026502E"/>
    <w:rsid w:val="00276A29"/>
    <w:rsid w:val="00281820"/>
    <w:rsid w:val="00281A3A"/>
    <w:rsid w:val="00291041"/>
    <w:rsid w:val="002A3C7C"/>
    <w:rsid w:val="002A5A70"/>
    <w:rsid w:val="002B3FCB"/>
    <w:rsid w:val="002B70AC"/>
    <w:rsid w:val="002C5633"/>
    <w:rsid w:val="002D2CC5"/>
    <w:rsid w:val="002E6682"/>
    <w:rsid w:val="003122B4"/>
    <w:rsid w:val="00337919"/>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33FA"/>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73ECD"/>
    <w:rsid w:val="00595BBD"/>
    <w:rsid w:val="0059641E"/>
    <w:rsid w:val="005E1472"/>
    <w:rsid w:val="005E45AF"/>
    <w:rsid w:val="005F6D55"/>
    <w:rsid w:val="006173AC"/>
    <w:rsid w:val="0062100F"/>
    <w:rsid w:val="00634880"/>
    <w:rsid w:val="00636764"/>
    <w:rsid w:val="006425BA"/>
    <w:rsid w:val="00650B9A"/>
    <w:rsid w:val="00653345"/>
    <w:rsid w:val="00655D74"/>
    <w:rsid w:val="00656F11"/>
    <w:rsid w:val="00680495"/>
    <w:rsid w:val="00684D37"/>
    <w:rsid w:val="00694030"/>
    <w:rsid w:val="006961D6"/>
    <w:rsid w:val="006A175B"/>
    <w:rsid w:val="006A32B4"/>
    <w:rsid w:val="006C3B73"/>
    <w:rsid w:val="006D04CC"/>
    <w:rsid w:val="006D1088"/>
    <w:rsid w:val="006D2A35"/>
    <w:rsid w:val="006F5785"/>
    <w:rsid w:val="00726103"/>
    <w:rsid w:val="00727F4C"/>
    <w:rsid w:val="00734F6B"/>
    <w:rsid w:val="00736D31"/>
    <w:rsid w:val="00781867"/>
    <w:rsid w:val="007B5A75"/>
    <w:rsid w:val="007D1D3A"/>
    <w:rsid w:val="007E2604"/>
    <w:rsid w:val="007E33D2"/>
    <w:rsid w:val="00834903"/>
    <w:rsid w:val="008352AC"/>
    <w:rsid w:val="00851289"/>
    <w:rsid w:val="00852651"/>
    <w:rsid w:val="008553F7"/>
    <w:rsid w:val="00864E28"/>
    <w:rsid w:val="008766AD"/>
    <w:rsid w:val="00881219"/>
    <w:rsid w:val="008957B9"/>
    <w:rsid w:val="008A6F4F"/>
    <w:rsid w:val="008B42CF"/>
    <w:rsid w:val="008E258C"/>
    <w:rsid w:val="008E4C9B"/>
    <w:rsid w:val="008E7B7C"/>
    <w:rsid w:val="008F1594"/>
    <w:rsid w:val="008F4B45"/>
    <w:rsid w:val="009000AA"/>
    <w:rsid w:val="00907B4A"/>
    <w:rsid w:val="0091706C"/>
    <w:rsid w:val="00942A31"/>
    <w:rsid w:val="009542F2"/>
    <w:rsid w:val="009562F4"/>
    <w:rsid w:val="00977405"/>
    <w:rsid w:val="009807D9"/>
    <w:rsid w:val="009858E2"/>
    <w:rsid w:val="009972C3"/>
    <w:rsid w:val="009A6B12"/>
    <w:rsid w:val="009B32BA"/>
    <w:rsid w:val="009B51E7"/>
    <w:rsid w:val="009B5206"/>
    <w:rsid w:val="009B7859"/>
    <w:rsid w:val="009C742B"/>
    <w:rsid w:val="009D0B98"/>
    <w:rsid w:val="009E4A9E"/>
    <w:rsid w:val="009E66EE"/>
    <w:rsid w:val="009E6DE2"/>
    <w:rsid w:val="009F52D4"/>
    <w:rsid w:val="00A0020F"/>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405A"/>
    <w:rsid w:val="00CA5F76"/>
    <w:rsid w:val="00CC39C8"/>
    <w:rsid w:val="00CF3984"/>
    <w:rsid w:val="00CF45CC"/>
    <w:rsid w:val="00D11EDB"/>
    <w:rsid w:val="00D16EF3"/>
    <w:rsid w:val="00D3244E"/>
    <w:rsid w:val="00D36F35"/>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636F8"/>
    <w:rsid w:val="00E7403A"/>
    <w:rsid w:val="00E7460D"/>
    <w:rsid w:val="00E922C5"/>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F2369729-DF80-4B8A-A689-02F021C983F4"/>
    <ds:schemaRef ds:uri="http://purl.org/dc/elements/1.1/"/>
    <ds:schemaRef ds:uri="http://schemas.microsoft.com/office/2006/metadata/properties"/>
    <ds:schemaRef ds:uri="http://schemas.microsoft.com/office/2006/documentManagement/type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2020-04-20T03:02:00Z</dcterms:created>
  <dcterms:modified xsi:type="dcterms:W3CDTF">2020-04-20T03:02:00Z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