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22399B1" w:rsidR="00BA2732" w:rsidRDefault="00501268" w:rsidP="003D033A">
      <w:pPr>
        <w:pStyle w:val="Title"/>
      </w:pPr>
      <w:bookmarkStart w:id="0" w:name="_Hlk152064332"/>
      <w:r>
        <w:rPr>
          <w:rFonts w:eastAsia="Times New Roman"/>
        </w:rPr>
        <w:t>Whole genome sequencing for the diagnosis of mitochondrial disease</w:t>
      </w:r>
    </w:p>
    <w:p w14:paraId="6EFD4B5B" w14:textId="4B1C1560" w:rsidR="00064168" w:rsidRPr="00867595" w:rsidRDefault="00064168" w:rsidP="006F5073">
      <w:bookmarkStart w:id="1" w:name="_Hlk4568006"/>
      <w:bookmarkEnd w:id="0"/>
      <w:r w:rsidRPr="00867595">
        <w:t xml:space="preserve">Last updated: </w:t>
      </w:r>
      <w:r w:rsidR="00B8703D">
        <w:t>22</w:t>
      </w:r>
      <w:r w:rsidR="00047656">
        <w:t xml:space="preserve"> </w:t>
      </w:r>
      <w:r w:rsidR="00B8703D">
        <w:t>Novem</w:t>
      </w:r>
      <w:r w:rsidR="00253CA3">
        <w:t>ber</w:t>
      </w:r>
      <w:r w:rsidR="00A727CC">
        <w:t xml:space="preserve"> 2023</w:t>
      </w:r>
    </w:p>
    <w:p w14:paraId="7A3E0940" w14:textId="42153194" w:rsidR="004878F2" w:rsidRPr="006F5073" w:rsidRDefault="008D35E7" w:rsidP="004878F2">
      <w:pPr>
        <w:pStyle w:val="ListBullet"/>
      </w:pPr>
      <w:bookmarkStart w:id="2" w:name="_Hlk535506978"/>
      <w:bookmarkEnd w:id="1"/>
      <w:r w:rsidRPr="008D35E7">
        <w:rPr>
          <w:bCs/>
        </w:rPr>
        <w:t xml:space="preserve">From 1 November 2023, </w:t>
      </w:r>
      <w:r w:rsidR="00E43A36">
        <w:rPr>
          <w:bCs/>
        </w:rPr>
        <w:t>seven</w:t>
      </w:r>
      <w:r w:rsidRPr="008D35E7">
        <w:rPr>
          <w:bCs/>
        </w:rPr>
        <w:t xml:space="preserve"> new pathology items </w:t>
      </w:r>
      <w:r w:rsidR="006D508A">
        <w:rPr>
          <w:bCs/>
        </w:rPr>
        <w:t xml:space="preserve">were </w:t>
      </w:r>
      <w:r w:rsidRPr="008D35E7">
        <w:rPr>
          <w:bCs/>
        </w:rPr>
        <w:t xml:space="preserve">listed on the Medicare Benefits Schedule (MBS) </w:t>
      </w:r>
      <w:r w:rsidR="007974B4">
        <w:t xml:space="preserve">for testing for genetic variants associated with </w:t>
      </w:r>
      <w:r w:rsidR="001B15E5">
        <w:t>mitochondrial disease</w:t>
      </w:r>
      <w:r w:rsidR="0022727A">
        <w:t xml:space="preserve"> (MD)</w:t>
      </w:r>
      <w:r w:rsidR="00FC00B6">
        <w:t>.</w:t>
      </w:r>
      <w:r w:rsidR="00AC2CAA">
        <w:t xml:space="preserve"> </w:t>
      </w:r>
    </w:p>
    <w:bookmarkEnd w:id="2"/>
    <w:p w14:paraId="24C2D88B" w14:textId="0965BF98" w:rsidR="00064168" w:rsidRPr="00867595" w:rsidRDefault="00AB05FF" w:rsidP="00EC524B">
      <w:pPr>
        <w:pStyle w:val="ListBullet"/>
      </w:pPr>
      <w:r w:rsidRPr="00AB05FF">
        <w:rPr>
          <w:bCs/>
        </w:rPr>
        <w:t xml:space="preserve">This </w:t>
      </w:r>
      <w:r w:rsidR="006D508A">
        <w:rPr>
          <w:bCs/>
        </w:rPr>
        <w:t>means</w:t>
      </w:r>
      <w:r w:rsidR="004878F2">
        <w:rPr>
          <w:bCs/>
        </w:rPr>
        <w:t xml:space="preserve"> </w:t>
      </w:r>
      <w:r w:rsidR="00771ECA" w:rsidRPr="00771ECA">
        <w:rPr>
          <w:bCs/>
        </w:rPr>
        <w:t>better health outcomes for patients</w:t>
      </w:r>
      <w:r w:rsidR="004878F2">
        <w:rPr>
          <w:bCs/>
        </w:rPr>
        <w:t>,</w:t>
      </w:r>
      <w:r w:rsidR="00771ECA" w:rsidRPr="00771ECA">
        <w:rPr>
          <w:bCs/>
        </w:rPr>
        <w:t xml:space="preserve"> </w:t>
      </w:r>
      <w:r w:rsidR="00104979">
        <w:t xml:space="preserve">by </w:t>
      </w:r>
      <w:r w:rsidR="002A2A04">
        <w:t xml:space="preserve">supporting clinicians to </w:t>
      </w:r>
      <w:r w:rsidR="005C382D">
        <w:t>request</w:t>
      </w:r>
      <w:r w:rsidR="008B4188">
        <w:t xml:space="preserve"> </w:t>
      </w:r>
      <w:r w:rsidR="00A84DEF">
        <w:t xml:space="preserve">genetic </w:t>
      </w:r>
      <w:r w:rsidR="00F67EFF">
        <w:t xml:space="preserve">testing </w:t>
      </w:r>
      <w:r w:rsidR="005C382D">
        <w:t xml:space="preserve">for the diagnosis of MD in patients who are suspected of having either acute or chronic disease. The </w:t>
      </w:r>
      <w:r w:rsidR="009E242C">
        <w:t>new items also provide for</w:t>
      </w:r>
      <w:r w:rsidR="005C382D">
        <w:t xml:space="preserve"> cascade testing of the patient’s biological relatives, as well as reproductive partner testing and </w:t>
      </w:r>
      <w:proofErr w:type="spellStart"/>
      <w:r w:rsidR="005C382D">
        <w:t>fetal</w:t>
      </w:r>
      <w:proofErr w:type="spellEnd"/>
      <w:r w:rsidR="005C382D">
        <w:t xml:space="preserve"> testing.</w:t>
      </w:r>
    </w:p>
    <w:p w14:paraId="44460BF5" w14:textId="77777777" w:rsidR="00064168" w:rsidRPr="00867595" w:rsidRDefault="00064168" w:rsidP="00064168">
      <w:pPr>
        <w:pStyle w:val="Heading2"/>
      </w:pPr>
      <w:r w:rsidRPr="00867595">
        <w:t>What are the changes?</w:t>
      </w:r>
    </w:p>
    <w:p w14:paraId="15C83FC1" w14:textId="1F096A11" w:rsidR="006E46FB" w:rsidRPr="006E46FB" w:rsidRDefault="00064168" w:rsidP="00171073">
      <w:pPr>
        <w:rPr>
          <w:szCs w:val="22"/>
        </w:rPr>
      </w:pPr>
      <w:r w:rsidRPr="00602FB2">
        <w:rPr>
          <w:szCs w:val="22"/>
        </w:rPr>
        <w:t xml:space="preserve">Effective </w:t>
      </w:r>
      <w:r w:rsidR="00AB05FF" w:rsidRPr="00602FB2">
        <w:rPr>
          <w:szCs w:val="22"/>
        </w:rPr>
        <w:t>1 November 2023</w:t>
      </w:r>
      <w:r w:rsidRPr="00602FB2">
        <w:rPr>
          <w:szCs w:val="22"/>
        </w:rPr>
        <w:t xml:space="preserve">, </w:t>
      </w:r>
      <w:r w:rsidR="00F67EFF">
        <w:rPr>
          <w:bCs/>
          <w:szCs w:val="22"/>
        </w:rPr>
        <w:t>seven</w:t>
      </w:r>
      <w:r w:rsidR="00AB05FF" w:rsidRPr="00602FB2">
        <w:rPr>
          <w:bCs/>
          <w:szCs w:val="22"/>
        </w:rPr>
        <w:t xml:space="preserve"> new pathology items w</w:t>
      </w:r>
      <w:r w:rsidR="006D508A">
        <w:rPr>
          <w:bCs/>
          <w:szCs w:val="22"/>
        </w:rPr>
        <w:t>ere</w:t>
      </w:r>
      <w:r w:rsidR="00AB05FF" w:rsidRPr="00602FB2">
        <w:rPr>
          <w:bCs/>
          <w:szCs w:val="22"/>
        </w:rPr>
        <w:t xml:space="preserve"> listed on the </w:t>
      </w:r>
      <w:r w:rsidR="00805A0E">
        <w:rPr>
          <w:bCs/>
          <w:szCs w:val="22"/>
        </w:rPr>
        <w:t>MBS,</w:t>
      </w:r>
      <w:r w:rsidR="00787993">
        <w:rPr>
          <w:bCs/>
          <w:szCs w:val="22"/>
        </w:rPr>
        <w:t xml:space="preserve"> </w:t>
      </w:r>
      <w:r w:rsidR="00AB05FF" w:rsidRPr="00602FB2">
        <w:rPr>
          <w:bCs/>
          <w:szCs w:val="22"/>
        </w:rPr>
        <w:t>for</w:t>
      </w:r>
      <w:r w:rsidR="0059011A">
        <w:rPr>
          <w:bCs/>
          <w:szCs w:val="22"/>
        </w:rPr>
        <w:t xml:space="preserve"> </w:t>
      </w:r>
      <w:r w:rsidR="0059011A">
        <w:t xml:space="preserve">testing affected individuals using singleton and trio virtual gene panel-based analysis of whole exome or genome data, data re-analysis, mitochondrial DNA deletion testing, cascade testing of biological relatives, reproductive partner testing, and </w:t>
      </w:r>
      <w:proofErr w:type="spellStart"/>
      <w:r w:rsidR="0059011A">
        <w:t>fetal</w:t>
      </w:r>
      <w:proofErr w:type="spellEnd"/>
      <w:r w:rsidR="0059011A">
        <w:t xml:space="preserve"> testing.</w:t>
      </w:r>
      <w:r w:rsidR="005C7D2E">
        <w:t xml:space="preserve"> </w:t>
      </w:r>
      <w:r w:rsidR="005C7D2E" w:rsidRPr="00CD566D">
        <w:rPr>
          <w:b/>
          <w:bCs/>
        </w:rPr>
        <w:t>Attachment A</w:t>
      </w:r>
      <w:r w:rsidR="005C7D2E">
        <w:t xml:space="preserve"> to this factsheet lists the new items.</w:t>
      </w:r>
    </w:p>
    <w:p w14:paraId="580FFFD1" w14:textId="1FAF5321" w:rsidR="00664216" w:rsidRDefault="00EA55B6" w:rsidP="00AB05FF">
      <w:pPr>
        <w:rPr>
          <w:szCs w:val="22"/>
        </w:rPr>
      </w:pPr>
      <w:r>
        <w:t xml:space="preserve">Mitochondrial disease is rare and affects a person’s ability to make enough energy for the body. Mitochondrial disease can affect children and adults. It can affect different organs with different severity. Patients with mitochondrial disease can have a wide range of symptoms. Mitochondrial disease is usually diagnosed through tests such as muscle biopsies (minor surgery to take a sample of muscle tissue), but these do not provide a definite result without additional genetic testing. </w:t>
      </w:r>
    </w:p>
    <w:p w14:paraId="2406A278" w14:textId="6D1A5A3E" w:rsidR="00A14BD2" w:rsidRDefault="00A14BD2" w:rsidP="00A14BD2">
      <w:r>
        <w:t>For private health insurance purposes, the new items w</w:t>
      </w:r>
      <w:r w:rsidR="00D36C18">
        <w:t xml:space="preserve">ere </w:t>
      </w:r>
      <w:r>
        <w:t>listed under the following clinical category and procedure type:</w:t>
      </w:r>
    </w:p>
    <w:p w14:paraId="2D9388EC" w14:textId="33D38DED" w:rsidR="00A14BD2" w:rsidRDefault="00A14BD2" w:rsidP="00A14BD2">
      <w:pPr>
        <w:pStyle w:val="ListParagraph"/>
        <w:numPr>
          <w:ilvl w:val="0"/>
          <w:numId w:val="29"/>
        </w:numPr>
        <w:spacing w:before="0" w:after="60" w:line="280" w:lineRule="exact"/>
      </w:pPr>
      <w:r>
        <w:t xml:space="preserve">New items </w:t>
      </w:r>
      <w:r w:rsidR="00646A00">
        <w:t>734</w:t>
      </w:r>
      <w:r w:rsidR="000C05C0">
        <w:t>5</w:t>
      </w:r>
      <w:r w:rsidR="00646A00">
        <w:t>6, 734</w:t>
      </w:r>
      <w:r w:rsidR="000C05C0">
        <w:t>5</w:t>
      </w:r>
      <w:r w:rsidR="00646A00">
        <w:t>7</w:t>
      </w:r>
      <w:r w:rsidR="009D2ED8">
        <w:t xml:space="preserve">, </w:t>
      </w:r>
      <w:r>
        <w:t>73</w:t>
      </w:r>
      <w:r w:rsidR="00646A00">
        <w:t>4</w:t>
      </w:r>
      <w:r w:rsidR="000C05C0">
        <w:t>5</w:t>
      </w:r>
      <w:r w:rsidR="00646A00">
        <w:t>8</w:t>
      </w:r>
      <w:r w:rsidR="009D2ED8">
        <w:t>, 73459, 73460</w:t>
      </w:r>
      <w:r w:rsidR="00DE21D3">
        <w:t>,</w:t>
      </w:r>
      <w:r w:rsidR="009D2ED8">
        <w:t xml:space="preserve"> 73461</w:t>
      </w:r>
      <w:r w:rsidR="00DE21D3">
        <w:t xml:space="preserve"> and 73462</w:t>
      </w:r>
      <w:r w:rsidR="00646A00">
        <w:t>:</w:t>
      </w:r>
    </w:p>
    <w:p w14:paraId="0FF88979" w14:textId="77777777" w:rsidR="00A14BD2" w:rsidRDefault="00A14BD2" w:rsidP="00A14BD2">
      <w:pPr>
        <w:pStyle w:val="ListParagraph"/>
        <w:numPr>
          <w:ilvl w:val="1"/>
          <w:numId w:val="29"/>
        </w:numPr>
        <w:spacing w:before="0" w:after="60" w:line="280" w:lineRule="exact"/>
      </w:pPr>
      <w:r>
        <w:t>Clinical category: Support List (pathology)</w:t>
      </w:r>
    </w:p>
    <w:p w14:paraId="3C9F17DF" w14:textId="11E67307" w:rsidR="00A14BD2" w:rsidRPr="00A14BD2" w:rsidRDefault="00A14BD2" w:rsidP="00AB05FF">
      <w:pPr>
        <w:pStyle w:val="ListParagraph"/>
        <w:numPr>
          <w:ilvl w:val="1"/>
          <w:numId w:val="29"/>
        </w:numPr>
        <w:spacing w:before="0" w:after="60" w:line="280" w:lineRule="exact"/>
      </w:pPr>
      <w:r>
        <w:t>Procedure type: Type C</w:t>
      </w:r>
    </w:p>
    <w:p w14:paraId="17466EF3" w14:textId="21A79E0D" w:rsidR="00F25F42" w:rsidRPr="004219A4" w:rsidRDefault="00064168" w:rsidP="004219A4">
      <w:pPr>
        <w:pStyle w:val="Heading2"/>
      </w:pPr>
      <w:r>
        <w:t>Why are the changes being made?</w:t>
      </w:r>
      <w:bookmarkStart w:id="3" w:name="_Hlk535386664"/>
    </w:p>
    <w:p w14:paraId="043642F7" w14:textId="20C243C3" w:rsidR="008869D3" w:rsidRDefault="004219A4" w:rsidP="00064168">
      <w:pPr>
        <w:rPr>
          <w:szCs w:val="22"/>
        </w:rPr>
      </w:pPr>
      <w:r>
        <w:rPr>
          <w:szCs w:val="22"/>
        </w:rPr>
        <w:t>Th</w:t>
      </w:r>
      <w:r w:rsidR="00C95A5C">
        <w:rPr>
          <w:szCs w:val="22"/>
        </w:rPr>
        <w:t>ese</w:t>
      </w:r>
      <w:r>
        <w:rPr>
          <w:szCs w:val="22"/>
        </w:rPr>
        <w:t xml:space="preserve"> test</w:t>
      </w:r>
      <w:r w:rsidR="00C95A5C">
        <w:rPr>
          <w:szCs w:val="22"/>
        </w:rPr>
        <w:t>s are aimed at</w:t>
      </w:r>
      <w:r w:rsidR="008869D3" w:rsidRPr="008869D3">
        <w:rPr>
          <w:szCs w:val="22"/>
        </w:rPr>
        <w:t xml:space="preserve"> </w:t>
      </w:r>
      <w:r w:rsidR="00C95A5C">
        <w:t>providing</w:t>
      </w:r>
      <w:r w:rsidR="00372E6E">
        <w:t xml:space="preserve"> genetic testing</w:t>
      </w:r>
      <w:r w:rsidR="00933652">
        <w:t xml:space="preserve"> which is s</w:t>
      </w:r>
      <w:r w:rsidR="00372E6E">
        <w:t xml:space="preserve">afer and more effective than the current diagnostic process, including muscle biopsy. </w:t>
      </w:r>
      <w:r w:rsidR="00E6432E">
        <w:t xml:space="preserve">These </w:t>
      </w:r>
      <w:r w:rsidR="00372E6E">
        <w:t>test</w:t>
      </w:r>
      <w:r w:rsidR="00FE7665">
        <w:t>s will</w:t>
      </w:r>
      <w:r w:rsidR="00372E6E">
        <w:t xml:space="preserve"> </w:t>
      </w:r>
      <w:r w:rsidR="006A02E2">
        <w:t xml:space="preserve">provide valuable diagnostic information and inform </w:t>
      </w:r>
      <w:r w:rsidR="009D65C7">
        <w:t xml:space="preserve">treatment of patients. </w:t>
      </w:r>
      <w:r w:rsidR="00372E6E">
        <w:t>Publicly funding th</w:t>
      </w:r>
      <w:r w:rsidR="002F501D">
        <w:t>ese tests</w:t>
      </w:r>
      <w:r w:rsidR="00372E6E">
        <w:t xml:space="preserve"> w</w:t>
      </w:r>
      <w:r w:rsidR="002F501D">
        <w:t xml:space="preserve">ill </w:t>
      </w:r>
      <w:r w:rsidR="00372E6E">
        <w:t>support equitable access to targeted therapies.</w:t>
      </w:r>
    </w:p>
    <w:p w14:paraId="11973213" w14:textId="5E6FDDA0" w:rsidR="00635532" w:rsidRDefault="00635532" w:rsidP="00064168">
      <w:pPr>
        <w:rPr>
          <w:szCs w:val="22"/>
        </w:rPr>
      </w:pPr>
      <w:r>
        <w:lastRenderedPageBreak/>
        <w:t>Th</w:t>
      </w:r>
      <w:r w:rsidR="00607DE7">
        <w:t xml:space="preserve">ere are also new items which </w:t>
      </w:r>
      <w:r>
        <w:t xml:space="preserve">allow couples whose genetic tests show these variants to make informed reproductive choices, including choosing to have pre-implantation or prenatal </w:t>
      </w:r>
      <w:proofErr w:type="spellStart"/>
      <w:r>
        <w:t>fetal</w:t>
      </w:r>
      <w:proofErr w:type="spellEnd"/>
      <w:r>
        <w:t xml:space="preserve"> testing if they wish to.</w:t>
      </w:r>
    </w:p>
    <w:p w14:paraId="144C3AE2" w14:textId="76319108" w:rsidR="00064168" w:rsidRPr="00867595" w:rsidRDefault="00064168" w:rsidP="00064168">
      <w:pPr>
        <w:rPr>
          <w:szCs w:val="22"/>
        </w:rPr>
      </w:pPr>
      <w:r w:rsidRPr="00867595">
        <w:rPr>
          <w:szCs w:val="22"/>
        </w:rPr>
        <w:t xml:space="preserve">The listing of this service was recommended by the Medical Services Advisory Committee (MSAC) in </w:t>
      </w:r>
      <w:r w:rsidR="00E278D3">
        <w:rPr>
          <w:szCs w:val="22"/>
        </w:rPr>
        <w:t>November 2022</w:t>
      </w:r>
      <w:r w:rsidR="0056399C">
        <w:rPr>
          <w:szCs w:val="22"/>
        </w:rPr>
        <w:t xml:space="preserve"> </w:t>
      </w:r>
      <w:r w:rsidR="001334D6">
        <w:rPr>
          <w:szCs w:val="22"/>
        </w:rPr>
        <w:t>in response to MSAC Application 16</w:t>
      </w:r>
      <w:r w:rsidR="00057BD6">
        <w:rPr>
          <w:szCs w:val="22"/>
        </w:rPr>
        <w:t>75</w:t>
      </w:r>
      <w:r w:rsidRPr="00867595">
        <w:rPr>
          <w:szCs w:val="22"/>
        </w:rPr>
        <w:t xml:space="preserve">. 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3"/>
    <w:p w14:paraId="4B2559AC" w14:textId="6EE0C008" w:rsidR="00064168" w:rsidRDefault="00064168" w:rsidP="00064168">
      <w:pPr>
        <w:pStyle w:val="Heading2"/>
      </w:pPr>
      <w:r>
        <w:t>What does this mean for</w:t>
      </w:r>
      <w:r w:rsidR="004219A4">
        <w:t xml:space="preserve"> requestors and providers</w:t>
      </w:r>
      <w:r>
        <w:t>?</w:t>
      </w:r>
    </w:p>
    <w:p w14:paraId="367A2E02" w14:textId="7A3FB46E" w:rsidR="00171073" w:rsidRDefault="004219A4" w:rsidP="00171073">
      <w:pPr>
        <w:rPr>
          <w:bCs/>
          <w:szCs w:val="22"/>
        </w:rPr>
      </w:pPr>
      <w:r>
        <w:t>S</w:t>
      </w:r>
      <w:r w:rsidRPr="004219A4">
        <w:t>pecialist</w:t>
      </w:r>
      <w:r>
        <w:t>s</w:t>
      </w:r>
      <w:r w:rsidRPr="004219A4">
        <w:t xml:space="preserve"> or consultant physician</w:t>
      </w:r>
      <w:r>
        <w:t>s</w:t>
      </w:r>
      <w:r w:rsidRPr="004219A4">
        <w:t xml:space="preserve"> </w:t>
      </w:r>
      <w:r w:rsidR="00BE6D6A">
        <w:t>are now</w:t>
      </w:r>
      <w:r>
        <w:t xml:space="preserve"> able to request </w:t>
      </w:r>
      <w:r w:rsidR="00B75C6F">
        <w:t xml:space="preserve">publicly funded </w:t>
      </w:r>
      <w:r w:rsidR="00F51464">
        <w:t xml:space="preserve">genetic </w:t>
      </w:r>
      <w:r w:rsidR="00B75C6F">
        <w:t xml:space="preserve">tests </w:t>
      </w:r>
      <w:r w:rsidR="00F51464">
        <w:t>for patients with a strong suspicion of a mitochondrial disease</w:t>
      </w:r>
      <w:r w:rsidR="00F51464">
        <w:rPr>
          <w:bCs/>
          <w:szCs w:val="22"/>
        </w:rPr>
        <w:t xml:space="preserve">. </w:t>
      </w:r>
      <w:r w:rsidR="0030361E">
        <w:rPr>
          <w:bCs/>
          <w:szCs w:val="22"/>
        </w:rPr>
        <w:t xml:space="preserve">These tests </w:t>
      </w:r>
      <w:r w:rsidR="00B75C6F">
        <w:t>u</w:t>
      </w:r>
      <w:r w:rsidR="00727A96">
        <w:t>tilise</w:t>
      </w:r>
      <w:r w:rsidR="00B75C6F">
        <w:t xml:space="preserve"> </w:t>
      </w:r>
      <w:r w:rsidR="00EF25EE">
        <w:t>whole genome sequencing, whole exome sequencing and mitochondrial DNA sequencing</w:t>
      </w:r>
      <w:r w:rsidR="00727A96">
        <w:t xml:space="preserve"> as appropriate, to detect</w:t>
      </w:r>
      <w:r w:rsidR="00EF25EE">
        <w:t xml:space="preserve"> germline variants present in nuclear DNA and in mitochondrial DNA</w:t>
      </w:r>
      <w:r w:rsidR="00C26AE4">
        <w:t xml:space="preserve"> of patients.</w:t>
      </w:r>
      <w:r w:rsidR="00167605">
        <w:rPr>
          <w:bCs/>
          <w:szCs w:val="22"/>
        </w:rPr>
        <w:t xml:space="preserve"> </w:t>
      </w:r>
      <w:r w:rsidR="00D25FEC">
        <w:rPr>
          <w:bCs/>
          <w:szCs w:val="22"/>
        </w:rPr>
        <w:t xml:space="preserve">There </w:t>
      </w:r>
      <w:r w:rsidR="00BE6D6A">
        <w:rPr>
          <w:bCs/>
          <w:szCs w:val="22"/>
        </w:rPr>
        <w:t xml:space="preserve">are </w:t>
      </w:r>
      <w:r w:rsidR="00D25FEC">
        <w:rPr>
          <w:bCs/>
          <w:szCs w:val="22"/>
        </w:rPr>
        <w:t>also</w:t>
      </w:r>
      <w:r w:rsidR="00BE6D6A">
        <w:rPr>
          <w:bCs/>
          <w:szCs w:val="22"/>
        </w:rPr>
        <w:t xml:space="preserve"> </w:t>
      </w:r>
      <w:r w:rsidR="008F27AB">
        <w:rPr>
          <w:bCs/>
          <w:szCs w:val="22"/>
        </w:rPr>
        <w:t>tests for reanalysis and testing of family members</w:t>
      </w:r>
      <w:r w:rsidR="000F041B">
        <w:rPr>
          <w:bCs/>
          <w:szCs w:val="22"/>
        </w:rPr>
        <w:t xml:space="preserve"> to inform reproductive decision making:</w:t>
      </w:r>
    </w:p>
    <w:p w14:paraId="0843C8B7" w14:textId="77777777" w:rsidR="00171073" w:rsidRPr="00E1232D" w:rsidRDefault="00171073" w:rsidP="00171073">
      <w:pPr>
        <w:pStyle w:val="ListParagraph"/>
        <w:numPr>
          <w:ilvl w:val="0"/>
          <w:numId w:val="31"/>
        </w:numPr>
        <w:rPr>
          <w:szCs w:val="22"/>
        </w:rPr>
      </w:pPr>
      <w:r>
        <w:t>singleton testing of affected patients</w:t>
      </w:r>
    </w:p>
    <w:p w14:paraId="2B77BA9F" w14:textId="77777777" w:rsidR="00171073" w:rsidRPr="00E1232D" w:rsidRDefault="00171073" w:rsidP="00171073">
      <w:pPr>
        <w:pStyle w:val="ListParagraph"/>
        <w:numPr>
          <w:ilvl w:val="0"/>
          <w:numId w:val="31"/>
        </w:numPr>
        <w:rPr>
          <w:szCs w:val="22"/>
        </w:rPr>
      </w:pPr>
      <w:r>
        <w:t>trio testing of affected patients and their biological parents</w:t>
      </w:r>
    </w:p>
    <w:p w14:paraId="2B3F2AB3" w14:textId="77777777" w:rsidR="00171073" w:rsidRPr="00E1232D" w:rsidRDefault="00171073" w:rsidP="00171073">
      <w:pPr>
        <w:pStyle w:val="ListParagraph"/>
        <w:numPr>
          <w:ilvl w:val="0"/>
          <w:numId w:val="31"/>
        </w:numPr>
        <w:rPr>
          <w:szCs w:val="22"/>
        </w:rPr>
      </w:pPr>
      <w:r>
        <w:t xml:space="preserve">re-analysis of data at least 18 months after the previous genetic testing </w:t>
      </w:r>
    </w:p>
    <w:p w14:paraId="3155CCB3" w14:textId="77777777" w:rsidR="00171073" w:rsidRPr="007C70AD" w:rsidRDefault="00171073" w:rsidP="00171073">
      <w:pPr>
        <w:pStyle w:val="ListParagraph"/>
        <w:numPr>
          <w:ilvl w:val="0"/>
          <w:numId w:val="31"/>
        </w:numPr>
        <w:rPr>
          <w:szCs w:val="22"/>
        </w:rPr>
      </w:pPr>
      <w:r>
        <w:t xml:space="preserve">testing of a </w:t>
      </w:r>
      <w:proofErr w:type="spellStart"/>
      <w:r>
        <w:t>fetus</w:t>
      </w:r>
      <w:proofErr w:type="spellEnd"/>
      <w:r>
        <w:t xml:space="preserve"> at risk of having MD based on the parents’ genotypes </w:t>
      </w:r>
    </w:p>
    <w:p w14:paraId="439AC74B" w14:textId="77777777" w:rsidR="00171073" w:rsidRPr="007C70AD" w:rsidRDefault="00171073" w:rsidP="00171073">
      <w:pPr>
        <w:pStyle w:val="ListParagraph"/>
        <w:numPr>
          <w:ilvl w:val="0"/>
          <w:numId w:val="31"/>
        </w:numPr>
        <w:rPr>
          <w:szCs w:val="22"/>
        </w:rPr>
      </w:pPr>
      <w:r>
        <w:t xml:space="preserve">testing for patients strongly suspected of having a </w:t>
      </w:r>
      <w:proofErr w:type="spellStart"/>
      <w:r>
        <w:t>mtDNA</w:t>
      </w:r>
      <w:proofErr w:type="spellEnd"/>
      <w:r>
        <w:t xml:space="preserve"> deletion and in whom </w:t>
      </w:r>
      <w:proofErr w:type="gramStart"/>
      <w:r>
        <w:t>sequencing</w:t>
      </w:r>
      <w:proofErr w:type="gramEnd"/>
      <w:r>
        <w:t xml:space="preserve"> and analysis was non-informative </w:t>
      </w:r>
    </w:p>
    <w:p w14:paraId="23DC610A" w14:textId="77777777" w:rsidR="00171073" w:rsidRPr="007C70AD" w:rsidRDefault="00171073" w:rsidP="00171073">
      <w:pPr>
        <w:pStyle w:val="ListParagraph"/>
        <w:numPr>
          <w:ilvl w:val="0"/>
          <w:numId w:val="31"/>
        </w:numPr>
        <w:rPr>
          <w:szCs w:val="22"/>
        </w:rPr>
      </w:pPr>
      <w:r>
        <w:t xml:space="preserve">genetic testing of the reproductive partner of an individual with a recessive MD variant  </w:t>
      </w:r>
    </w:p>
    <w:p w14:paraId="58837979" w14:textId="77777777" w:rsidR="00171073" w:rsidRPr="006E46FB" w:rsidRDefault="00171073" w:rsidP="00171073">
      <w:pPr>
        <w:pStyle w:val="ListParagraph"/>
        <w:numPr>
          <w:ilvl w:val="0"/>
          <w:numId w:val="31"/>
        </w:numPr>
        <w:rPr>
          <w:szCs w:val="22"/>
        </w:rPr>
      </w:pPr>
      <w:r>
        <w:t>cascade testing of biological relatives</w:t>
      </w:r>
    </w:p>
    <w:p w14:paraId="47C00262" w14:textId="6AD1E31D" w:rsidR="004219A4" w:rsidRPr="00F71522" w:rsidRDefault="004219A4" w:rsidP="004219A4">
      <w:r w:rsidRPr="00B7095A">
        <w:t xml:space="preserve">To be eligible for Medicare </w:t>
      </w:r>
      <w:r>
        <w:t>benefit</w:t>
      </w:r>
      <w:r w:rsidRPr="00B7095A">
        <w:t>s, laboratories providing this service must be accredited according to the pathology accreditation standards specified in the</w:t>
      </w:r>
      <w:r w:rsidRPr="00B7095A">
        <w:rPr>
          <w:i/>
          <w:iCs/>
        </w:rPr>
        <w:t xml:space="preserve"> </w:t>
      </w:r>
      <w:hyperlink r:id="rId10" w:history="1">
        <w:r w:rsidRPr="00B7095A">
          <w:rPr>
            <w:rStyle w:val="Hyperlink"/>
            <w:i/>
            <w:iCs/>
          </w:rPr>
          <w:t>Health Insurance (Accredited Pathology Laboratories-Approval) Principles 2017</w:t>
        </w:r>
      </w:hyperlink>
      <w:r w:rsidRPr="00B7095A">
        <w:t>.</w:t>
      </w:r>
    </w:p>
    <w:p w14:paraId="7F7DA4F7" w14:textId="77777777" w:rsidR="00064168" w:rsidRDefault="00064168" w:rsidP="00064168">
      <w:pPr>
        <w:pStyle w:val="Heading2"/>
      </w:pPr>
      <w:r>
        <w:t>How will these changes affect patients</w:t>
      </w:r>
      <w:r w:rsidRPr="001A7FB7">
        <w:t>?</w:t>
      </w:r>
    </w:p>
    <w:p w14:paraId="79564669" w14:textId="6FAD5929" w:rsidR="003F2C1F" w:rsidRDefault="00B96362" w:rsidP="00064168">
      <w:pPr>
        <w:pStyle w:val="Heading2"/>
        <w:rPr>
          <w:rFonts w:cs="Times New Roman"/>
          <w:b w:val="0"/>
          <w:bCs w:val="0"/>
          <w:iCs w:val="0"/>
          <w:color w:val="000000" w:themeColor="text1"/>
          <w:sz w:val="22"/>
          <w:szCs w:val="24"/>
        </w:rPr>
      </w:pPr>
      <w:r>
        <w:rPr>
          <w:rFonts w:cs="Times New Roman"/>
          <w:b w:val="0"/>
          <w:bCs w:val="0"/>
          <w:iCs w:val="0"/>
          <w:color w:val="000000" w:themeColor="text1"/>
          <w:sz w:val="22"/>
          <w:szCs w:val="24"/>
        </w:rPr>
        <w:t>G</w:t>
      </w:r>
      <w:r w:rsidR="006A5588" w:rsidRPr="006A5588">
        <w:rPr>
          <w:rFonts w:cs="Times New Roman"/>
          <w:b w:val="0"/>
          <w:bCs w:val="0"/>
          <w:iCs w:val="0"/>
          <w:color w:val="000000" w:themeColor="text1"/>
          <w:sz w:val="22"/>
          <w:szCs w:val="24"/>
        </w:rPr>
        <w:t xml:space="preserve">enetic testing for mitochondrial disease only requires a blood sample. It is also more effective as it can provide a more accurate diagnosis than current test methods, and </w:t>
      </w:r>
      <w:r w:rsidR="00E41646">
        <w:rPr>
          <w:rFonts w:cs="Times New Roman"/>
          <w:b w:val="0"/>
          <w:bCs w:val="0"/>
          <w:iCs w:val="0"/>
          <w:color w:val="000000" w:themeColor="text1"/>
          <w:sz w:val="22"/>
          <w:szCs w:val="24"/>
        </w:rPr>
        <w:t>sooner</w:t>
      </w:r>
      <w:r w:rsidR="006A5588" w:rsidRPr="006A5588">
        <w:rPr>
          <w:rFonts w:cs="Times New Roman"/>
          <w:b w:val="0"/>
          <w:bCs w:val="0"/>
          <w:iCs w:val="0"/>
          <w:color w:val="000000" w:themeColor="text1"/>
          <w:sz w:val="22"/>
          <w:szCs w:val="24"/>
        </w:rPr>
        <w:t xml:space="preserve">. </w:t>
      </w:r>
      <w:r w:rsidR="00C50FD1">
        <w:rPr>
          <w:rFonts w:cs="Times New Roman"/>
          <w:b w:val="0"/>
          <w:bCs w:val="0"/>
          <w:iCs w:val="0"/>
          <w:color w:val="000000" w:themeColor="text1"/>
          <w:sz w:val="22"/>
          <w:szCs w:val="24"/>
        </w:rPr>
        <w:t xml:space="preserve">This </w:t>
      </w:r>
      <w:r w:rsidR="00FC00B6">
        <w:rPr>
          <w:rFonts w:cs="Times New Roman"/>
          <w:b w:val="0"/>
          <w:bCs w:val="0"/>
          <w:iCs w:val="0"/>
          <w:color w:val="000000" w:themeColor="text1"/>
          <w:sz w:val="22"/>
          <w:szCs w:val="24"/>
        </w:rPr>
        <w:t xml:space="preserve">may </w:t>
      </w:r>
      <w:r w:rsidR="00C50FD1">
        <w:rPr>
          <w:rFonts w:cs="Times New Roman"/>
          <w:b w:val="0"/>
          <w:bCs w:val="0"/>
          <w:iCs w:val="0"/>
          <w:color w:val="000000" w:themeColor="text1"/>
          <w:sz w:val="22"/>
          <w:szCs w:val="24"/>
        </w:rPr>
        <w:t>allow patients to</w:t>
      </w:r>
      <w:r w:rsidR="006A5588" w:rsidRPr="006A5588">
        <w:rPr>
          <w:rFonts w:cs="Times New Roman"/>
          <w:b w:val="0"/>
          <w:bCs w:val="0"/>
          <w:iCs w:val="0"/>
          <w:color w:val="000000" w:themeColor="text1"/>
          <w:sz w:val="22"/>
          <w:szCs w:val="24"/>
        </w:rPr>
        <w:t xml:space="preserve"> avoid </w:t>
      </w:r>
      <w:r w:rsidR="00C50FD1">
        <w:rPr>
          <w:rFonts w:cs="Times New Roman"/>
          <w:b w:val="0"/>
          <w:bCs w:val="0"/>
          <w:iCs w:val="0"/>
          <w:color w:val="000000" w:themeColor="text1"/>
          <w:sz w:val="22"/>
          <w:szCs w:val="24"/>
        </w:rPr>
        <w:t xml:space="preserve">some </w:t>
      </w:r>
      <w:r w:rsidR="006A5588" w:rsidRPr="006A5588">
        <w:rPr>
          <w:rFonts w:cs="Times New Roman"/>
          <w:b w:val="0"/>
          <w:bCs w:val="0"/>
          <w:iCs w:val="0"/>
          <w:color w:val="000000" w:themeColor="text1"/>
          <w:sz w:val="22"/>
          <w:szCs w:val="24"/>
        </w:rPr>
        <w:t xml:space="preserve">tests such as biopsies. Public funding for genetic testing </w:t>
      </w:r>
      <w:r w:rsidR="00FC00B6">
        <w:rPr>
          <w:rFonts w:cs="Times New Roman"/>
          <w:b w:val="0"/>
          <w:bCs w:val="0"/>
          <w:iCs w:val="0"/>
          <w:color w:val="000000" w:themeColor="text1"/>
          <w:sz w:val="22"/>
          <w:szCs w:val="24"/>
        </w:rPr>
        <w:t>will</w:t>
      </w:r>
      <w:r w:rsidR="00FC00B6" w:rsidRPr="006A5588">
        <w:rPr>
          <w:rFonts w:cs="Times New Roman"/>
          <w:b w:val="0"/>
          <w:bCs w:val="0"/>
          <w:iCs w:val="0"/>
          <w:color w:val="000000" w:themeColor="text1"/>
          <w:sz w:val="22"/>
          <w:szCs w:val="24"/>
        </w:rPr>
        <w:t xml:space="preserve"> </w:t>
      </w:r>
      <w:r w:rsidR="006A5588" w:rsidRPr="006A5588">
        <w:rPr>
          <w:rFonts w:cs="Times New Roman"/>
          <w:b w:val="0"/>
          <w:bCs w:val="0"/>
          <w:iCs w:val="0"/>
          <w:color w:val="000000" w:themeColor="text1"/>
          <w:sz w:val="22"/>
          <w:szCs w:val="24"/>
        </w:rPr>
        <w:t>support better access to the treatments that are available for some patients.</w:t>
      </w:r>
    </w:p>
    <w:p w14:paraId="5BD9BE80" w14:textId="3121D0DC" w:rsidR="00064168" w:rsidRPr="003F2C1F" w:rsidRDefault="00064168" w:rsidP="00064168">
      <w:pPr>
        <w:pStyle w:val="Heading2"/>
      </w:pPr>
      <w:r w:rsidRPr="003F2C1F">
        <w:t>Who was consulted on the changes?</w:t>
      </w:r>
    </w:p>
    <w:p w14:paraId="4B6E1455" w14:textId="08C206DC" w:rsidR="00064168" w:rsidRPr="00867595" w:rsidRDefault="00E81ECA" w:rsidP="00064168">
      <w:pPr>
        <w:rPr>
          <w:szCs w:val="22"/>
        </w:rPr>
      </w:pPr>
      <w:r>
        <w:t xml:space="preserve">The Department received responses </w:t>
      </w:r>
      <w:r w:rsidR="004216CD">
        <w:t>from ten organisations and one individual consumer. The feedback was overall supportive of the application. The organisations that provided input were: Australian Genomics (AG), Australian Pathology (AP), Childhood Dementia Initiative (CDI), GUARD Collaborative Australia (GUARD), Human Genetics Society of Australasia (HGSA), Murdoch Children’s Research Institute (MCRI), Mito Foundation (Mito), Public Pathology Australia (PPA), The Royal College of Pathologists of Australasia (RCPA), and Rare Voices Australia (RVA)</w:t>
      </w:r>
      <w:r w:rsidR="00E32E1B">
        <w:t>.</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3C524D15" w14:textId="266407CB" w:rsidR="00064168" w:rsidRDefault="000D0542" w:rsidP="000D0542">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47EB008A" w:rsidR="00064168"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42167F0F" w14:textId="77777777" w:rsidR="0044045E" w:rsidRDefault="0044045E">
      <w:pPr>
        <w:spacing w:before="0" w:after="0" w:line="240" w:lineRule="auto"/>
        <w:rPr>
          <w:szCs w:val="22"/>
        </w:rPr>
      </w:pPr>
      <w:r>
        <w:rPr>
          <w:b/>
          <w:bCs/>
          <w:iCs/>
          <w:szCs w:val="22"/>
        </w:rPr>
        <w:br w:type="page"/>
      </w:r>
    </w:p>
    <w:p w14:paraId="5A9A4F93" w14:textId="77777777" w:rsidR="0010584D" w:rsidRDefault="005C7D2E" w:rsidP="00BE3ED5">
      <w:pPr>
        <w:pStyle w:val="Heading2"/>
      </w:pPr>
      <w:r>
        <w:lastRenderedPageBreak/>
        <w:t xml:space="preserve">Attachment A: </w:t>
      </w:r>
    </w:p>
    <w:p w14:paraId="6D6EB19D" w14:textId="53F434CC" w:rsidR="00BE3ED5" w:rsidRDefault="00BE3ED5" w:rsidP="00BE3ED5">
      <w:pPr>
        <w:pStyle w:val="Heading2"/>
      </w:pPr>
      <w:r w:rsidRPr="007A32E7">
        <w:t xml:space="preserve">Amended item descriptors (to take effect </w:t>
      </w:r>
      <w:r w:rsidR="00A079A6">
        <w:t>1</w:t>
      </w:r>
      <w:r w:rsidRPr="007A32E7">
        <w:t xml:space="preserve"> </w:t>
      </w:r>
      <w:r w:rsidR="00A079A6">
        <w:t>November</w:t>
      </w:r>
      <w:r w:rsidRPr="007A32E7">
        <w:t xml:space="preserve"> 20</w:t>
      </w:r>
      <w:r w:rsidR="00A079A6">
        <w:t>23</w:t>
      </w:r>
      <w:r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CF2A96A" w:rsidR="00BE3ED5" w:rsidRDefault="008437CA" w:rsidP="000F29A4">
            <w:pPr>
              <w:rPr>
                <w:b w:val="0"/>
                <w:bCs w:val="0"/>
                <w:lang w:eastAsia="en-AU"/>
              </w:rPr>
            </w:pPr>
            <w:bookmarkStart w:id="5" w:name="_Hlk118987208"/>
            <w:r>
              <w:rPr>
                <w:lang w:eastAsia="en-AU"/>
              </w:rPr>
              <w:t>Category</w:t>
            </w:r>
            <w:r w:rsidR="006D4461">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09A718A2" w:rsidR="00BE3ED5" w:rsidRDefault="008437CA" w:rsidP="000F29A4">
            <w:pPr>
              <w:rPr>
                <w:b w:val="0"/>
                <w:bCs w:val="0"/>
                <w:lang w:eastAsia="en-AU"/>
              </w:rPr>
            </w:pPr>
            <w:r>
              <w:rPr>
                <w:lang w:eastAsia="en-AU"/>
              </w:rPr>
              <w:t>Group</w:t>
            </w:r>
            <w:r w:rsidR="006D4461">
              <w:rPr>
                <w:lang w:eastAsia="en-AU"/>
              </w:rPr>
              <w:t xml:space="preserve"> P</w:t>
            </w:r>
            <w:r w:rsidR="00350EBC">
              <w:rPr>
                <w:lang w:eastAsia="en-AU"/>
              </w:rPr>
              <w:t>7</w:t>
            </w:r>
            <w:r w:rsidR="006D4461">
              <w:rPr>
                <w:lang w:eastAsia="en-AU"/>
              </w:rPr>
              <w:t xml:space="preserve"> - </w:t>
            </w:r>
            <w:r w:rsidR="00350EBC">
              <w:rPr>
                <w:lang w:eastAsia="en-AU"/>
              </w:rPr>
              <w:t>Genetics</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00DF456A" w:rsidR="00642F20" w:rsidRPr="00642F20" w:rsidRDefault="006D4461" w:rsidP="00642F20">
            <w:pPr>
              <w:rPr>
                <w:b w:val="0"/>
                <w:bCs w:val="0"/>
              </w:rPr>
            </w:pPr>
            <w:r w:rsidRPr="006D4461">
              <w:rPr>
                <w:b w:val="0"/>
                <w:bCs w:val="0"/>
              </w:rPr>
              <w:t>7</w:t>
            </w:r>
            <w:r w:rsidR="00431102">
              <w:rPr>
                <w:b w:val="0"/>
                <w:bCs w:val="0"/>
              </w:rPr>
              <w:t>34</w:t>
            </w:r>
            <w:r w:rsidR="008B60B8">
              <w:rPr>
                <w:b w:val="0"/>
                <w:bCs w:val="0"/>
              </w:rPr>
              <w:t>56</w:t>
            </w:r>
          </w:p>
          <w:p w14:paraId="74D77370" w14:textId="77777777" w:rsidR="008B60B8" w:rsidRPr="008B60B8" w:rsidRDefault="008B60B8" w:rsidP="008B60B8">
            <w:pPr>
              <w:pStyle w:val="Tabletext0"/>
              <w:rPr>
                <w:rFonts w:ascii="Arial" w:hAnsi="Arial" w:cs="Arial"/>
                <w:b w:val="0"/>
                <w:bCs w:val="0"/>
                <w:sz w:val="22"/>
                <w:szCs w:val="22"/>
                <w:lang w:eastAsia="en-US"/>
              </w:rPr>
            </w:pPr>
            <w:r w:rsidRPr="008B60B8">
              <w:rPr>
                <w:rFonts w:ascii="Arial" w:hAnsi="Arial" w:cs="Arial"/>
                <w:b w:val="0"/>
                <w:bCs w:val="0"/>
                <w:sz w:val="22"/>
                <w:szCs w:val="22"/>
                <w:lang w:eastAsia="en-US"/>
              </w:rPr>
              <w:t>Characterisation by whole genome sequencing, or by either or both whole exome sequencing and mitochondrial DNA sequencing, of germline variants present in nuclear DNA and in mitochondrial DNA of a patient with a strong suspicion of a mitochondrial disease, if:</w:t>
            </w:r>
          </w:p>
          <w:p w14:paraId="0874828E" w14:textId="77777777" w:rsidR="008B60B8" w:rsidRPr="008B60B8" w:rsidRDefault="008B60B8" w:rsidP="008B60B8">
            <w:pPr>
              <w:pStyle w:val="Tablea"/>
              <w:rPr>
                <w:rFonts w:ascii="Arial" w:hAnsi="Arial" w:cs="Arial"/>
                <w:b w:val="0"/>
                <w:bCs w:val="0"/>
                <w:sz w:val="22"/>
                <w:szCs w:val="22"/>
                <w:lang w:eastAsia="en-US"/>
              </w:rPr>
            </w:pPr>
            <w:r w:rsidRPr="008B60B8">
              <w:rPr>
                <w:rFonts w:ascii="Arial" w:hAnsi="Arial" w:cs="Arial"/>
                <w:b w:val="0"/>
                <w:bCs w:val="0"/>
                <w:sz w:val="22"/>
                <w:szCs w:val="22"/>
                <w:lang w:eastAsia="en-US"/>
              </w:rPr>
              <w:t>(a) the characterisation is requested by a specialist or consultant physician; and</w:t>
            </w:r>
          </w:p>
          <w:p w14:paraId="78C14697" w14:textId="77777777" w:rsidR="008B60B8" w:rsidRPr="008B60B8" w:rsidRDefault="008B60B8" w:rsidP="008B60B8">
            <w:pPr>
              <w:pStyle w:val="Tablea"/>
              <w:rPr>
                <w:rFonts w:ascii="Arial" w:hAnsi="Arial" w:cs="Arial"/>
                <w:b w:val="0"/>
                <w:bCs w:val="0"/>
                <w:sz w:val="22"/>
                <w:szCs w:val="22"/>
                <w:lang w:eastAsia="en-US"/>
              </w:rPr>
            </w:pPr>
            <w:r w:rsidRPr="008B60B8">
              <w:rPr>
                <w:rFonts w:ascii="Arial" w:hAnsi="Arial" w:cs="Arial"/>
                <w:b w:val="0"/>
                <w:bCs w:val="0"/>
                <w:sz w:val="22"/>
                <w:szCs w:val="22"/>
                <w:lang w:eastAsia="en-US"/>
              </w:rPr>
              <w:t>(b) the characterisation is requested because of the onset of one or more clinical features indicative of mitochondrial disease, including at least one or more of the following:</w:t>
            </w:r>
          </w:p>
          <w:p w14:paraId="29BE1A39" w14:textId="77777777" w:rsidR="008B60B8" w:rsidRPr="008B60B8" w:rsidRDefault="008B60B8" w:rsidP="008B60B8">
            <w:pPr>
              <w:pStyle w:val="Tablei"/>
              <w:rPr>
                <w:rFonts w:ascii="Arial" w:hAnsi="Arial" w:cs="Arial"/>
                <w:b w:val="0"/>
                <w:bCs w:val="0"/>
                <w:strike/>
                <w:sz w:val="22"/>
                <w:szCs w:val="22"/>
                <w:lang w:eastAsia="en-US"/>
              </w:rPr>
            </w:pPr>
            <w:r w:rsidRPr="008B60B8">
              <w:rPr>
                <w:rFonts w:ascii="Arial" w:hAnsi="Arial" w:cs="Arial"/>
                <w:b w:val="0"/>
                <w:bCs w:val="0"/>
                <w:sz w:val="22"/>
                <w:szCs w:val="22"/>
                <w:lang w:eastAsia="en-US"/>
              </w:rPr>
              <w:t>(</w:t>
            </w:r>
            <w:proofErr w:type="spellStart"/>
            <w:r w:rsidRPr="008B60B8">
              <w:rPr>
                <w:rFonts w:ascii="Arial" w:hAnsi="Arial" w:cs="Arial"/>
                <w:b w:val="0"/>
                <w:bCs w:val="0"/>
                <w:sz w:val="22"/>
                <w:szCs w:val="22"/>
                <w:lang w:eastAsia="en-US"/>
              </w:rPr>
              <w:t>i</w:t>
            </w:r>
            <w:proofErr w:type="spellEnd"/>
            <w:r w:rsidRPr="008B60B8">
              <w:rPr>
                <w:rFonts w:ascii="Arial" w:hAnsi="Arial" w:cs="Arial"/>
                <w:b w:val="0"/>
                <w:bCs w:val="0"/>
                <w:sz w:val="22"/>
                <w:szCs w:val="22"/>
                <w:lang w:eastAsia="en-US"/>
              </w:rPr>
              <w:t>) meeting the clinical criteria of a probable indicator of mitochondrial disease on a relevant scoring system;</w:t>
            </w:r>
          </w:p>
          <w:p w14:paraId="7D00D0D9" w14:textId="77777777" w:rsidR="008B60B8" w:rsidRPr="008B60B8" w:rsidRDefault="008B60B8" w:rsidP="008B60B8">
            <w:pPr>
              <w:pStyle w:val="Tablei"/>
              <w:rPr>
                <w:rFonts w:ascii="Arial" w:hAnsi="Arial" w:cs="Arial"/>
                <w:b w:val="0"/>
                <w:bCs w:val="0"/>
                <w:strike/>
                <w:sz w:val="22"/>
                <w:szCs w:val="22"/>
                <w:lang w:eastAsia="en-US"/>
              </w:rPr>
            </w:pPr>
            <w:r w:rsidRPr="008B60B8">
              <w:rPr>
                <w:rFonts w:ascii="Arial" w:hAnsi="Arial" w:cs="Arial"/>
                <w:b w:val="0"/>
                <w:bCs w:val="0"/>
                <w:sz w:val="22"/>
                <w:szCs w:val="22"/>
                <w:lang w:eastAsia="en-US"/>
              </w:rPr>
              <w:t>(ii)</w:t>
            </w:r>
            <w:r w:rsidRPr="00B6043C">
              <w:rPr>
                <w:rFonts w:ascii="Arial" w:hAnsi="Arial" w:cs="Arial"/>
                <w:sz w:val="22"/>
                <w:szCs w:val="22"/>
                <w:lang w:eastAsia="en-US"/>
              </w:rPr>
              <w:t xml:space="preserve"> </w:t>
            </w:r>
            <w:r w:rsidRPr="008B60B8">
              <w:rPr>
                <w:rFonts w:ascii="Arial" w:hAnsi="Arial" w:cs="Arial"/>
                <w:b w:val="0"/>
                <w:bCs w:val="0"/>
                <w:sz w:val="22"/>
                <w:szCs w:val="22"/>
                <w:lang w:eastAsia="en-US"/>
              </w:rPr>
              <w:t>evident mitochondrial dysfunction or decompensation;</w:t>
            </w:r>
          </w:p>
          <w:p w14:paraId="2359145D"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(iii) unexplained hypotonia or weakness, profound hypoglycaemia or “failure to thrive” in the presence of a metabolic acidosis;</w:t>
            </w:r>
          </w:p>
          <w:p w14:paraId="2B6EED42"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(iv) unexplained single or multi</w:t>
            </w:r>
            <w:r w:rsidRPr="008B60B8">
              <w:rPr>
                <w:rFonts w:ascii="Arial" w:hAnsi="Arial" w:cs="Arial"/>
                <w:b w:val="0"/>
                <w:bCs w:val="0"/>
                <w:sz w:val="22"/>
                <w:szCs w:val="22"/>
                <w:lang w:eastAsia="en-US"/>
              </w:rPr>
              <w:noBreakHyphen/>
              <w:t>organ dysfunction or fulminant failure (including, but not limited to, neuropathies, myopathies, hepatopathy, pancreatic and/or bone marrow failure);</w:t>
            </w:r>
          </w:p>
          <w:p w14:paraId="5990BCAA"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 xml:space="preserve">(v) refractory or atypical seizures, developmental delays or cognitive regression, or progressive encephalopathy or progressive </w:t>
            </w:r>
            <w:proofErr w:type="spellStart"/>
            <w:r w:rsidRPr="008B60B8">
              <w:rPr>
                <w:rFonts w:ascii="Arial" w:hAnsi="Arial" w:cs="Arial"/>
                <w:b w:val="0"/>
                <w:bCs w:val="0"/>
                <w:sz w:val="22"/>
                <w:szCs w:val="22"/>
                <w:lang w:eastAsia="en-US"/>
              </w:rPr>
              <w:t>encephalomyopathy</w:t>
            </w:r>
            <w:proofErr w:type="spellEnd"/>
            <w:r w:rsidRPr="008B60B8">
              <w:rPr>
                <w:rFonts w:ascii="Arial" w:hAnsi="Arial" w:cs="Arial"/>
                <w:b w:val="0"/>
                <w:bCs w:val="0"/>
                <w:sz w:val="22"/>
                <w:szCs w:val="22"/>
                <w:lang w:eastAsia="en-US"/>
              </w:rPr>
              <w:t>;</w:t>
            </w:r>
          </w:p>
          <w:p w14:paraId="20A2AEBC"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(vi) cardiomyopathy and/or cardiac arrythmias;</w:t>
            </w:r>
          </w:p>
          <w:p w14:paraId="1C162822"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(vii) rapid hearing or painless visual loss or ptosis;</w:t>
            </w:r>
          </w:p>
          <w:p w14:paraId="190E5EEB"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(viii) stroke</w:t>
            </w:r>
            <w:r w:rsidRPr="008B60B8">
              <w:rPr>
                <w:rFonts w:ascii="Arial" w:hAnsi="Arial" w:cs="Arial"/>
                <w:b w:val="0"/>
                <w:bCs w:val="0"/>
                <w:sz w:val="22"/>
                <w:szCs w:val="22"/>
                <w:lang w:eastAsia="en-US"/>
              </w:rPr>
              <w:noBreakHyphen/>
              <w:t xml:space="preserve">like episodes or </w:t>
            </w:r>
            <w:proofErr w:type="spellStart"/>
            <w:r w:rsidRPr="008B60B8">
              <w:rPr>
                <w:rFonts w:ascii="Arial" w:hAnsi="Arial" w:cs="Arial"/>
                <w:b w:val="0"/>
                <w:bCs w:val="0"/>
                <w:sz w:val="22"/>
                <w:szCs w:val="22"/>
                <w:lang w:eastAsia="en-US"/>
              </w:rPr>
              <w:t>nonvasculitic</w:t>
            </w:r>
            <w:proofErr w:type="spellEnd"/>
            <w:r w:rsidRPr="008B60B8">
              <w:rPr>
                <w:rFonts w:ascii="Arial" w:hAnsi="Arial" w:cs="Arial"/>
                <w:b w:val="0"/>
                <w:bCs w:val="0"/>
                <w:sz w:val="22"/>
                <w:szCs w:val="22"/>
                <w:lang w:eastAsia="en-US"/>
              </w:rPr>
              <w:t xml:space="preserve"> strokes;</w:t>
            </w:r>
          </w:p>
          <w:p w14:paraId="575C2A8C"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(ix) ataxia, encephalopathy, seizures, muscle fatigue or weakness;</w:t>
            </w:r>
          </w:p>
          <w:p w14:paraId="05D91A26"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(x) external ophthalmoplegia;</w:t>
            </w:r>
          </w:p>
          <w:p w14:paraId="74CCDCBF"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(xi) hearing loss, diabetes, unexplained short stature, or endocrinopathy;</w:t>
            </w:r>
          </w:p>
          <w:p w14:paraId="723D8D62" w14:textId="77777777" w:rsidR="008B60B8" w:rsidRPr="008B60B8" w:rsidRDefault="008B60B8" w:rsidP="008B60B8">
            <w:pPr>
              <w:pStyle w:val="Tablei"/>
              <w:rPr>
                <w:rFonts w:ascii="Arial" w:hAnsi="Arial" w:cs="Arial"/>
                <w:b w:val="0"/>
                <w:bCs w:val="0"/>
                <w:sz w:val="22"/>
                <w:szCs w:val="22"/>
                <w:lang w:eastAsia="en-US"/>
              </w:rPr>
            </w:pPr>
            <w:r w:rsidRPr="008B60B8">
              <w:rPr>
                <w:rFonts w:ascii="Arial" w:hAnsi="Arial" w:cs="Arial"/>
                <w:b w:val="0"/>
                <w:bCs w:val="0"/>
                <w:sz w:val="22"/>
                <w:szCs w:val="22"/>
                <w:lang w:eastAsia="en-US"/>
              </w:rPr>
              <w:t>(xii) family history of mitochondrial disease, or any of the above; and</w:t>
            </w:r>
          </w:p>
          <w:p w14:paraId="3E65EE80" w14:textId="77777777" w:rsidR="008B60B8" w:rsidRPr="008B60B8" w:rsidRDefault="008B60B8" w:rsidP="008B60B8">
            <w:pPr>
              <w:pStyle w:val="Tablea"/>
              <w:rPr>
                <w:rFonts w:ascii="Arial" w:hAnsi="Arial" w:cs="Arial"/>
                <w:b w:val="0"/>
                <w:bCs w:val="0"/>
                <w:sz w:val="22"/>
                <w:szCs w:val="22"/>
                <w:lang w:eastAsia="en-US"/>
              </w:rPr>
            </w:pPr>
            <w:r w:rsidRPr="008B60B8">
              <w:rPr>
                <w:rFonts w:ascii="Arial" w:hAnsi="Arial" w:cs="Arial"/>
                <w:b w:val="0"/>
                <w:bCs w:val="0"/>
                <w:sz w:val="22"/>
                <w:szCs w:val="22"/>
                <w:lang w:eastAsia="en-US"/>
              </w:rPr>
              <w:t>(c) the service is not a service associated with a service to which item 73358, 73359 or 73457 applies</w:t>
            </w:r>
          </w:p>
          <w:p w14:paraId="6F673C90" w14:textId="77777777" w:rsidR="008B60B8" w:rsidRPr="008B60B8" w:rsidRDefault="008B60B8" w:rsidP="008B60B8">
            <w:pPr>
              <w:rPr>
                <w:rFonts w:cs="Arial"/>
                <w:b w:val="0"/>
                <w:bCs w:val="0"/>
                <w:szCs w:val="22"/>
              </w:rPr>
            </w:pPr>
            <w:r w:rsidRPr="008B60B8">
              <w:rPr>
                <w:rFonts w:cs="Arial"/>
                <w:b w:val="0"/>
                <w:bCs w:val="0"/>
                <w:szCs w:val="22"/>
              </w:rPr>
              <w:t>Applicable only once per lifetime</w:t>
            </w:r>
          </w:p>
          <w:p w14:paraId="2356EDD2" w14:textId="14F6FDB6" w:rsidR="00FC7E4D" w:rsidRPr="00FC7E4D" w:rsidRDefault="00FC7E4D" w:rsidP="008B60B8">
            <w:pPr>
              <w:rPr>
                <w:b w:val="0"/>
                <w:bCs w:val="0"/>
              </w:rPr>
            </w:pPr>
            <w:r w:rsidRPr="00FC7E4D">
              <w:rPr>
                <w:b w:val="0"/>
                <w:bCs w:val="0"/>
              </w:rPr>
              <w:t>MBS Fee: $</w:t>
            </w:r>
            <w:r w:rsidR="008B60B8">
              <w:rPr>
                <w:b w:val="0"/>
                <w:bCs w:val="0"/>
              </w:rPr>
              <w:t>2</w:t>
            </w:r>
            <w:r w:rsidR="00570055">
              <w:rPr>
                <w:b w:val="0"/>
                <w:bCs w:val="0"/>
              </w:rPr>
              <w:t>,</w:t>
            </w:r>
            <w:r w:rsidR="00D76F0F">
              <w:rPr>
                <w:b w:val="0"/>
                <w:bCs w:val="0"/>
              </w:rPr>
              <w:t>10</w:t>
            </w:r>
            <w:r>
              <w:rPr>
                <w:b w:val="0"/>
                <w:bCs w:val="0"/>
              </w:rPr>
              <w:t>0</w:t>
            </w:r>
            <w:r w:rsidRPr="00FC7E4D">
              <w:rPr>
                <w:b w:val="0"/>
                <w:bCs w:val="0"/>
              </w:rPr>
              <w:t>.00</w:t>
            </w:r>
          </w:p>
          <w:p w14:paraId="2BDF063F" w14:textId="14485455" w:rsidR="00642F20" w:rsidRPr="00AA6575" w:rsidRDefault="00FC7E4D" w:rsidP="0083149F">
            <w:r w:rsidRPr="00FC7E4D">
              <w:rPr>
                <w:b w:val="0"/>
                <w:bCs w:val="0"/>
              </w:rPr>
              <w:t>Benefit: 75% = $</w:t>
            </w:r>
            <w:r w:rsidR="00B2400E">
              <w:rPr>
                <w:b w:val="0"/>
                <w:bCs w:val="0"/>
              </w:rPr>
              <w:t>1</w:t>
            </w:r>
            <w:r w:rsidR="00570055">
              <w:rPr>
                <w:b w:val="0"/>
                <w:bCs w:val="0"/>
              </w:rPr>
              <w:t>,</w:t>
            </w:r>
            <w:r w:rsidR="003E6377">
              <w:rPr>
                <w:b w:val="0"/>
                <w:bCs w:val="0"/>
              </w:rPr>
              <w:t>575.00</w:t>
            </w:r>
            <w:r w:rsidRPr="00FC7E4D">
              <w:rPr>
                <w:b w:val="0"/>
                <w:bCs w:val="0"/>
              </w:rPr>
              <w:t xml:space="preserve">    </w:t>
            </w:r>
            <w:r w:rsidR="007943B3">
              <w:rPr>
                <w:b w:val="0"/>
                <w:bCs w:val="0"/>
              </w:rPr>
              <w:t xml:space="preserve"> </w:t>
            </w:r>
            <w:r w:rsidRPr="00FC7E4D">
              <w:rPr>
                <w:b w:val="0"/>
                <w:bCs w:val="0"/>
              </w:rPr>
              <w:t>8</w:t>
            </w:r>
            <w:r w:rsidRPr="00A6710A">
              <w:rPr>
                <w:b w:val="0"/>
                <w:bCs w:val="0"/>
              </w:rPr>
              <w:t>5% = $</w:t>
            </w:r>
            <w:r w:rsidR="006D3B8A">
              <w:rPr>
                <w:b w:val="0"/>
                <w:bCs w:val="0"/>
              </w:rPr>
              <w:t>2</w:t>
            </w:r>
            <w:r w:rsidR="00570055">
              <w:rPr>
                <w:b w:val="0"/>
                <w:bCs w:val="0"/>
              </w:rPr>
              <w:t>,</w:t>
            </w:r>
            <w:r w:rsidR="006D3B8A">
              <w:rPr>
                <w:b w:val="0"/>
                <w:bCs w:val="0"/>
              </w:rPr>
              <w:t>001.30</w:t>
            </w:r>
            <w:r w:rsidR="00FB1CD1">
              <w:rPr>
                <w:b w:val="0"/>
                <w:bCs w:val="0"/>
              </w:rPr>
              <w:t xml:space="preserve"> </w:t>
            </w:r>
            <w:r w:rsidR="002C3E27" w:rsidRPr="00FC7E4D">
              <w:rPr>
                <w:b w:val="0"/>
                <w:bCs w:val="0"/>
              </w:rPr>
              <w:t>(Greatest Permiss</w:t>
            </w:r>
            <w:r w:rsidR="00A6710A">
              <w:rPr>
                <w:b w:val="0"/>
                <w:bCs w:val="0"/>
              </w:rPr>
              <w:t>i</w:t>
            </w:r>
            <w:r w:rsidR="002C3E27" w:rsidRPr="00FC7E4D">
              <w:rPr>
                <w:b w:val="0"/>
                <w:bCs w:val="0"/>
              </w:rPr>
              <w:t>ble Gap (GPG) will apply)</w:t>
            </w:r>
          </w:p>
        </w:tc>
      </w:tr>
      <w:bookmarkEnd w:id="5"/>
    </w:tbl>
    <w:p w14:paraId="1ED2CC32" w14:textId="77777777" w:rsidR="00940CB1" w:rsidRDefault="00940CB1" w:rsidP="00BE3ED5"/>
    <w:tbl>
      <w:tblPr>
        <w:tblStyle w:val="GridTable4-Accent2"/>
        <w:tblW w:w="0" w:type="auto"/>
        <w:tblLook w:val="04A0" w:firstRow="1" w:lastRow="0" w:firstColumn="1" w:lastColumn="0" w:noHBand="0" w:noVBand="1"/>
      </w:tblPr>
      <w:tblGrid>
        <w:gridCol w:w="9060"/>
      </w:tblGrid>
      <w:tr w:rsidR="00FC7E4D" w14:paraId="39577CD4" w14:textId="77777777" w:rsidTr="000A41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C72C0B3" w14:textId="77777777" w:rsidR="00FC7E4D" w:rsidRDefault="00FC7E4D" w:rsidP="000A41FB">
            <w:pPr>
              <w:rPr>
                <w:b w:val="0"/>
                <w:bCs w:val="0"/>
                <w:lang w:eastAsia="en-AU"/>
              </w:rPr>
            </w:pPr>
            <w:r>
              <w:rPr>
                <w:lang w:eastAsia="en-AU"/>
              </w:rPr>
              <w:t>Category 6 – Pathology Services</w:t>
            </w:r>
          </w:p>
        </w:tc>
      </w:tr>
      <w:tr w:rsidR="00FC7E4D" w14:paraId="371107E4" w14:textId="77777777" w:rsidTr="000A4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5C96C6" w14:textId="4506CD50" w:rsidR="00FC7E4D" w:rsidRDefault="00FC7E4D" w:rsidP="000A41FB">
            <w:pPr>
              <w:rPr>
                <w:b w:val="0"/>
                <w:bCs w:val="0"/>
                <w:lang w:eastAsia="en-AU"/>
              </w:rPr>
            </w:pPr>
            <w:r>
              <w:rPr>
                <w:lang w:eastAsia="en-AU"/>
              </w:rPr>
              <w:t xml:space="preserve">Group P7 - Genetics </w:t>
            </w:r>
          </w:p>
        </w:tc>
      </w:tr>
      <w:tr w:rsidR="00FC7E4D" w14:paraId="27D33EDA" w14:textId="77777777" w:rsidTr="000A41FB">
        <w:tc>
          <w:tcPr>
            <w:cnfStyle w:val="001000000000" w:firstRow="0" w:lastRow="0" w:firstColumn="1" w:lastColumn="0" w:oddVBand="0" w:evenVBand="0" w:oddHBand="0" w:evenHBand="0" w:firstRowFirstColumn="0" w:firstRowLastColumn="0" w:lastRowFirstColumn="0" w:lastRowLastColumn="0"/>
            <w:tcW w:w="9060" w:type="dxa"/>
            <w:hideMark/>
          </w:tcPr>
          <w:p w14:paraId="23688747" w14:textId="1F73FF86" w:rsidR="00FC7E4D" w:rsidRPr="00812381" w:rsidRDefault="00FC7E4D" w:rsidP="000A41FB">
            <w:pPr>
              <w:rPr>
                <w:rFonts w:cs="Arial"/>
                <w:b w:val="0"/>
                <w:bCs w:val="0"/>
              </w:rPr>
            </w:pPr>
            <w:r w:rsidRPr="00812381">
              <w:rPr>
                <w:rFonts w:cs="Arial"/>
                <w:b w:val="0"/>
                <w:bCs w:val="0"/>
              </w:rPr>
              <w:lastRenderedPageBreak/>
              <w:t>73</w:t>
            </w:r>
            <w:r w:rsidR="00431102" w:rsidRPr="00812381">
              <w:rPr>
                <w:rFonts w:cs="Arial"/>
                <w:b w:val="0"/>
                <w:bCs w:val="0"/>
              </w:rPr>
              <w:t>4</w:t>
            </w:r>
            <w:r w:rsidR="00940CB1" w:rsidRPr="00812381">
              <w:rPr>
                <w:rFonts w:cs="Arial"/>
                <w:b w:val="0"/>
                <w:bCs w:val="0"/>
              </w:rPr>
              <w:t>57</w:t>
            </w:r>
          </w:p>
          <w:p w14:paraId="6A3ADE0D" w14:textId="77777777" w:rsidR="00104F6E" w:rsidRPr="00812381" w:rsidRDefault="00104F6E" w:rsidP="00104F6E">
            <w:pPr>
              <w:pStyle w:val="Tabletext0"/>
              <w:rPr>
                <w:rFonts w:ascii="Arial" w:hAnsi="Arial" w:cs="Arial"/>
                <w:b w:val="0"/>
                <w:bCs w:val="0"/>
                <w:sz w:val="22"/>
                <w:szCs w:val="22"/>
                <w:lang w:eastAsia="en-US"/>
              </w:rPr>
            </w:pPr>
            <w:r w:rsidRPr="00812381">
              <w:rPr>
                <w:rFonts w:ascii="Arial" w:hAnsi="Arial" w:cs="Arial"/>
                <w:b w:val="0"/>
                <w:bCs w:val="0"/>
                <w:sz w:val="22"/>
                <w:szCs w:val="22"/>
                <w:lang w:eastAsia="en-US"/>
              </w:rPr>
              <w:t>Characterisation by whole genome sequencing, or either or both whole exome sequencing and mitochondrial DNA sequencing, of germline variants present in nuclear DNA and in mitochondrial DNA, of a patient with a strong suspicion of a mitochondrial disease, if:</w:t>
            </w:r>
          </w:p>
          <w:p w14:paraId="6F659567" w14:textId="77777777" w:rsidR="00104F6E" w:rsidRPr="00812381" w:rsidRDefault="00104F6E" w:rsidP="00104F6E">
            <w:pPr>
              <w:pStyle w:val="Tablea"/>
              <w:rPr>
                <w:rFonts w:ascii="Arial" w:hAnsi="Arial" w:cs="Arial"/>
                <w:b w:val="0"/>
                <w:bCs w:val="0"/>
                <w:sz w:val="22"/>
                <w:szCs w:val="22"/>
                <w:lang w:eastAsia="en-US"/>
              </w:rPr>
            </w:pPr>
            <w:r w:rsidRPr="00812381">
              <w:rPr>
                <w:rFonts w:ascii="Arial" w:hAnsi="Arial" w:cs="Arial"/>
                <w:b w:val="0"/>
                <w:bCs w:val="0"/>
                <w:sz w:val="22"/>
                <w:szCs w:val="22"/>
                <w:lang w:eastAsia="en-US"/>
              </w:rPr>
              <w:t>(a) the characterisation is performed using a sample from the patient and a sample from each of the patient’s biological parents; and</w:t>
            </w:r>
          </w:p>
          <w:p w14:paraId="272173DA" w14:textId="77777777" w:rsidR="00104F6E" w:rsidRPr="00812381" w:rsidRDefault="00104F6E" w:rsidP="00104F6E">
            <w:pPr>
              <w:pStyle w:val="Tablea"/>
              <w:rPr>
                <w:rFonts w:ascii="Arial" w:hAnsi="Arial" w:cs="Arial"/>
                <w:b w:val="0"/>
                <w:bCs w:val="0"/>
                <w:sz w:val="22"/>
                <w:szCs w:val="22"/>
                <w:lang w:eastAsia="en-US"/>
              </w:rPr>
            </w:pPr>
            <w:r w:rsidRPr="00812381">
              <w:rPr>
                <w:rFonts w:ascii="Arial" w:hAnsi="Arial" w:cs="Arial"/>
                <w:b w:val="0"/>
                <w:bCs w:val="0"/>
                <w:sz w:val="22"/>
                <w:szCs w:val="22"/>
                <w:lang w:eastAsia="en-US"/>
              </w:rPr>
              <w:t>(b) the request for the characterisation states that singleton testing is inappropriate; and</w:t>
            </w:r>
          </w:p>
          <w:p w14:paraId="4966272B" w14:textId="77777777" w:rsidR="00104F6E" w:rsidRPr="00812381" w:rsidRDefault="00104F6E" w:rsidP="00104F6E">
            <w:pPr>
              <w:pStyle w:val="Tablea"/>
              <w:rPr>
                <w:rFonts w:ascii="Arial" w:hAnsi="Arial" w:cs="Arial"/>
                <w:b w:val="0"/>
                <w:bCs w:val="0"/>
                <w:sz w:val="22"/>
                <w:szCs w:val="22"/>
                <w:lang w:eastAsia="en-US"/>
              </w:rPr>
            </w:pPr>
            <w:r w:rsidRPr="00812381">
              <w:rPr>
                <w:rFonts w:ascii="Arial" w:hAnsi="Arial" w:cs="Arial"/>
                <w:b w:val="0"/>
                <w:bCs w:val="0"/>
                <w:sz w:val="22"/>
                <w:szCs w:val="22"/>
                <w:lang w:eastAsia="en-US"/>
              </w:rPr>
              <w:t>(c) the characterisation is requested by a specialist or consultant physician; and</w:t>
            </w:r>
          </w:p>
          <w:p w14:paraId="6EF98691" w14:textId="77777777" w:rsidR="00104F6E" w:rsidRPr="00812381" w:rsidRDefault="00104F6E" w:rsidP="00104F6E">
            <w:pPr>
              <w:pStyle w:val="Tablea"/>
              <w:rPr>
                <w:rFonts w:ascii="Arial" w:hAnsi="Arial" w:cs="Arial"/>
                <w:b w:val="0"/>
                <w:bCs w:val="0"/>
                <w:sz w:val="22"/>
                <w:szCs w:val="22"/>
                <w:lang w:eastAsia="en-US"/>
              </w:rPr>
            </w:pPr>
            <w:r w:rsidRPr="00812381">
              <w:rPr>
                <w:rFonts w:ascii="Arial" w:hAnsi="Arial" w:cs="Arial"/>
                <w:b w:val="0"/>
                <w:bCs w:val="0"/>
                <w:sz w:val="22"/>
                <w:szCs w:val="22"/>
                <w:lang w:eastAsia="en-US"/>
              </w:rPr>
              <w:t>(d) the characterisation is requested because of the onset of one or more clinical features indicative of mitochondrial disease, including at least one or more of the following:</w:t>
            </w:r>
          </w:p>
          <w:p w14:paraId="75AC62BB"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w:t>
            </w:r>
            <w:proofErr w:type="spellStart"/>
            <w:r w:rsidRPr="00812381">
              <w:rPr>
                <w:rFonts w:ascii="Arial" w:hAnsi="Arial" w:cs="Arial"/>
                <w:b w:val="0"/>
                <w:bCs w:val="0"/>
                <w:sz w:val="22"/>
                <w:szCs w:val="22"/>
                <w:lang w:eastAsia="en-US"/>
              </w:rPr>
              <w:t>i</w:t>
            </w:r>
            <w:proofErr w:type="spellEnd"/>
            <w:r w:rsidRPr="00812381">
              <w:rPr>
                <w:rFonts w:ascii="Arial" w:hAnsi="Arial" w:cs="Arial"/>
                <w:b w:val="0"/>
                <w:bCs w:val="0"/>
                <w:sz w:val="22"/>
                <w:szCs w:val="22"/>
                <w:lang w:eastAsia="en-US"/>
              </w:rPr>
              <w:t>) meeting the clinical criteria of a probable indicator of mitochondrial disease on a relevant scoring system;</w:t>
            </w:r>
          </w:p>
          <w:p w14:paraId="71549C16"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(ii) evident mitochondrial dysfunction or decompensation;</w:t>
            </w:r>
          </w:p>
          <w:p w14:paraId="55F4F772"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(iii) unexplained hypotonia or weakness, profound hypoglycaemia or “failure to thrive” in the presence of a metabolic acidosis;</w:t>
            </w:r>
          </w:p>
          <w:p w14:paraId="31C5A935"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(iv) unexplained single or multi</w:t>
            </w:r>
            <w:r w:rsidRPr="00812381">
              <w:rPr>
                <w:rFonts w:ascii="Arial" w:hAnsi="Arial" w:cs="Arial"/>
                <w:b w:val="0"/>
                <w:bCs w:val="0"/>
                <w:sz w:val="22"/>
                <w:szCs w:val="22"/>
                <w:lang w:eastAsia="en-US"/>
              </w:rPr>
              <w:noBreakHyphen/>
              <w:t>organ dysfunction or fulminant failure (including, but not limited to, neuropathies, myopathies, hepatopathy, pancreatic and/or bone marrow failure);</w:t>
            </w:r>
          </w:p>
          <w:p w14:paraId="06F91319"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 xml:space="preserve">(v) refractory or atypical seizures, developmental delays or cognitive regression, or progressive encephalopathy or progressive </w:t>
            </w:r>
            <w:proofErr w:type="spellStart"/>
            <w:r w:rsidRPr="00812381">
              <w:rPr>
                <w:rFonts w:ascii="Arial" w:hAnsi="Arial" w:cs="Arial"/>
                <w:b w:val="0"/>
                <w:bCs w:val="0"/>
                <w:sz w:val="22"/>
                <w:szCs w:val="22"/>
                <w:lang w:eastAsia="en-US"/>
              </w:rPr>
              <w:t>encephalomyopathy</w:t>
            </w:r>
            <w:proofErr w:type="spellEnd"/>
            <w:r w:rsidRPr="00812381">
              <w:rPr>
                <w:rFonts w:ascii="Arial" w:hAnsi="Arial" w:cs="Arial"/>
                <w:b w:val="0"/>
                <w:bCs w:val="0"/>
                <w:sz w:val="22"/>
                <w:szCs w:val="22"/>
                <w:lang w:eastAsia="en-US"/>
              </w:rPr>
              <w:t>;</w:t>
            </w:r>
          </w:p>
          <w:p w14:paraId="1C5E6C71"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(vi) cardiomyopathy and/or cardiac arrythmias;</w:t>
            </w:r>
          </w:p>
          <w:p w14:paraId="6D72F407"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(vii) rapid hearing or painless visual loss or ptosis;</w:t>
            </w:r>
          </w:p>
          <w:p w14:paraId="6E08AD99"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(viii) stroke</w:t>
            </w:r>
            <w:r w:rsidRPr="00812381">
              <w:rPr>
                <w:rFonts w:ascii="Arial" w:hAnsi="Arial" w:cs="Arial"/>
                <w:b w:val="0"/>
                <w:bCs w:val="0"/>
                <w:sz w:val="22"/>
                <w:szCs w:val="22"/>
                <w:lang w:eastAsia="en-US"/>
              </w:rPr>
              <w:noBreakHyphen/>
              <w:t xml:space="preserve">like episodes or </w:t>
            </w:r>
            <w:proofErr w:type="spellStart"/>
            <w:r w:rsidRPr="00812381">
              <w:rPr>
                <w:rFonts w:ascii="Arial" w:hAnsi="Arial" w:cs="Arial"/>
                <w:b w:val="0"/>
                <w:bCs w:val="0"/>
                <w:sz w:val="22"/>
                <w:szCs w:val="22"/>
                <w:lang w:eastAsia="en-US"/>
              </w:rPr>
              <w:t>nonvasculitic</w:t>
            </w:r>
            <w:proofErr w:type="spellEnd"/>
            <w:r w:rsidRPr="00812381">
              <w:rPr>
                <w:rFonts w:ascii="Arial" w:hAnsi="Arial" w:cs="Arial"/>
                <w:b w:val="0"/>
                <w:bCs w:val="0"/>
                <w:sz w:val="22"/>
                <w:szCs w:val="22"/>
                <w:lang w:eastAsia="en-US"/>
              </w:rPr>
              <w:t xml:space="preserve"> strokes;</w:t>
            </w:r>
          </w:p>
          <w:p w14:paraId="5DF8A690"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(ix) ataxia, encephalopathy, seizures, muscle fatigue or weakness;</w:t>
            </w:r>
          </w:p>
          <w:p w14:paraId="271AD661"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(x) external ophthalmoplegia;</w:t>
            </w:r>
          </w:p>
          <w:p w14:paraId="4B9F0893"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(xi) hearing loss, diabetes, unexplained short stature, or endocrinopathy;</w:t>
            </w:r>
          </w:p>
          <w:p w14:paraId="2F18D83A" w14:textId="77777777" w:rsidR="00104F6E" w:rsidRPr="00812381" w:rsidRDefault="00104F6E" w:rsidP="00104F6E">
            <w:pPr>
              <w:pStyle w:val="Tablei"/>
              <w:rPr>
                <w:rFonts w:ascii="Arial" w:hAnsi="Arial" w:cs="Arial"/>
                <w:b w:val="0"/>
                <w:bCs w:val="0"/>
                <w:sz w:val="22"/>
                <w:szCs w:val="22"/>
                <w:lang w:eastAsia="en-US"/>
              </w:rPr>
            </w:pPr>
            <w:r w:rsidRPr="00812381">
              <w:rPr>
                <w:rFonts w:ascii="Arial" w:hAnsi="Arial" w:cs="Arial"/>
                <w:b w:val="0"/>
                <w:bCs w:val="0"/>
                <w:sz w:val="22"/>
                <w:szCs w:val="22"/>
                <w:lang w:eastAsia="en-US"/>
              </w:rPr>
              <w:t>(xii) family history of mitochondrial disease; and</w:t>
            </w:r>
          </w:p>
          <w:p w14:paraId="672C0754" w14:textId="77777777" w:rsidR="00104F6E" w:rsidRPr="00812381" w:rsidRDefault="00104F6E" w:rsidP="00104F6E">
            <w:pPr>
              <w:pStyle w:val="Tablea"/>
              <w:rPr>
                <w:rFonts w:ascii="Arial" w:hAnsi="Arial" w:cs="Arial"/>
                <w:b w:val="0"/>
                <w:bCs w:val="0"/>
                <w:sz w:val="22"/>
                <w:szCs w:val="22"/>
                <w:lang w:eastAsia="en-US"/>
              </w:rPr>
            </w:pPr>
            <w:r w:rsidRPr="00812381">
              <w:rPr>
                <w:rFonts w:ascii="Arial" w:hAnsi="Arial" w:cs="Arial"/>
                <w:b w:val="0"/>
                <w:bCs w:val="0"/>
                <w:sz w:val="22"/>
                <w:szCs w:val="22"/>
                <w:lang w:eastAsia="en-US"/>
              </w:rPr>
              <w:t>(e) the service is not a service associated with a service to which item 73358, 73359 or 73456 applies</w:t>
            </w:r>
          </w:p>
          <w:p w14:paraId="503157FB" w14:textId="77777777" w:rsidR="00812381" w:rsidRPr="00812381" w:rsidRDefault="00104F6E" w:rsidP="00104F6E">
            <w:pPr>
              <w:rPr>
                <w:rFonts w:cs="Arial"/>
                <w:szCs w:val="22"/>
              </w:rPr>
            </w:pPr>
            <w:r w:rsidRPr="00812381">
              <w:rPr>
                <w:rFonts w:cs="Arial"/>
                <w:b w:val="0"/>
                <w:bCs w:val="0"/>
                <w:szCs w:val="22"/>
              </w:rPr>
              <w:t>Applicable only once per lifetime</w:t>
            </w:r>
          </w:p>
          <w:p w14:paraId="34038B4E" w14:textId="1596431B" w:rsidR="00FC7E4D" w:rsidRPr="00812381" w:rsidRDefault="00FC7E4D" w:rsidP="00104F6E">
            <w:pPr>
              <w:rPr>
                <w:rFonts w:cs="Arial"/>
                <w:b w:val="0"/>
                <w:bCs w:val="0"/>
              </w:rPr>
            </w:pPr>
            <w:r w:rsidRPr="00812381">
              <w:rPr>
                <w:rFonts w:cs="Arial"/>
                <w:b w:val="0"/>
                <w:bCs w:val="0"/>
              </w:rPr>
              <w:t>MBS Fee: $</w:t>
            </w:r>
            <w:r w:rsidR="00812381">
              <w:rPr>
                <w:rFonts w:cs="Arial"/>
                <w:b w:val="0"/>
                <w:bCs w:val="0"/>
              </w:rPr>
              <w:t>3</w:t>
            </w:r>
            <w:r w:rsidR="00570055">
              <w:rPr>
                <w:rFonts w:cs="Arial"/>
                <w:b w:val="0"/>
                <w:bCs w:val="0"/>
              </w:rPr>
              <w:t>,</w:t>
            </w:r>
            <w:r w:rsidR="00812381">
              <w:rPr>
                <w:rFonts w:cs="Arial"/>
                <w:b w:val="0"/>
                <w:bCs w:val="0"/>
              </w:rPr>
              <w:t>3</w:t>
            </w:r>
            <w:r w:rsidR="00916F59" w:rsidRPr="00812381">
              <w:rPr>
                <w:rFonts w:cs="Arial"/>
                <w:b w:val="0"/>
                <w:bCs w:val="0"/>
              </w:rPr>
              <w:t>0</w:t>
            </w:r>
            <w:r w:rsidRPr="00812381">
              <w:rPr>
                <w:rFonts w:cs="Arial"/>
                <w:b w:val="0"/>
                <w:bCs w:val="0"/>
              </w:rPr>
              <w:t>0.00</w:t>
            </w:r>
          </w:p>
          <w:p w14:paraId="416DAEAF" w14:textId="47F75A73" w:rsidR="00FC7E4D" w:rsidRPr="00812381" w:rsidRDefault="00FC7E4D" w:rsidP="0083149F">
            <w:pPr>
              <w:rPr>
                <w:rFonts w:cs="Arial"/>
              </w:rPr>
            </w:pPr>
            <w:r w:rsidRPr="00812381">
              <w:rPr>
                <w:rFonts w:cs="Arial"/>
                <w:b w:val="0"/>
                <w:bCs w:val="0"/>
              </w:rPr>
              <w:t>Benefit: 75% = $</w:t>
            </w:r>
            <w:r w:rsidR="00000BEA">
              <w:rPr>
                <w:rFonts w:cs="Arial"/>
                <w:b w:val="0"/>
                <w:bCs w:val="0"/>
              </w:rPr>
              <w:t>2</w:t>
            </w:r>
            <w:r w:rsidR="00570055">
              <w:rPr>
                <w:rFonts w:cs="Arial"/>
                <w:b w:val="0"/>
                <w:bCs w:val="0"/>
              </w:rPr>
              <w:t>,</w:t>
            </w:r>
            <w:r w:rsidR="00000BEA">
              <w:rPr>
                <w:rFonts w:cs="Arial"/>
                <w:b w:val="0"/>
                <w:bCs w:val="0"/>
              </w:rPr>
              <w:t>475.00</w:t>
            </w:r>
            <w:r w:rsidR="00E642A7" w:rsidRPr="00812381">
              <w:rPr>
                <w:rFonts w:cs="Arial"/>
                <w:b w:val="0"/>
                <w:bCs w:val="0"/>
              </w:rPr>
              <w:t xml:space="preserve">    </w:t>
            </w:r>
            <w:r w:rsidR="007943B3" w:rsidRPr="00812381">
              <w:rPr>
                <w:rFonts w:cs="Arial"/>
                <w:b w:val="0"/>
                <w:bCs w:val="0"/>
              </w:rPr>
              <w:t xml:space="preserve"> </w:t>
            </w:r>
            <w:r w:rsidR="002528F4" w:rsidRPr="00812381">
              <w:rPr>
                <w:rFonts w:cs="Arial"/>
                <w:b w:val="0"/>
                <w:bCs w:val="0"/>
              </w:rPr>
              <w:t>85% = $</w:t>
            </w:r>
            <w:r w:rsidR="0070096F">
              <w:rPr>
                <w:rFonts w:cs="Arial"/>
                <w:b w:val="0"/>
                <w:bCs w:val="0"/>
              </w:rPr>
              <w:t>3</w:t>
            </w:r>
            <w:r w:rsidR="00570055">
              <w:rPr>
                <w:rFonts w:cs="Arial"/>
                <w:b w:val="0"/>
                <w:bCs w:val="0"/>
              </w:rPr>
              <w:t>,</w:t>
            </w:r>
            <w:r w:rsidR="0070096F">
              <w:rPr>
                <w:rFonts w:cs="Arial"/>
                <w:b w:val="0"/>
                <w:bCs w:val="0"/>
              </w:rPr>
              <w:t>201.30</w:t>
            </w:r>
            <w:r w:rsidR="00FB1CD1" w:rsidRPr="00812381">
              <w:rPr>
                <w:rFonts w:cs="Arial"/>
                <w:b w:val="0"/>
                <w:bCs w:val="0"/>
              </w:rPr>
              <w:t xml:space="preserve"> </w:t>
            </w:r>
            <w:r w:rsidR="002528F4" w:rsidRPr="00812381">
              <w:rPr>
                <w:rFonts w:cs="Arial"/>
                <w:b w:val="0"/>
                <w:bCs w:val="0"/>
              </w:rPr>
              <w:t>(Greatest Permissible Gap (GPG) will apply)</w:t>
            </w:r>
          </w:p>
        </w:tc>
      </w:tr>
    </w:tbl>
    <w:p w14:paraId="4A6AD8B5" w14:textId="77777777" w:rsidR="002F395F" w:rsidRDefault="002F395F" w:rsidP="00BE3ED5"/>
    <w:tbl>
      <w:tblPr>
        <w:tblStyle w:val="GridTable4-Accent2"/>
        <w:tblW w:w="0" w:type="auto"/>
        <w:tblLook w:val="04A0" w:firstRow="1" w:lastRow="0" w:firstColumn="1" w:lastColumn="0" w:noHBand="0" w:noVBand="1"/>
      </w:tblPr>
      <w:tblGrid>
        <w:gridCol w:w="9060"/>
      </w:tblGrid>
      <w:tr w:rsidR="002C3E27" w14:paraId="61387F3F" w14:textId="77777777" w:rsidTr="00EC4D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6A55EF4" w14:textId="77777777" w:rsidR="002C3E27" w:rsidRDefault="002C3E27" w:rsidP="00EC4DF3">
            <w:pPr>
              <w:rPr>
                <w:b w:val="0"/>
                <w:bCs w:val="0"/>
                <w:lang w:eastAsia="en-AU"/>
              </w:rPr>
            </w:pPr>
            <w:r>
              <w:rPr>
                <w:lang w:eastAsia="en-AU"/>
              </w:rPr>
              <w:t>Category 6 – Pathology Services</w:t>
            </w:r>
          </w:p>
        </w:tc>
      </w:tr>
      <w:tr w:rsidR="002C3E27" w14:paraId="0D6AA999" w14:textId="77777777" w:rsidTr="00EC4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F766E1A" w14:textId="77777777" w:rsidR="002C3E27" w:rsidRDefault="002C3E27" w:rsidP="00EC4DF3">
            <w:pPr>
              <w:rPr>
                <w:b w:val="0"/>
                <w:bCs w:val="0"/>
                <w:lang w:eastAsia="en-AU"/>
              </w:rPr>
            </w:pPr>
            <w:r>
              <w:rPr>
                <w:lang w:eastAsia="en-AU"/>
              </w:rPr>
              <w:t>Group P7 - Genetics</w:t>
            </w:r>
          </w:p>
        </w:tc>
      </w:tr>
      <w:tr w:rsidR="002C3E27" w14:paraId="6BE156DF" w14:textId="77777777" w:rsidTr="00EC4DF3">
        <w:tc>
          <w:tcPr>
            <w:cnfStyle w:val="001000000000" w:firstRow="0" w:lastRow="0" w:firstColumn="1" w:lastColumn="0" w:oddVBand="0" w:evenVBand="0" w:oddHBand="0" w:evenHBand="0" w:firstRowFirstColumn="0" w:firstRowLastColumn="0" w:lastRowFirstColumn="0" w:lastRowLastColumn="0"/>
            <w:tcW w:w="9060" w:type="dxa"/>
            <w:hideMark/>
          </w:tcPr>
          <w:p w14:paraId="4FF9175E" w14:textId="7BAE751C" w:rsidR="002C3E27" w:rsidRPr="00642F20" w:rsidRDefault="002C3E27" w:rsidP="00EC4DF3">
            <w:pPr>
              <w:rPr>
                <w:b w:val="0"/>
                <w:bCs w:val="0"/>
              </w:rPr>
            </w:pPr>
            <w:r w:rsidRPr="006D4461">
              <w:rPr>
                <w:b w:val="0"/>
                <w:bCs w:val="0"/>
              </w:rPr>
              <w:t>7</w:t>
            </w:r>
            <w:r>
              <w:rPr>
                <w:b w:val="0"/>
                <w:bCs w:val="0"/>
              </w:rPr>
              <w:t>34</w:t>
            </w:r>
            <w:r w:rsidR="002F395F">
              <w:rPr>
                <w:b w:val="0"/>
                <w:bCs w:val="0"/>
              </w:rPr>
              <w:t>58</w:t>
            </w:r>
          </w:p>
          <w:p w14:paraId="6DE0B2D4" w14:textId="77777777" w:rsidR="00232FFD" w:rsidRPr="00232FFD" w:rsidRDefault="00232FFD" w:rsidP="00232FFD">
            <w:pPr>
              <w:pStyle w:val="Tabletext0"/>
              <w:rPr>
                <w:rFonts w:ascii="Arial" w:hAnsi="Arial" w:cs="Arial"/>
                <w:b w:val="0"/>
                <w:bCs w:val="0"/>
                <w:sz w:val="22"/>
                <w:szCs w:val="22"/>
                <w:lang w:eastAsia="en-US"/>
              </w:rPr>
            </w:pPr>
            <w:r w:rsidRPr="00232FFD">
              <w:rPr>
                <w:rFonts w:ascii="Arial" w:hAnsi="Arial" w:cs="Arial"/>
                <w:b w:val="0"/>
                <w:bCs w:val="0"/>
                <w:sz w:val="22"/>
                <w:szCs w:val="22"/>
                <w:lang w:eastAsia="en-US"/>
              </w:rPr>
              <w:t>Re</w:t>
            </w:r>
            <w:r w:rsidRPr="00232FFD">
              <w:rPr>
                <w:rFonts w:ascii="Arial" w:hAnsi="Arial" w:cs="Arial"/>
                <w:b w:val="0"/>
                <w:bCs w:val="0"/>
                <w:sz w:val="22"/>
                <w:szCs w:val="22"/>
                <w:lang w:eastAsia="en-US"/>
              </w:rPr>
              <w:noBreakHyphen/>
              <w:t>analysis of whole genome or whole exome or mitochondrial DNA data obtained in performing a service to which item 73456 or 73457 applies, for characterisation of previously unreported germline variants related to the clinical phenotype, if:</w:t>
            </w:r>
          </w:p>
          <w:p w14:paraId="6039536B" w14:textId="77777777" w:rsidR="00232FFD" w:rsidRPr="00232FFD" w:rsidRDefault="00232FFD" w:rsidP="00232FFD">
            <w:pPr>
              <w:pStyle w:val="Tablea"/>
              <w:rPr>
                <w:rFonts w:ascii="Arial" w:hAnsi="Arial" w:cs="Arial"/>
                <w:b w:val="0"/>
                <w:bCs w:val="0"/>
                <w:sz w:val="22"/>
                <w:szCs w:val="22"/>
                <w:lang w:eastAsia="en-US"/>
              </w:rPr>
            </w:pPr>
            <w:r w:rsidRPr="00232FFD">
              <w:rPr>
                <w:rFonts w:ascii="Arial" w:hAnsi="Arial" w:cs="Arial"/>
                <w:b w:val="0"/>
                <w:bCs w:val="0"/>
                <w:sz w:val="22"/>
                <w:szCs w:val="22"/>
                <w:lang w:eastAsia="en-US"/>
              </w:rPr>
              <w:t>(a) the re</w:t>
            </w:r>
            <w:r w:rsidRPr="00232FFD">
              <w:rPr>
                <w:rFonts w:ascii="Arial" w:hAnsi="Arial" w:cs="Arial"/>
                <w:b w:val="0"/>
                <w:bCs w:val="0"/>
                <w:sz w:val="22"/>
                <w:szCs w:val="22"/>
                <w:lang w:eastAsia="en-US"/>
              </w:rPr>
              <w:noBreakHyphen/>
              <w:t>analysis is requested by a specialist or consultant physician; and</w:t>
            </w:r>
          </w:p>
          <w:p w14:paraId="12421900" w14:textId="77777777" w:rsidR="00232FFD" w:rsidRPr="00232FFD" w:rsidRDefault="00232FFD" w:rsidP="00232FFD">
            <w:pPr>
              <w:pStyle w:val="Tablea"/>
              <w:rPr>
                <w:rFonts w:ascii="Arial" w:hAnsi="Arial" w:cs="Arial"/>
                <w:b w:val="0"/>
                <w:bCs w:val="0"/>
                <w:sz w:val="22"/>
                <w:szCs w:val="22"/>
                <w:lang w:eastAsia="en-US"/>
              </w:rPr>
            </w:pPr>
            <w:r w:rsidRPr="00232FFD">
              <w:rPr>
                <w:rFonts w:ascii="Arial" w:hAnsi="Arial" w:cs="Arial"/>
                <w:b w:val="0"/>
                <w:bCs w:val="0"/>
                <w:sz w:val="22"/>
                <w:szCs w:val="22"/>
                <w:lang w:eastAsia="en-US"/>
              </w:rPr>
              <w:lastRenderedPageBreak/>
              <w:t>(b) the patient is strongly suspected of having a monogenic mitochondrial disease; and</w:t>
            </w:r>
          </w:p>
          <w:p w14:paraId="0CC5C269" w14:textId="77777777" w:rsidR="00232FFD" w:rsidRPr="00232FFD" w:rsidRDefault="00232FFD" w:rsidP="00232FFD">
            <w:pPr>
              <w:pStyle w:val="Tablea"/>
              <w:rPr>
                <w:rFonts w:ascii="Arial" w:hAnsi="Arial" w:cs="Arial"/>
                <w:b w:val="0"/>
                <w:bCs w:val="0"/>
                <w:sz w:val="22"/>
                <w:szCs w:val="22"/>
                <w:lang w:eastAsia="en-US"/>
              </w:rPr>
            </w:pPr>
            <w:r w:rsidRPr="00232FFD">
              <w:rPr>
                <w:rFonts w:ascii="Arial" w:hAnsi="Arial" w:cs="Arial"/>
                <w:b w:val="0"/>
                <w:bCs w:val="0"/>
                <w:sz w:val="22"/>
                <w:szCs w:val="22"/>
                <w:lang w:eastAsia="en-US"/>
              </w:rPr>
              <w:t>(c) the re</w:t>
            </w:r>
            <w:r w:rsidRPr="00232FFD">
              <w:rPr>
                <w:rFonts w:ascii="Arial" w:hAnsi="Arial" w:cs="Arial"/>
                <w:b w:val="0"/>
                <w:bCs w:val="0"/>
                <w:sz w:val="22"/>
                <w:szCs w:val="22"/>
                <w:lang w:eastAsia="en-US"/>
              </w:rPr>
              <w:noBreakHyphen/>
              <w:t>analysis is performed at least 24 months after:</w:t>
            </w:r>
          </w:p>
          <w:p w14:paraId="19BFEC78" w14:textId="77777777" w:rsidR="00232FFD" w:rsidRPr="00232FFD" w:rsidRDefault="00232FFD" w:rsidP="00232FFD">
            <w:pPr>
              <w:pStyle w:val="Tablei"/>
              <w:rPr>
                <w:rFonts w:ascii="Arial" w:hAnsi="Arial" w:cs="Arial"/>
                <w:b w:val="0"/>
                <w:bCs w:val="0"/>
                <w:sz w:val="22"/>
                <w:szCs w:val="22"/>
                <w:lang w:eastAsia="en-US"/>
              </w:rPr>
            </w:pPr>
            <w:r w:rsidRPr="00232FFD">
              <w:rPr>
                <w:rFonts w:ascii="Arial" w:hAnsi="Arial" w:cs="Arial"/>
                <w:b w:val="0"/>
                <w:bCs w:val="0"/>
                <w:sz w:val="22"/>
                <w:szCs w:val="22"/>
                <w:lang w:eastAsia="en-US"/>
              </w:rPr>
              <w:t>(</w:t>
            </w:r>
            <w:proofErr w:type="spellStart"/>
            <w:r w:rsidRPr="00232FFD">
              <w:rPr>
                <w:rFonts w:ascii="Arial" w:hAnsi="Arial" w:cs="Arial"/>
                <w:b w:val="0"/>
                <w:bCs w:val="0"/>
                <w:sz w:val="22"/>
                <w:szCs w:val="22"/>
                <w:lang w:eastAsia="en-US"/>
              </w:rPr>
              <w:t>i</w:t>
            </w:r>
            <w:proofErr w:type="spellEnd"/>
            <w:r w:rsidRPr="00232FFD">
              <w:rPr>
                <w:rFonts w:ascii="Arial" w:hAnsi="Arial" w:cs="Arial"/>
                <w:b w:val="0"/>
                <w:bCs w:val="0"/>
                <w:sz w:val="22"/>
                <w:szCs w:val="22"/>
                <w:lang w:eastAsia="en-US"/>
              </w:rPr>
              <w:t>) the service to which item 73456 or 73457 applies; or</w:t>
            </w:r>
          </w:p>
          <w:p w14:paraId="72DF8584" w14:textId="77777777" w:rsidR="00232FFD" w:rsidRPr="00232FFD" w:rsidRDefault="00232FFD" w:rsidP="00232FFD">
            <w:pPr>
              <w:pStyle w:val="Tablei"/>
              <w:rPr>
                <w:rFonts w:ascii="Arial" w:hAnsi="Arial" w:cs="Arial"/>
                <w:b w:val="0"/>
                <w:bCs w:val="0"/>
                <w:sz w:val="22"/>
                <w:szCs w:val="22"/>
                <w:lang w:eastAsia="en-US"/>
              </w:rPr>
            </w:pPr>
            <w:r w:rsidRPr="00232FFD">
              <w:rPr>
                <w:rFonts w:ascii="Arial" w:hAnsi="Arial" w:cs="Arial"/>
                <w:b w:val="0"/>
                <w:bCs w:val="0"/>
                <w:sz w:val="22"/>
                <w:szCs w:val="22"/>
                <w:lang w:eastAsia="en-US"/>
              </w:rPr>
              <w:t>(ii) a service to which this item applies</w:t>
            </w:r>
          </w:p>
          <w:p w14:paraId="42EA3156" w14:textId="77777777" w:rsidR="00232FFD" w:rsidRPr="00232FFD" w:rsidRDefault="00232FFD" w:rsidP="00232FFD">
            <w:pPr>
              <w:rPr>
                <w:rFonts w:cs="Arial"/>
                <w:b w:val="0"/>
                <w:bCs w:val="0"/>
                <w:szCs w:val="22"/>
              </w:rPr>
            </w:pPr>
            <w:r w:rsidRPr="00232FFD">
              <w:rPr>
                <w:rFonts w:cs="Arial"/>
                <w:b w:val="0"/>
                <w:bCs w:val="0"/>
                <w:szCs w:val="22"/>
              </w:rPr>
              <w:t>Applicable twice per lifetime</w:t>
            </w:r>
          </w:p>
          <w:p w14:paraId="1EFF70BC" w14:textId="6F3C820B" w:rsidR="002C3E27" w:rsidRPr="00FC7E4D" w:rsidRDefault="002C3E27" w:rsidP="00232FFD">
            <w:pPr>
              <w:rPr>
                <w:b w:val="0"/>
                <w:bCs w:val="0"/>
              </w:rPr>
            </w:pPr>
            <w:r w:rsidRPr="00FC7E4D">
              <w:rPr>
                <w:b w:val="0"/>
                <w:bCs w:val="0"/>
              </w:rPr>
              <w:t>MBS Fee: $</w:t>
            </w:r>
            <w:r w:rsidR="00137E46">
              <w:rPr>
                <w:b w:val="0"/>
                <w:bCs w:val="0"/>
              </w:rPr>
              <w:t>500.00</w:t>
            </w:r>
          </w:p>
          <w:p w14:paraId="79953363" w14:textId="4D203FB1" w:rsidR="002C3E27" w:rsidRPr="00AA6575" w:rsidRDefault="002C3E27" w:rsidP="0083149F">
            <w:r w:rsidRPr="00FC7E4D">
              <w:rPr>
                <w:b w:val="0"/>
                <w:bCs w:val="0"/>
              </w:rPr>
              <w:t>Benefit: 75% = $</w:t>
            </w:r>
            <w:r w:rsidR="006355D2">
              <w:rPr>
                <w:b w:val="0"/>
                <w:bCs w:val="0"/>
              </w:rPr>
              <w:t>375</w:t>
            </w:r>
            <w:r w:rsidR="00D32674">
              <w:rPr>
                <w:b w:val="0"/>
                <w:bCs w:val="0"/>
              </w:rPr>
              <w:t xml:space="preserve">.00 </w:t>
            </w:r>
            <w:r w:rsidR="007943B3">
              <w:rPr>
                <w:b w:val="0"/>
                <w:bCs w:val="0"/>
              </w:rPr>
              <w:t xml:space="preserve">  </w:t>
            </w:r>
            <w:r w:rsidR="00D32674">
              <w:rPr>
                <w:b w:val="0"/>
                <w:bCs w:val="0"/>
              </w:rPr>
              <w:t xml:space="preserve"> </w:t>
            </w:r>
            <w:r w:rsidRPr="00FC7E4D">
              <w:rPr>
                <w:b w:val="0"/>
                <w:bCs w:val="0"/>
              </w:rPr>
              <w:t xml:space="preserve">85% = </w:t>
            </w:r>
            <w:r w:rsidRPr="002528F4">
              <w:rPr>
                <w:b w:val="0"/>
                <w:bCs w:val="0"/>
              </w:rPr>
              <w:t>$</w:t>
            </w:r>
            <w:r w:rsidR="006355D2">
              <w:rPr>
                <w:b w:val="0"/>
                <w:bCs w:val="0"/>
              </w:rPr>
              <w:t>425.00</w:t>
            </w:r>
            <w:r w:rsidR="00FB1CD1">
              <w:rPr>
                <w:b w:val="0"/>
                <w:bCs w:val="0"/>
              </w:rPr>
              <w:t xml:space="preserve"> </w:t>
            </w:r>
          </w:p>
        </w:tc>
      </w:tr>
    </w:tbl>
    <w:p w14:paraId="3F221485" w14:textId="77777777" w:rsidR="002F2F9E" w:rsidRDefault="002F2F9E" w:rsidP="002C3E27"/>
    <w:tbl>
      <w:tblPr>
        <w:tblStyle w:val="GridTable4-Accent2"/>
        <w:tblW w:w="0" w:type="auto"/>
        <w:tblLook w:val="04A0" w:firstRow="1" w:lastRow="0" w:firstColumn="1" w:lastColumn="0" w:noHBand="0" w:noVBand="1"/>
      </w:tblPr>
      <w:tblGrid>
        <w:gridCol w:w="9060"/>
      </w:tblGrid>
      <w:tr w:rsidR="002C3E27" w14:paraId="2A0D9E2C" w14:textId="77777777" w:rsidTr="00EC4D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168C93C5" w14:textId="77777777" w:rsidR="002C3E27" w:rsidRDefault="002C3E27" w:rsidP="00EC4DF3">
            <w:pPr>
              <w:rPr>
                <w:b w:val="0"/>
                <w:bCs w:val="0"/>
                <w:lang w:eastAsia="en-AU"/>
              </w:rPr>
            </w:pPr>
            <w:r>
              <w:rPr>
                <w:lang w:eastAsia="en-AU"/>
              </w:rPr>
              <w:t>Category 6 – Pathology Services</w:t>
            </w:r>
          </w:p>
        </w:tc>
      </w:tr>
      <w:tr w:rsidR="002C3E27" w14:paraId="4403FD3E" w14:textId="77777777" w:rsidTr="00EC4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779BAE6" w14:textId="77777777" w:rsidR="002C3E27" w:rsidRDefault="002C3E27" w:rsidP="00EC4DF3">
            <w:pPr>
              <w:rPr>
                <w:b w:val="0"/>
                <w:bCs w:val="0"/>
                <w:lang w:eastAsia="en-AU"/>
              </w:rPr>
            </w:pPr>
            <w:r>
              <w:rPr>
                <w:lang w:eastAsia="en-AU"/>
              </w:rPr>
              <w:t xml:space="preserve">Group P7 - Genetics </w:t>
            </w:r>
          </w:p>
        </w:tc>
      </w:tr>
      <w:tr w:rsidR="002C3E27" w14:paraId="1AAE6F03" w14:textId="77777777" w:rsidTr="00EC4DF3">
        <w:tc>
          <w:tcPr>
            <w:cnfStyle w:val="001000000000" w:firstRow="0" w:lastRow="0" w:firstColumn="1" w:lastColumn="0" w:oddVBand="0" w:evenVBand="0" w:oddHBand="0" w:evenHBand="0" w:firstRowFirstColumn="0" w:firstRowLastColumn="0" w:lastRowFirstColumn="0" w:lastRowLastColumn="0"/>
            <w:tcW w:w="9060" w:type="dxa"/>
            <w:hideMark/>
          </w:tcPr>
          <w:p w14:paraId="23A28620" w14:textId="50A4BA68" w:rsidR="009F4B3F" w:rsidRPr="00642F20" w:rsidRDefault="009F4B3F" w:rsidP="009F4B3F">
            <w:pPr>
              <w:rPr>
                <w:b w:val="0"/>
                <w:bCs w:val="0"/>
              </w:rPr>
            </w:pPr>
            <w:r w:rsidRPr="006D4461">
              <w:rPr>
                <w:b w:val="0"/>
                <w:bCs w:val="0"/>
              </w:rPr>
              <w:t>7</w:t>
            </w:r>
            <w:r>
              <w:rPr>
                <w:b w:val="0"/>
                <w:bCs w:val="0"/>
              </w:rPr>
              <w:t>34</w:t>
            </w:r>
            <w:r w:rsidR="00573057">
              <w:rPr>
                <w:b w:val="0"/>
                <w:bCs w:val="0"/>
              </w:rPr>
              <w:t>59</w:t>
            </w:r>
          </w:p>
          <w:p w14:paraId="639CBA14" w14:textId="77777777" w:rsidR="00C96444" w:rsidRPr="00C96444" w:rsidRDefault="00C96444" w:rsidP="00C96444">
            <w:pPr>
              <w:pStyle w:val="Tabletext0"/>
              <w:rPr>
                <w:rFonts w:ascii="Arial" w:hAnsi="Arial" w:cs="Arial"/>
                <w:b w:val="0"/>
                <w:bCs w:val="0"/>
                <w:sz w:val="22"/>
                <w:szCs w:val="22"/>
              </w:rPr>
            </w:pPr>
            <w:r w:rsidRPr="00C96444">
              <w:rPr>
                <w:rFonts w:ascii="Arial" w:hAnsi="Arial" w:cs="Arial"/>
                <w:b w:val="0"/>
                <w:bCs w:val="0"/>
                <w:sz w:val="22"/>
                <w:szCs w:val="22"/>
              </w:rPr>
              <w:t xml:space="preserve">Testing for diagnostic purposes of a pregnant patient, for detection in the </w:t>
            </w:r>
            <w:proofErr w:type="spellStart"/>
            <w:r w:rsidRPr="00C96444">
              <w:rPr>
                <w:rFonts w:ascii="Arial" w:hAnsi="Arial" w:cs="Arial"/>
                <w:b w:val="0"/>
                <w:bCs w:val="0"/>
                <w:sz w:val="22"/>
                <w:szCs w:val="22"/>
              </w:rPr>
              <w:t>fetus</w:t>
            </w:r>
            <w:proofErr w:type="spellEnd"/>
            <w:r w:rsidRPr="00C96444">
              <w:rPr>
                <w:rFonts w:ascii="Arial" w:hAnsi="Arial" w:cs="Arial"/>
                <w:b w:val="0"/>
                <w:bCs w:val="0"/>
                <w:sz w:val="22"/>
                <w:szCs w:val="22"/>
              </w:rPr>
              <w:t xml:space="preserve"> of a gene variant or variants present in the parents, if:</w:t>
            </w:r>
          </w:p>
          <w:p w14:paraId="0E9B89FA" w14:textId="77777777" w:rsidR="00C96444" w:rsidRPr="00C96444" w:rsidRDefault="00C96444" w:rsidP="00C96444">
            <w:pPr>
              <w:pStyle w:val="Tablea"/>
              <w:rPr>
                <w:rFonts w:ascii="Arial" w:hAnsi="Arial" w:cs="Arial"/>
                <w:b w:val="0"/>
                <w:bCs w:val="0"/>
                <w:sz w:val="22"/>
                <w:szCs w:val="22"/>
              </w:rPr>
            </w:pPr>
            <w:r w:rsidRPr="00C96444">
              <w:rPr>
                <w:rFonts w:ascii="Arial" w:hAnsi="Arial" w:cs="Arial"/>
                <w:b w:val="0"/>
                <w:bCs w:val="0"/>
                <w:sz w:val="22"/>
                <w:szCs w:val="22"/>
              </w:rPr>
              <w:t>(a) the gene variant or variants are:</w:t>
            </w:r>
          </w:p>
          <w:p w14:paraId="00090734" w14:textId="77777777" w:rsidR="00C96444" w:rsidRPr="00C96444" w:rsidRDefault="00C96444" w:rsidP="00C96444">
            <w:pPr>
              <w:pStyle w:val="Tablei"/>
              <w:rPr>
                <w:rFonts w:ascii="Arial" w:hAnsi="Arial" w:cs="Arial"/>
                <w:b w:val="0"/>
                <w:bCs w:val="0"/>
                <w:sz w:val="22"/>
                <w:szCs w:val="22"/>
              </w:rPr>
            </w:pPr>
            <w:r w:rsidRPr="00C96444">
              <w:rPr>
                <w:rFonts w:ascii="Arial" w:hAnsi="Arial" w:cs="Arial"/>
                <w:b w:val="0"/>
                <w:bCs w:val="0"/>
                <w:sz w:val="22"/>
                <w:szCs w:val="22"/>
              </w:rPr>
              <w:t>(</w:t>
            </w:r>
            <w:proofErr w:type="spellStart"/>
            <w:r w:rsidRPr="00C96444">
              <w:rPr>
                <w:rFonts w:ascii="Arial" w:hAnsi="Arial" w:cs="Arial"/>
                <w:b w:val="0"/>
                <w:bCs w:val="0"/>
                <w:sz w:val="22"/>
                <w:szCs w:val="22"/>
              </w:rPr>
              <w:t>i</w:t>
            </w:r>
            <w:proofErr w:type="spellEnd"/>
            <w:r w:rsidRPr="00C96444">
              <w:rPr>
                <w:rFonts w:ascii="Arial" w:hAnsi="Arial" w:cs="Arial"/>
                <w:b w:val="0"/>
                <w:bCs w:val="0"/>
                <w:sz w:val="22"/>
                <w:szCs w:val="22"/>
              </w:rPr>
              <w:t>) a variant or variants in the mitochondrial genome identified in the oocyte donating parent; or</w:t>
            </w:r>
          </w:p>
          <w:p w14:paraId="7565FF06" w14:textId="77777777" w:rsidR="00C96444" w:rsidRPr="00C96444" w:rsidRDefault="00C96444" w:rsidP="00C96444">
            <w:pPr>
              <w:pStyle w:val="Tablei"/>
              <w:rPr>
                <w:rFonts w:ascii="Arial" w:hAnsi="Arial" w:cs="Arial"/>
                <w:b w:val="0"/>
                <w:bCs w:val="0"/>
                <w:sz w:val="22"/>
                <w:szCs w:val="22"/>
              </w:rPr>
            </w:pPr>
            <w:r w:rsidRPr="00C96444">
              <w:rPr>
                <w:rFonts w:ascii="Arial" w:hAnsi="Arial" w:cs="Arial"/>
                <w:b w:val="0"/>
                <w:bCs w:val="0"/>
                <w:sz w:val="22"/>
                <w:szCs w:val="22"/>
              </w:rPr>
              <w:t>(ii) autosomal recessive variants identified in both biological parents within the same gene; or</w:t>
            </w:r>
          </w:p>
          <w:p w14:paraId="64F57EAB" w14:textId="77777777" w:rsidR="00C96444" w:rsidRPr="00C96444" w:rsidRDefault="00C96444" w:rsidP="00C96444">
            <w:pPr>
              <w:pStyle w:val="Tablei"/>
              <w:rPr>
                <w:rFonts w:ascii="Arial" w:hAnsi="Arial" w:cs="Arial"/>
                <w:b w:val="0"/>
                <w:bCs w:val="0"/>
                <w:sz w:val="22"/>
                <w:szCs w:val="22"/>
              </w:rPr>
            </w:pPr>
            <w:r w:rsidRPr="00C96444">
              <w:rPr>
                <w:rFonts w:ascii="Arial" w:hAnsi="Arial" w:cs="Arial"/>
                <w:b w:val="0"/>
                <w:bCs w:val="0"/>
                <w:sz w:val="22"/>
                <w:szCs w:val="22"/>
              </w:rPr>
              <w:t>(iii) an autosomal dominant or X</w:t>
            </w:r>
            <w:r w:rsidRPr="00C96444">
              <w:rPr>
                <w:rFonts w:ascii="Arial" w:hAnsi="Arial" w:cs="Arial"/>
                <w:b w:val="0"/>
                <w:bCs w:val="0"/>
                <w:sz w:val="22"/>
                <w:szCs w:val="22"/>
              </w:rPr>
              <w:noBreakHyphen/>
              <w:t>linked variant identified in either biological parent; or</w:t>
            </w:r>
          </w:p>
          <w:p w14:paraId="3909468E" w14:textId="77777777" w:rsidR="00C96444" w:rsidRPr="00C96444" w:rsidRDefault="00C96444" w:rsidP="00C96444">
            <w:pPr>
              <w:pStyle w:val="Tablei"/>
              <w:rPr>
                <w:rFonts w:ascii="Arial" w:hAnsi="Arial" w:cs="Arial"/>
                <w:b w:val="0"/>
                <w:bCs w:val="0"/>
                <w:sz w:val="22"/>
                <w:szCs w:val="22"/>
              </w:rPr>
            </w:pPr>
            <w:r w:rsidRPr="00C96444">
              <w:rPr>
                <w:rFonts w:ascii="Arial" w:hAnsi="Arial" w:cs="Arial"/>
                <w:b w:val="0"/>
                <w:bCs w:val="0"/>
                <w:sz w:val="22"/>
                <w:szCs w:val="22"/>
              </w:rPr>
              <w:t xml:space="preserve">(iv) identified in a biological sibling of the </w:t>
            </w:r>
            <w:proofErr w:type="spellStart"/>
            <w:r w:rsidRPr="00C96444">
              <w:rPr>
                <w:rFonts w:ascii="Arial" w:hAnsi="Arial" w:cs="Arial"/>
                <w:b w:val="0"/>
                <w:bCs w:val="0"/>
                <w:sz w:val="22"/>
                <w:szCs w:val="22"/>
              </w:rPr>
              <w:t>fetus</w:t>
            </w:r>
            <w:proofErr w:type="spellEnd"/>
            <w:r w:rsidRPr="00C96444">
              <w:rPr>
                <w:rFonts w:ascii="Arial" w:hAnsi="Arial" w:cs="Arial"/>
                <w:b w:val="0"/>
                <w:bCs w:val="0"/>
                <w:sz w:val="22"/>
                <w:szCs w:val="22"/>
              </w:rPr>
              <w:t>; and</w:t>
            </w:r>
          </w:p>
          <w:p w14:paraId="33E486A9" w14:textId="77777777" w:rsidR="00C96444" w:rsidRPr="00C96444" w:rsidRDefault="00C96444" w:rsidP="00C96444">
            <w:pPr>
              <w:pStyle w:val="Tablea"/>
              <w:rPr>
                <w:rFonts w:ascii="Arial" w:hAnsi="Arial" w:cs="Arial"/>
                <w:b w:val="0"/>
                <w:bCs w:val="0"/>
                <w:sz w:val="22"/>
                <w:szCs w:val="22"/>
              </w:rPr>
            </w:pPr>
            <w:r w:rsidRPr="00C96444">
              <w:rPr>
                <w:rFonts w:ascii="Arial" w:hAnsi="Arial" w:cs="Arial"/>
                <w:b w:val="0"/>
                <w:bCs w:val="0"/>
                <w:sz w:val="22"/>
                <w:szCs w:val="22"/>
              </w:rPr>
              <w:t xml:space="preserve">(b) the causative variant or variants for the condition of the </w:t>
            </w:r>
            <w:proofErr w:type="spellStart"/>
            <w:r w:rsidRPr="00C96444">
              <w:rPr>
                <w:rFonts w:ascii="Arial" w:hAnsi="Arial" w:cs="Arial"/>
                <w:b w:val="0"/>
                <w:bCs w:val="0"/>
                <w:sz w:val="22"/>
                <w:szCs w:val="22"/>
              </w:rPr>
              <w:t>fetus</w:t>
            </w:r>
            <w:proofErr w:type="spellEnd"/>
            <w:r w:rsidRPr="00C96444">
              <w:rPr>
                <w:rFonts w:ascii="Arial" w:hAnsi="Arial" w:cs="Arial"/>
                <w:b w:val="0"/>
                <w:bCs w:val="0"/>
                <w:sz w:val="22"/>
                <w:szCs w:val="22"/>
              </w:rPr>
              <w:t>’ first</w:t>
            </w:r>
            <w:r w:rsidRPr="00C96444">
              <w:rPr>
                <w:rFonts w:ascii="Arial" w:hAnsi="Arial" w:cs="Arial"/>
                <w:b w:val="0"/>
                <w:bCs w:val="0"/>
                <w:sz w:val="22"/>
                <w:szCs w:val="22"/>
              </w:rPr>
              <w:noBreakHyphen/>
              <w:t>degree relative have been confirmed by laboratory findings; and</w:t>
            </w:r>
          </w:p>
          <w:p w14:paraId="610EC966" w14:textId="77777777" w:rsidR="00C96444" w:rsidRPr="00C96444" w:rsidRDefault="00C96444" w:rsidP="00C96444">
            <w:pPr>
              <w:pStyle w:val="Tablea"/>
              <w:rPr>
                <w:rFonts w:ascii="Arial" w:hAnsi="Arial" w:cs="Arial"/>
                <w:b w:val="0"/>
                <w:bCs w:val="0"/>
                <w:sz w:val="22"/>
                <w:szCs w:val="22"/>
              </w:rPr>
            </w:pPr>
            <w:r w:rsidRPr="00C96444">
              <w:rPr>
                <w:rFonts w:ascii="Arial" w:hAnsi="Arial" w:cs="Arial"/>
                <w:b w:val="0"/>
                <w:bCs w:val="0"/>
                <w:sz w:val="22"/>
                <w:szCs w:val="22"/>
              </w:rPr>
              <w:t>(c) the detection is requested by a specialist or consultant physician; and</w:t>
            </w:r>
          </w:p>
          <w:p w14:paraId="2285633F" w14:textId="0F513D40" w:rsidR="00156E1B" w:rsidRPr="00C96444" w:rsidRDefault="00C96444" w:rsidP="00C96444">
            <w:pPr>
              <w:rPr>
                <w:rFonts w:cs="Arial"/>
                <w:b w:val="0"/>
                <w:bCs w:val="0"/>
                <w:szCs w:val="22"/>
              </w:rPr>
            </w:pPr>
            <w:r w:rsidRPr="00C96444">
              <w:rPr>
                <w:rFonts w:cs="Arial"/>
                <w:b w:val="0"/>
                <w:bCs w:val="0"/>
                <w:szCs w:val="22"/>
              </w:rPr>
              <w:t>(d) the service is not a service associated with a service to which item 73361, 73362, 73363 or 73462 applies</w:t>
            </w:r>
          </w:p>
          <w:p w14:paraId="4A0F9162" w14:textId="55FF9669" w:rsidR="00156E1B" w:rsidRPr="00FC7E4D" w:rsidRDefault="00156E1B" w:rsidP="00156E1B">
            <w:pPr>
              <w:rPr>
                <w:b w:val="0"/>
                <w:bCs w:val="0"/>
              </w:rPr>
            </w:pPr>
            <w:r w:rsidRPr="00FC7E4D">
              <w:rPr>
                <w:b w:val="0"/>
                <w:bCs w:val="0"/>
              </w:rPr>
              <w:t>MBS Fee: $</w:t>
            </w:r>
            <w:r w:rsidR="00AE015E">
              <w:rPr>
                <w:b w:val="0"/>
                <w:bCs w:val="0"/>
              </w:rPr>
              <w:t>1</w:t>
            </w:r>
            <w:r w:rsidR="00570055">
              <w:rPr>
                <w:b w:val="0"/>
                <w:bCs w:val="0"/>
              </w:rPr>
              <w:t>,</w:t>
            </w:r>
            <w:r w:rsidR="00AE015E">
              <w:rPr>
                <w:b w:val="0"/>
                <w:bCs w:val="0"/>
              </w:rPr>
              <w:t>600.00</w:t>
            </w:r>
          </w:p>
          <w:p w14:paraId="524936BD" w14:textId="55DB082C" w:rsidR="00156E1B" w:rsidRDefault="00156E1B" w:rsidP="00156E1B">
            <w:r w:rsidRPr="00FC7E4D">
              <w:rPr>
                <w:b w:val="0"/>
                <w:bCs w:val="0"/>
              </w:rPr>
              <w:t>Benefit: 75% = $</w:t>
            </w:r>
            <w:r w:rsidR="000E52F7">
              <w:rPr>
                <w:b w:val="0"/>
                <w:bCs w:val="0"/>
              </w:rPr>
              <w:t>1</w:t>
            </w:r>
            <w:r w:rsidR="00570055">
              <w:rPr>
                <w:b w:val="0"/>
                <w:bCs w:val="0"/>
              </w:rPr>
              <w:t>,</w:t>
            </w:r>
            <w:r w:rsidR="000E52F7">
              <w:rPr>
                <w:b w:val="0"/>
                <w:bCs w:val="0"/>
              </w:rPr>
              <w:t>200.00</w:t>
            </w:r>
            <w:r w:rsidR="00D32674">
              <w:rPr>
                <w:b w:val="0"/>
                <w:bCs w:val="0"/>
              </w:rPr>
              <w:t xml:space="preserve">  </w:t>
            </w:r>
            <w:r w:rsidR="007943B3">
              <w:rPr>
                <w:b w:val="0"/>
                <w:bCs w:val="0"/>
              </w:rPr>
              <w:t xml:space="preserve">  </w:t>
            </w:r>
            <w:r w:rsidR="007943B3" w:rsidRPr="00FC7E4D">
              <w:rPr>
                <w:b w:val="0"/>
                <w:bCs w:val="0"/>
              </w:rPr>
              <w:t xml:space="preserve">85% = </w:t>
            </w:r>
            <w:r w:rsidR="007943B3" w:rsidRPr="002528F4">
              <w:rPr>
                <w:b w:val="0"/>
                <w:bCs w:val="0"/>
              </w:rPr>
              <w:t>$</w:t>
            </w:r>
            <w:r w:rsidR="000E52F7">
              <w:rPr>
                <w:b w:val="0"/>
                <w:bCs w:val="0"/>
              </w:rPr>
              <w:t>1</w:t>
            </w:r>
            <w:r w:rsidR="00570055">
              <w:rPr>
                <w:b w:val="0"/>
                <w:bCs w:val="0"/>
              </w:rPr>
              <w:t>,</w:t>
            </w:r>
            <w:r w:rsidR="000E52F7">
              <w:rPr>
                <w:b w:val="0"/>
                <w:bCs w:val="0"/>
              </w:rPr>
              <w:t>501.30</w:t>
            </w:r>
            <w:r w:rsidR="00FB1CD1">
              <w:rPr>
                <w:b w:val="0"/>
                <w:bCs w:val="0"/>
              </w:rPr>
              <w:t xml:space="preserve"> </w:t>
            </w:r>
            <w:r w:rsidR="007943B3" w:rsidRPr="00FC7E4D">
              <w:rPr>
                <w:b w:val="0"/>
                <w:bCs w:val="0"/>
              </w:rPr>
              <w:t>(Greatest Permiss</w:t>
            </w:r>
            <w:r w:rsidR="007943B3">
              <w:rPr>
                <w:b w:val="0"/>
                <w:bCs w:val="0"/>
              </w:rPr>
              <w:t>i</w:t>
            </w:r>
            <w:r w:rsidR="007943B3" w:rsidRPr="00FC7E4D">
              <w:rPr>
                <w:b w:val="0"/>
                <w:bCs w:val="0"/>
              </w:rPr>
              <w:t>ble Gap (GPG) will apply)</w:t>
            </w:r>
          </w:p>
          <w:p w14:paraId="290E0A50" w14:textId="504EBAF5" w:rsidR="00156E1B" w:rsidRPr="00AA6575" w:rsidRDefault="00156E1B" w:rsidP="009F4B3F"/>
        </w:tc>
      </w:tr>
    </w:tbl>
    <w:p w14:paraId="3A8B8CCD" w14:textId="77777777" w:rsidR="002C3E27" w:rsidRDefault="002C3E27" w:rsidP="00BE3ED5"/>
    <w:tbl>
      <w:tblPr>
        <w:tblStyle w:val="GridTable4-Accent2"/>
        <w:tblW w:w="0" w:type="auto"/>
        <w:tblLook w:val="04A0" w:firstRow="1" w:lastRow="0" w:firstColumn="1" w:lastColumn="0" w:noHBand="0" w:noVBand="1"/>
      </w:tblPr>
      <w:tblGrid>
        <w:gridCol w:w="9060"/>
      </w:tblGrid>
      <w:tr w:rsidR="00707ED8" w14:paraId="6FEA6214" w14:textId="77777777" w:rsidTr="005F79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7E38ECE" w14:textId="77777777" w:rsidR="00707ED8" w:rsidRDefault="00707ED8" w:rsidP="005F7908">
            <w:pPr>
              <w:rPr>
                <w:b w:val="0"/>
                <w:bCs w:val="0"/>
                <w:lang w:eastAsia="en-AU"/>
              </w:rPr>
            </w:pPr>
            <w:r>
              <w:rPr>
                <w:lang w:eastAsia="en-AU"/>
              </w:rPr>
              <w:t>Category 6 – Pathology Services</w:t>
            </w:r>
          </w:p>
        </w:tc>
      </w:tr>
      <w:tr w:rsidR="00707ED8" w14:paraId="5637ED34" w14:textId="77777777" w:rsidTr="005F7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DC1932D" w14:textId="77777777" w:rsidR="00707ED8" w:rsidRDefault="00707ED8" w:rsidP="005F7908">
            <w:pPr>
              <w:rPr>
                <w:b w:val="0"/>
                <w:bCs w:val="0"/>
                <w:lang w:eastAsia="en-AU"/>
              </w:rPr>
            </w:pPr>
            <w:r>
              <w:rPr>
                <w:lang w:eastAsia="en-AU"/>
              </w:rPr>
              <w:t xml:space="preserve">Group P7 - Genetics </w:t>
            </w:r>
          </w:p>
        </w:tc>
      </w:tr>
      <w:tr w:rsidR="00707ED8" w:rsidRPr="00AA6575" w14:paraId="46F5C46F" w14:textId="77777777" w:rsidTr="005F7908">
        <w:tc>
          <w:tcPr>
            <w:cnfStyle w:val="001000000000" w:firstRow="0" w:lastRow="0" w:firstColumn="1" w:lastColumn="0" w:oddVBand="0" w:evenVBand="0" w:oddHBand="0" w:evenHBand="0" w:firstRowFirstColumn="0" w:firstRowLastColumn="0" w:lastRowFirstColumn="0" w:lastRowLastColumn="0"/>
            <w:tcW w:w="9060" w:type="dxa"/>
            <w:hideMark/>
          </w:tcPr>
          <w:p w14:paraId="3A93C526" w14:textId="34DEDB70" w:rsidR="00707ED8" w:rsidRPr="00642F20" w:rsidRDefault="00707ED8" w:rsidP="005F7908">
            <w:pPr>
              <w:rPr>
                <w:b w:val="0"/>
                <w:bCs w:val="0"/>
              </w:rPr>
            </w:pPr>
            <w:r w:rsidRPr="006D4461">
              <w:rPr>
                <w:b w:val="0"/>
                <w:bCs w:val="0"/>
              </w:rPr>
              <w:t>7</w:t>
            </w:r>
            <w:r>
              <w:rPr>
                <w:b w:val="0"/>
                <w:bCs w:val="0"/>
              </w:rPr>
              <w:t>34</w:t>
            </w:r>
            <w:r w:rsidR="0020053C">
              <w:rPr>
                <w:b w:val="0"/>
                <w:bCs w:val="0"/>
              </w:rPr>
              <w:t>60</w:t>
            </w:r>
          </w:p>
          <w:p w14:paraId="0D307A17" w14:textId="77777777" w:rsidR="00E13714" w:rsidRPr="00E13714" w:rsidRDefault="00E13714" w:rsidP="00E13714">
            <w:pPr>
              <w:pStyle w:val="Tabletext0"/>
              <w:rPr>
                <w:rFonts w:ascii="Arial" w:hAnsi="Arial" w:cs="Arial"/>
                <w:b w:val="0"/>
                <w:bCs w:val="0"/>
                <w:sz w:val="22"/>
                <w:szCs w:val="22"/>
              </w:rPr>
            </w:pPr>
            <w:r w:rsidRPr="00E13714">
              <w:rPr>
                <w:rFonts w:ascii="Arial" w:hAnsi="Arial" w:cs="Arial"/>
                <w:b w:val="0"/>
                <w:bCs w:val="0"/>
                <w:sz w:val="22"/>
                <w:szCs w:val="22"/>
              </w:rPr>
              <w:t>Characterisation of mitochondrial DNA deletion or variant for diagnostic purposes in a patient suspected to have mitochondrial disease, if:</w:t>
            </w:r>
          </w:p>
          <w:p w14:paraId="17C87D74" w14:textId="77777777" w:rsidR="00E13714" w:rsidRPr="00E13714" w:rsidRDefault="00E13714" w:rsidP="00E13714">
            <w:pPr>
              <w:pStyle w:val="Tablea"/>
              <w:rPr>
                <w:rFonts w:ascii="Arial" w:hAnsi="Arial" w:cs="Arial"/>
                <w:b w:val="0"/>
                <w:bCs w:val="0"/>
                <w:sz w:val="22"/>
                <w:szCs w:val="22"/>
              </w:rPr>
            </w:pPr>
            <w:r w:rsidRPr="00E13714">
              <w:rPr>
                <w:rFonts w:ascii="Arial" w:hAnsi="Arial" w:cs="Arial"/>
                <w:b w:val="0"/>
                <w:bCs w:val="0"/>
                <w:sz w:val="22"/>
                <w:szCs w:val="22"/>
              </w:rPr>
              <w:lastRenderedPageBreak/>
              <w:t>(a) the characterisation is requested by the specialist or consultant physician managing the patient’s treatment; and</w:t>
            </w:r>
          </w:p>
          <w:p w14:paraId="01818E5B" w14:textId="77777777" w:rsidR="00E13714" w:rsidRPr="00E13714" w:rsidRDefault="00E13714" w:rsidP="00E13714">
            <w:pPr>
              <w:pStyle w:val="Tablea"/>
              <w:rPr>
                <w:rFonts w:ascii="Arial" w:hAnsi="Arial" w:cs="Arial"/>
                <w:b w:val="0"/>
                <w:bCs w:val="0"/>
                <w:sz w:val="22"/>
                <w:szCs w:val="22"/>
              </w:rPr>
            </w:pPr>
            <w:r w:rsidRPr="00E13714">
              <w:rPr>
                <w:rFonts w:ascii="Arial" w:hAnsi="Arial" w:cs="Arial"/>
                <w:b w:val="0"/>
                <w:bCs w:val="0"/>
                <w:sz w:val="22"/>
                <w:szCs w:val="22"/>
              </w:rPr>
              <w:t>(b) the patient displays onset of one or more clinical features indicative of mitochondrial disease, including at least one or more of the following:</w:t>
            </w:r>
          </w:p>
          <w:p w14:paraId="623EE9E9"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w:t>
            </w:r>
            <w:proofErr w:type="spellStart"/>
            <w:r w:rsidRPr="00E13714">
              <w:rPr>
                <w:rFonts w:ascii="Arial" w:hAnsi="Arial" w:cs="Arial"/>
                <w:b w:val="0"/>
                <w:bCs w:val="0"/>
                <w:sz w:val="22"/>
                <w:szCs w:val="22"/>
              </w:rPr>
              <w:t>i</w:t>
            </w:r>
            <w:proofErr w:type="spellEnd"/>
            <w:r w:rsidRPr="00E13714">
              <w:rPr>
                <w:rFonts w:ascii="Arial" w:hAnsi="Arial" w:cs="Arial"/>
                <w:b w:val="0"/>
                <w:bCs w:val="0"/>
                <w:sz w:val="22"/>
                <w:szCs w:val="22"/>
              </w:rPr>
              <w:t>) meeting the clinical criteria of a probable indicator of mitochondrial disease on a relevant scoring system;</w:t>
            </w:r>
          </w:p>
          <w:p w14:paraId="22A079F9"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(ii) evident mitochondrial dysfunction or decompensation;</w:t>
            </w:r>
          </w:p>
          <w:p w14:paraId="0173FABC"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(iii) unexplained hypotonia or weakness, profound hypoglycaemia or ‘failure to thrive’ in the presence of a metabolic acidosis;</w:t>
            </w:r>
          </w:p>
          <w:p w14:paraId="5966B764"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(iv) unexplained single or multi</w:t>
            </w:r>
            <w:r w:rsidRPr="00E13714">
              <w:rPr>
                <w:rFonts w:ascii="Arial" w:hAnsi="Arial" w:cs="Arial"/>
                <w:b w:val="0"/>
                <w:bCs w:val="0"/>
                <w:sz w:val="22"/>
                <w:szCs w:val="22"/>
              </w:rPr>
              <w:noBreakHyphen/>
              <w:t>organ dysfunction or fulminant failure (including, but not limited to, neuropathies, myopathies, hepatopathy, pancreatic and/or bone marrow failure);</w:t>
            </w:r>
          </w:p>
          <w:p w14:paraId="549660E7"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 xml:space="preserve">(v) refractory or atypical seizures, developmental delays or cognitive regression, or progressive encephalopathy or progressive </w:t>
            </w:r>
            <w:proofErr w:type="spellStart"/>
            <w:r w:rsidRPr="00E13714">
              <w:rPr>
                <w:rFonts w:ascii="Arial" w:hAnsi="Arial" w:cs="Arial"/>
                <w:b w:val="0"/>
                <w:bCs w:val="0"/>
                <w:sz w:val="22"/>
                <w:szCs w:val="22"/>
              </w:rPr>
              <w:t>encephalomyopathy</w:t>
            </w:r>
            <w:proofErr w:type="spellEnd"/>
            <w:r w:rsidRPr="00E13714">
              <w:rPr>
                <w:rFonts w:ascii="Arial" w:hAnsi="Arial" w:cs="Arial"/>
                <w:b w:val="0"/>
                <w:bCs w:val="0"/>
                <w:sz w:val="22"/>
                <w:szCs w:val="22"/>
              </w:rPr>
              <w:t>;</w:t>
            </w:r>
          </w:p>
          <w:p w14:paraId="2810609A"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(vi) cardiomyopathy and/or cardiac arrythmias;</w:t>
            </w:r>
          </w:p>
          <w:p w14:paraId="1756AFE4"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(vii) rapid hearing or painless visual loss or ptosis;</w:t>
            </w:r>
          </w:p>
          <w:p w14:paraId="73A67D4A"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(viii) stroke</w:t>
            </w:r>
            <w:r w:rsidRPr="00E13714">
              <w:rPr>
                <w:rFonts w:ascii="Arial" w:hAnsi="Arial" w:cs="Arial"/>
                <w:b w:val="0"/>
                <w:bCs w:val="0"/>
                <w:sz w:val="22"/>
                <w:szCs w:val="22"/>
              </w:rPr>
              <w:noBreakHyphen/>
              <w:t xml:space="preserve">like episodes or </w:t>
            </w:r>
            <w:proofErr w:type="spellStart"/>
            <w:r w:rsidRPr="00E13714">
              <w:rPr>
                <w:rFonts w:ascii="Arial" w:hAnsi="Arial" w:cs="Arial"/>
                <w:b w:val="0"/>
                <w:bCs w:val="0"/>
                <w:sz w:val="22"/>
                <w:szCs w:val="22"/>
              </w:rPr>
              <w:t>nonvasculitic</w:t>
            </w:r>
            <w:proofErr w:type="spellEnd"/>
            <w:r w:rsidRPr="00E13714">
              <w:rPr>
                <w:rFonts w:ascii="Arial" w:hAnsi="Arial" w:cs="Arial"/>
                <w:b w:val="0"/>
                <w:bCs w:val="0"/>
                <w:sz w:val="22"/>
                <w:szCs w:val="22"/>
              </w:rPr>
              <w:t xml:space="preserve"> strokes;</w:t>
            </w:r>
          </w:p>
          <w:p w14:paraId="55217A51"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(ix) ataxia, encephalopathy, seizures, muscle fatigue or weakness;</w:t>
            </w:r>
          </w:p>
          <w:p w14:paraId="005E47C7"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(x) external ophthalmoplegia;</w:t>
            </w:r>
          </w:p>
          <w:p w14:paraId="3BF4424F"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(xi) hearing loss, diabetes, unexplained short stature, or endocrinopathy;</w:t>
            </w:r>
          </w:p>
          <w:p w14:paraId="24A0A034" w14:textId="77777777" w:rsidR="00E13714" w:rsidRPr="00E13714" w:rsidRDefault="00E13714" w:rsidP="00E13714">
            <w:pPr>
              <w:pStyle w:val="Tablei"/>
              <w:rPr>
                <w:rFonts w:ascii="Arial" w:hAnsi="Arial" w:cs="Arial"/>
                <w:b w:val="0"/>
                <w:bCs w:val="0"/>
                <w:sz w:val="22"/>
                <w:szCs w:val="22"/>
              </w:rPr>
            </w:pPr>
            <w:r w:rsidRPr="00E13714">
              <w:rPr>
                <w:rFonts w:ascii="Arial" w:hAnsi="Arial" w:cs="Arial"/>
                <w:b w:val="0"/>
                <w:bCs w:val="0"/>
                <w:sz w:val="22"/>
                <w:szCs w:val="22"/>
              </w:rPr>
              <w:t>(xii) family history of mitochondrial disease; and</w:t>
            </w:r>
          </w:p>
          <w:p w14:paraId="412EA20A" w14:textId="77777777" w:rsidR="00E13714" w:rsidRPr="00E13714" w:rsidRDefault="00E13714" w:rsidP="00E13714">
            <w:pPr>
              <w:pStyle w:val="Tablea"/>
              <w:rPr>
                <w:rFonts w:ascii="Arial" w:hAnsi="Arial" w:cs="Arial"/>
                <w:b w:val="0"/>
                <w:bCs w:val="0"/>
                <w:sz w:val="22"/>
                <w:szCs w:val="22"/>
              </w:rPr>
            </w:pPr>
            <w:r w:rsidRPr="00E13714">
              <w:rPr>
                <w:rFonts w:ascii="Arial" w:hAnsi="Arial" w:cs="Arial"/>
                <w:b w:val="0"/>
                <w:bCs w:val="0"/>
                <w:sz w:val="22"/>
                <w:szCs w:val="22"/>
              </w:rPr>
              <w:t>(c) the service is performed following a service to which items 73292, 73358, 73359, 73456 or 73457 applies for the same patient if the results were non</w:t>
            </w:r>
            <w:r w:rsidRPr="00E13714">
              <w:rPr>
                <w:rFonts w:ascii="Arial" w:hAnsi="Arial" w:cs="Arial"/>
                <w:b w:val="0"/>
                <w:bCs w:val="0"/>
                <w:sz w:val="22"/>
                <w:szCs w:val="22"/>
              </w:rPr>
              <w:noBreakHyphen/>
              <w:t>informative</w:t>
            </w:r>
          </w:p>
          <w:p w14:paraId="7532140C" w14:textId="350B277C" w:rsidR="00707ED8" w:rsidRPr="00E13714" w:rsidRDefault="00E13714" w:rsidP="00E13714">
            <w:pPr>
              <w:rPr>
                <w:rFonts w:cs="Arial"/>
                <w:b w:val="0"/>
                <w:bCs w:val="0"/>
                <w:szCs w:val="22"/>
              </w:rPr>
            </w:pPr>
            <w:r w:rsidRPr="00E13714">
              <w:rPr>
                <w:rFonts w:cs="Arial"/>
                <w:b w:val="0"/>
                <w:bCs w:val="0"/>
                <w:szCs w:val="22"/>
              </w:rPr>
              <w:t>Applicable 3 times per lifetime</w:t>
            </w:r>
          </w:p>
          <w:p w14:paraId="1D380939" w14:textId="6FCFF079" w:rsidR="00707ED8" w:rsidRPr="00FC7E4D" w:rsidRDefault="00707ED8" w:rsidP="005F7908">
            <w:pPr>
              <w:rPr>
                <w:b w:val="0"/>
                <w:bCs w:val="0"/>
              </w:rPr>
            </w:pPr>
            <w:r w:rsidRPr="00FC7E4D">
              <w:rPr>
                <w:b w:val="0"/>
                <w:bCs w:val="0"/>
              </w:rPr>
              <w:t>MBS Fee: $</w:t>
            </w:r>
            <w:r w:rsidR="00E13714">
              <w:rPr>
                <w:b w:val="0"/>
                <w:bCs w:val="0"/>
              </w:rPr>
              <w:t>45</w:t>
            </w:r>
            <w:r>
              <w:rPr>
                <w:b w:val="0"/>
                <w:bCs w:val="0"/>
              </w:rPr>
              <w:t>0.00</w:t>
            </w:r>
          </w:p>
          <w:p w14:paraId="1F923486" w14:textId="5388B1D1" w:rsidR="00707ED8" w:rsidRPr="00AA6575" w:rsidRDefault="00707ED8" w:rsidP="005F7908">
            <w:r w:rsidRPr="00FC7E4D">
              <w:rPr>
                <w:b w:val="0"/>
                <w:bCs w:val="0"/>
              </w:rPr>
              <w:t>Benefit: 75% = $</w:t>
            </w:r>
            <w:r w:rsidR="00B05CB6">
              <w:rPr>
                <w:b w:val="0"/>
                <w:bCs w:val="0"/>
              </w:rPr>
              <w:t>337.50</w:t>
            </w:r>
            <w:r>
              <w:rPr>
                <w:b w:val="0"/>
                <w:bCs w:val="0"/>
              </w:rPr>
              <w:t xml:space="preserve">    </w:t>
            </w:r>
            <w:r w:rsidRPr="00FC7E4D">
              <w:rPr>
                <w:b w:val="0"/>
                <w:bCs w:val="0"/>
              </w:rPr>
              <w:t xml:space="preserve">85% = </w:t>
            </w:r>
            <w:r w:rsidRPr="002528F4">
              <w:rPr>
                <w:b w:val="0"/>
                <w:bCs w:val="0"/>
              </w:rPr>
              <w:t>$</w:t>
            </w:r>
            <w:r w:rsidR="001D74F3">
              <w:rPr>
                <w:b w:val="0"/>
                <w:bCs w:val="0"/>
              </w:rPr>
              <w:t>382.50</w:t>
            </w:r>
          </w:p>
        </w:tc>
      </w:tr>
    </w:tbl>
    <w:p w14:paraId="5EC5F155" w14:textId="77777777" w:rsidR="001D74F3" w:rsidRDefault="001D74F3" w:rsidP="00BE3ED5"/>
    <w:tbl>
      <w:tblPr>
        <w:tblStyle w:val="GridTable4-Accent2"/>
        <w:tblW w:w="0" w:type="auto"/>
        <w:tblLook w:val="04A0" w:firstRow="1" w:lastRow="0" w:firstColumn="1" w:lastColumn="0" w:noHBand="0" w:noVBand="1"/>
      </w:tblPr>
      <w:tblGrid>
        <w:gridCol w:w="9060"/>
      </w:tblGrid>
      <w:tr w:rsidR="0020053C" w14:paraId="771967F4" w14:textId="77777777" w:rsidTr="005F79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74F4511" w14:textId="77777777" w:rsidR="0020053C" w:rsidRDefault="0020053C" w:rsidP="005F7908">
            <w:pPr>
              <w:rPr>
                <w:b w:val="0"/>
                <w:bCs w:val="0"/>
                <w:lang w:eastAsia="en-AU"/>
              </w:rPr>
            </w:pPr>
            <w:r>
              <w:rPr>
                <w:lang w:eastAsia="en-AU"/>
              </w:rPr>
              <w:t>Category 6 – Pathology Services</w:t>
            </w:r>
          </w:p>
        </w:tc>
      </w:tr>
      <w:tr w:rsidR="0020053C" w14:paraId="7063CF10" w14:textId="77777777" w:rsidTr="005F7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4B5E01F" w14:textId="77777777" w:rsidR="0020053C" w:rsidRDefault="0020053C" w:rsidP="005F7908">
            <w:pPr>
              <w:rPr>
                <w:b w:val="0"/>
                <w:bCs w:val="0"/>
                <w:lang w:eastAsia="en-AU"/>
              </w:rPr>
            </w:pPr>
            <w:r>
              <w:rPr>
                <w:lang w:eastAsia="en-AU"/>
              </w:rPr>
              <w:t xml:space="preserve">Group P7 - Genetics </w:t>
            </w:r>
          </w:p>
        </w:tc>
      </w:tr>
      <w:tr w:rsidR="0020053C" w:rsidRPr="00AA6575" w14:paraId="7DFEAB43" w14:textId="77777777" w:rsidTr="005F7908">
        <w:tc>
          <w:tcPr>
            <w:cnfStyle w:val="001000000000" w:firstRow="0" w:lastRow="0" w:firstColumn="1" w:lastColumn="0" w:oddVBand="0" w:evenVBand="0" w:oddHBand="0" w:evenHBand="0" w:firstRowFirstColumn="0" w:firstRowLastColumn="0" w:lastRowFirstColumn="0" w:lastRowLastColumn="0"/>
            <w:tcW w:w="9060" w:type="dxa"/>
            <w:hideMark/>
          </w:tcPr>
          <w:p w14:paraId="400B95CB" w14:textId="7F48436D" w:rsidR="0020053C" w:rsidRPr="00642F20" w:rsidRDefault="0020053C" w:rsidP="005F7908">
            <w:pPr>
              <w:rPr>
                <w:b w:val="0"/>
                <w:bCs w:val="0"/>
              </w:rPr>
            </w:pPr>
            <w:r w:rsidRPr="006D4461">
              <w:rPr>
                <w:b w:val="0"/>
                <w:bCs w:val="0"/>
              </w:rPr>
              <w:t>7</w:t>
            </w:r>
            <w:r>
              <w:rPr>
                <w:b w:val="0"/>
                <w:bCs w:val="0"/>
              </w:rPr>
              <w:t>34</w:t>
            </w:r>
            <w:r w:rsidR="001D74F3">
              <w:rPr>
                <w:b w:val="0"/>
                <w:bCs w:val="0"/>
              </w:rPr>
              <w:t>61</w:t>
            </w:r>
          </w:p>
          <w:p w14:paraId="3052751D" w14:textId="77777777" w:rsidR="00246019" w:rsidRPr="00246019" w:rsidRDefault="00246019" w:rsidP="00246019">
            <w:pPr>
              <w:pStyle w:val="Tabletext0"/>
              <w:rPr>
                <w:rFonts w:ascii="Arial" w:hAnsi="Arial" w:cs="Arial"/>
                <w:b w:val="0"/>
                <w:bCs w:val="0"/>
                <w:sz w:val="22"/>
                <w:szCs w:val="22"/>
              </w:rPr>
            </w:pPr>
            <w:r w:rsidRPr="00246019">
              <w:rPr>
                <w:rFonts w:ascii="Arial" w:hAnsi="Arial" w:cs="Arial"/>
                <w:b w:val="0"/>
                <w:bCs w:val="0"/>
                <w:sz w:val="22"/>
                <w:szCs w:val="22"/>
              </w:rPr>
              <w:t>Whole gene testing of a person for the characterisation of all germline gene variants within the same gene in which the person’s reproductive partner has a pathogenic or likely pathogenic germline recessive gene variant for mitochondrial disease, if:</w:t>
            </w:r>
          </w:p>
          <w:p w14:paraId="6663A3DD" w14:textId="77777777" w:rsidR="00246019" w:rsidRPr="00246019" w:rsidRDefault="00246019" w:rsidP="00246019">
            <w:pPr>
              <w:pStyle w:val="Tablea"/>
              <w:rPr>
                <w:rFonts w:ascii="Arial" w:hAnsi="Arial" w:cs="Arial"/>
                <w:b w:val="0"/>
                <w:bCs w:val="0"/>
                <w:sz w:val="22"/>
                <w:szCs w:val="22"/>
              </w:rPr>
            </w:pPr>
            <w:r w:rsidRPr="00246019">
              <w:rPr>
                <w:rFonts w:ascii="Arial" w:hAnsi="Arial" w:cs="Arial"/>
                <w:b w:val="0"/>
                <w:bCs w:val="0"/>
                <w:sz w:val="22"/>
                <w:szCs w:val="22"/>
              </w:rPr>
              <w:t>(a) the partner’s germline recessive gene variant is confirmed by laboratory findings; and</w:t>
            </w:r>
          </w:p>
          <w:p w14:paraId="0BD65CFA" w14:textId="77777777" w:rsidR="00246019" w:rsidRPr="00246019" w:rsidRDefault="00246019" w:rsidP="00246019">
            <w:pPr>
              <w:rPr>
                <w:rFonts w:cs="Arial"/>
                <w:b w:val="0"/>
                <w:bCs w:val="0"/>
                <w:szCs w:val="22"/>
              </w:rPr>
            </w:pPr>
            <w:r w:rsidRPr="00246019">
              <w:rPr>
                <w:rFonts w:cs="Arial"/>
                <w:b w:val="0"/>
                <w:bCs w:val="0"/>
                <w:szCs w:val="22"/>
              </w:rPr>
              <w:t>(b) the characterisation is requested by a specialist or consultant physician</w:t>
            </w:r>
          </w:p>
          <w:p w14:paraId="4B04BD95" w14:textId="4ED566C9" w:rsidR="0020053C" w:rsidRPr="00FC7E4D" w:rsidRDefault="0020053C" w:rsidP="00246019">
            <w:pPr>
              <w:rPr>
                <w:b w:val="0"/>
                <w:bCs w:val="0"/>
              </w:rPr>
            </w:pPr>
            <w:r w:rsidRPr="00FC7E4D">
              <w:rPr>
                <w:b w:val="0"/>
                <w:bCs w:val="0"/>
              </w:rPr>
              <w:t>MBS Fee: $</w:t>
            </w:r>
            <w:r>
              <w:rPr>
                <w:b w:val="0"/>
                <w:bCs w:val="0"/>
              </w:rPr>
              <w:t>1</w:t>
            </w:r>
            <w:r w:rsidR="00570055">
              <w:rPr>
                <w:b w:val="0"/>
                <w:bCs w:val="0"/>
              </w:rPr>
              <w:t>,</w:t>
            </w:r>
            <w:r w:rsidR="00246019">
              <w:rPr>
                <w:b w:val="0"/>
                <w:bCs w:val="0"/>
              </w:rPr>
              <w:t>2</w:t>
            </w:r>
            <w:r>
              <w:rPr>
                <w:b w:val="0"/>
                <w:bCs w:val="0"/>
              </w:rPr>
              <w:t>00.00</w:t>
            </w:r>
          </w:p>
          <w:p w14:paraId="18F15961" w14:textId="3E1A8175" w:rsidR="0020053C" w:rsidRPr="00AA6575" w:rsidRDefault="0020053C" w:rsidP="005F7908">
            <w:r w:rsidRPr="00FC7E4D">
              <w:rPr>
                <w:b w:val="0"/>
                <w:bCs w:val="0"/>
              </w:rPr>
              <w:t>Benefit: 75% = $</w:t>
            </w:r>
            <w:r w:rsidR="00B56B85">
              <w:rPr>
                <w:b w:val="0"/>
                <w:bCs w:val="0"/>
              </w:rPr>
              <w:t>9</w:t>
            </w:r>
            <w:r>
              <w:rPr>
                <w:b w:val="0"/>
                <w:bCs w:val="0"/>
              </w:rPr>
              <w:t xml:space="preserve">00.00    </w:t>
            </w:r>
            <w:r w:rsidRPr="00FC7E4D">
              <w:rPr>
                <w:b w:val="0"/>
                <w:bCs w:val="0"/>
              </w:rPr>
              <w:t xml:space="preserve">85% = </w:t>
            </w:r>
            <w:r w:rsidRPr="002528F4">
              <w:rPr>
                <w:b w:val="0"/>
                <w:bCs w:val="0"/>
              </w:rPr>
              <w:t>$</w:t>
            </w:r>
            <w:r>
              <w:rPr>
                <w:b w:val="0"/>
                <w:bCs w:val="0"/>
              </w:rPr>
              <w:t>1</w:t>
            </w:r>
            <w:r w:rsidR="00570055">
              <w:rPr>
                <w:b w:val="0"/>
                <w:bCs w:val="0"/>
              </w:rPr>
              <w:t>,</w:t>
            </w:r>
            <w:r w:rsidR="00236035">
              <w:rPr>
                <w:b w:val="0"/>
                <w:bCs w:val="0"/>
              </w:rPr>
              <w:t>1</w:t>
            </w:r>
            <w:r>
              <w:rPr>
                <w:b w:val="0"/>
                <w:bCs w:val="0"/>
              </w:rPr>
              <w:t xml:space="preserve">01.30 </w:t>
            </w:r>
            <w:r w:rsidRPr="00FC7E4D">
              <w:rPr>
                <w:b w:val="0"/>
                <w:bCs w:val="0"/>
              </w:rPr>
              <w:t>(Greatest Permiss</w:t>
            </w:r>
            <w:r>
              <w:rPr>
                <w:b w:val="0"/>
                <w:bCs w:val="0"/>
              </w:rPr>
              <w:t>i</w:t>
            </w:r>
            <w:r w:rsidRPr="00FC7E4D">
              <w:rPr>
                <w:b w:val="0"/>
                <w:bCs w:val="0"/>
              </w:rPr>
              <w:t>ble Gap (GPG) will apply)</w:t>
            </w:r>
          </w:p>
        </w:tc>
      </w:tr>
    </w:tbl>
    <w:p w14:paraId="4B091AA0" w14:textId="77777777" w:rsidR="0020053C" w:rsidRDefault="0020053C" w:rsidP="00BE3ED5"/>
    <w:tbl>
      <w:tblPr>
        <w:tblStyle w:val="GridTable4-Accent2"/>
        <w:tblW w:w="0" w:type="auto"/>
        <w:tblLook w:val="04A0" w:firstRow="1" w:lastRow="0" w:firstColumn="1" w:lastColumn="0" w:noHBand="0" w:noVBand="1"/>
      </w:tblPr>
      <w:tblGrid>
        <w:gridCol w:w="9060"/>
      </w:tblGrid>
      <w:tr w:rsidR="0020053C" w14:paraId="66AF30D1" w14:textId="77777777" w:rsidTr="005F79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07BC130" w14:textId="77777777" w:rsidR="0020053C" w:rsidRDefault="0020053C" w:rsidP="005F7908">
            <w:pPr>
              <w:rPr>
                <w:b w:val="0"/>
                <w:bCs w:val="0"/>
                <w:lang w:eastAsia="en-AU"/>
              </w:rPr>
            </w:pPr>
            <w:r>
              <w:rPr>
                <w:lang w:eastAsia="en-AU"/>
              </w:rPr>
              <w:lastRenderedPageBreak/>
              <w:t>Category 6 – Pathology Services</w:t>
            </w:r>
          </w:p>
        </w:tc>
      </w:tr>
      <w:tr w:rsidR="0020053C" w14:paraId="516BBF28" w14:textId="77777777" w:rsidTr="005F7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9F0AEB8" w14:textId="77777777" w:rsidR="0020053C" w:rsidRDefault="0020053C" w:rsidP="005F7908">
            <w:pPr>
              <w:rPr>
                <w:b w:val="0"/>
                <w:bCs w:val="0"/>
                <w:lang w:eastAsia="en-AU"/>
              </w:rPr>
            </w:pPr>
            <w:r>
              <w:rPr>
                <w:lang w:eastAsia="en-AU"/>
              </w:rPr>
              <w:t xml:space="preserve">Group P7 - Genetics </w:t>
            </w:r>
          </w:p>
        </w:tc>
      </w:tr>
      <w:tr w:rsidR="0020053C" w:rsidRPr="00AA6575" w14:paraId="77B416D5" w14:textId="77777777" w:rsidTr="005F7908">
        <w:tc>
          <w:tcPr>
            <w:cnfStyle w:val="001000000000" w:firstRow="0" w:lastRow="0" w:firstColumn="1" w:lastColumn="0" w:oddVBand="0" w:evenVBand="0" w:oddHBand="0" w:evenHBand="0" w:firstRowFirstColumn="0" w:firstRowLastColumn="0" w:lastRowFirstColumn="0" w:lastRowLastColumn="0"/>
            <w:tcW w:w="9060" w:type="dxa"/>
            <w:hideMark/>
          </w:tcPr>
          <w:p w14:paraId="2D91341B" w14:textId="2D7FC934" w:rsidR="0020053C" w:rsidRPr="00642F20" w:rsidRDefault="0020053C" w:rsidP="005F7908">
            <w:pPr>
              <w:rPr>
                <w:b w:val="0"/>
                <w:bCs w:val="0"/>
              </w:rPr>
            </w:pPr>
            <w:r w:rsidRPr="006D4461">
              <w:rPr>
                <w:b w:val="0"/>
                <w:bCs w:val="0"/>
              </w:rPr>
              <w:t>7</w:t>
            </w:r>
            <w:r>
              <w:rPr>
                <w:b w:val="0"/>
                <w:bCs w:val="0"/>
              </w:rPr>
              <w:t>34</w:t>
            </w:r>
            <w:r w:rsidR="004A2205">
              <w:rPr>
                <w:b w:val="0"/>
                <w:bCs w:val="0"/>
              </w:rPr>
              <w:t>62</w:t>
            </w:r>
          </w:p>
          <w:p w14:paraId="25B00F17" w14:textId="77777777" w:rsidR="0082624D" w:rsidRPr="0082624D" w:rsidRDefault="0082624D" w:rsidP="0082624D">
            <w:pPr>
              <w:pStyle w:val="Tabletext0"/>
              <w:rPr>
                <w:rFonts w:ascii="Arial" w:hAnsi="Arial" w:cs="Arial"/>
                <w:b w:val="0"/>
                <w:bCs w:val="0"/>
                <w:sz w:val="22"/>
                <w:szCs w:val="22"/>
              </w:rPr>
            </w:pPr>
            <w:r w:rsidRPr="0082624D">
              <w:rPr>
                <w:rFonts w:ascii="Arial" w:hAnsi="Arial" w:cs="Arial"/>
                <w:b w:val="0"/>
                <w:bCs w:val="0"/>
                <w:sz w:val="22"/>
                <w:szCs w:val="22"/>
              </w:rPr>
              <w:t>Testing of a person for the detection of a single gene variant, if:</w:t>
            </w:r>
          </w:p>
          <w:p w14:paraId="6E3FAD49" w14:textId="77777777" w:rsidR="0082624D" w:rsidRPr="0082624D" w:rsidRDefault="0082624D" w:rsidP="0082624D">
            <w:pPr>
              <w:pStyle w:val="Tablea"/>
              <w:rPr>
                <w:rFonts w:ascii="Arial" w:hAnsi="Arial" w:cs="Arial"/>
                <w:b w:val="0"/>
                <w:bCs w:val="0"/>
                <w:sz w:val="22"/>
                <w:szCs w:val="22"/>
              </w:rPr>
            </w:pPr>
            <w:r w:rsidRPr="0082624D">
              <w:rPr>
                <w:rFonts w:ascii="Arial" w:hAnsi="Arial" w:cs="Arial"/>
                <w:b w:val="0"/>
                <w:bCs w:val="0"/>
                <w:sz w:val="22"/>
                <w:szCs w:val="22"/>
              </w:rPr>
              <w:t>(a) the person tested has a biological relative with a known pathogenic or likely pathogenic mitochondrial disease variant confirmed by laboratory findings; and</w:t>
            </w:r>
          </w:p>
          <w:p w14:paraId="1BE7B1BF" w14:textId="77777777" w:rsidR="0082624D" w:rsidRPr="0082624D" w:rsidRDefault="0082624D" w:rsidP="0082624D">
            <w:pPr>
              <w:pStyle w:val="Tablea"/>
              <w:rPr>
                <w:rFonts w:ascii="Arial" w:hAnsi="Arial" w:cs="Arial"/>
                <w:b w:val="0"/>
                <w:bCs w:val="0"/>
                <w:sz w:val="22"/>
                <w:szCs w:val="22"/>
              </w:rPr>
            </w:pPr>
            <w:r w:rsidRPr="0082624D">
              <w:rPr>
                <w:rFonts w:ascii="Arial" w:hAnsi="Arial" w:cs="Arial"/>
                <w:b w:val="0"/>
                <w:bCs w:val="0"/>
                <w:sz w:val="22"/>
                <w:szCs w:val="22"/>
              </w:rPr>
              <w:t>(b) the testing is requested by a specialist or consultant physician; and</w:t>
            </w:r>
          </w:p>
          <w:p w14:paraId="5657F0D6" w14:textId="77777777" w:rsidR="0082624D" w:rsidRPr="0082624D" w:rsidRDefault="0082624D" w:rsidP="0082624D">
            <w:pPr>
              <w:rPr>
                <w:rFonts w:cs="Arial"/>
                <w:b w:val="0"/>
                <w:bCs w:val="0"/>
                <w:szCs w:val="22"/>
              </w:rPr>
            </w:pPr>
            <w:r w:rsidRPr="0082624D">
              <w:rPr>
                <w:rFonts w:cs="Arial"/>
                <w:b w:val="0"/>
                <w:bCs w:val="0"/>
                <w:szCs w:val="22"/>
              </w:rPr>
              <w:t>(c) the service is not a service associated with a service to which item 73361, 73362 or 73363 applies</w:t>
            </w:r>
          </w:p>
          <w:p w14:paraId="37831835" w14:textId="1EF6E362" w:rsidR="0020053C" w:rsidRPr="00FC7E4D" w:rsidRDefault="0020053C" w:rsidP="0082624D">
            <w:pPr>
              <w:rPr>
                <w:b w:val="0"/>
                <w:bCs w:val="0"/>
              </w:rPr>
            </w:pPr>
            <w:r w:rsidRPr="00FC7E4D">
              <w:rPr>
                <w:b w:val="0"/>
                <w:bCs w:val="0"/>
              </w:rPr>
              <w:t>MBS Fee: $</w:t>
            </w:r>
            <w:r w:rsidR="0082624D">
              <w:rPr>
                <w:b w:val="0"/>
                <w:bCs w:val="0"/>
              </w:rPr>
              <w:t>4</w:t>
            </w:r>
            <w:r>
              <w:rPr>
                <w:b w:val="0"/>
                <w:bCs w:val="0"/>
              </w:rPr>
              <w:t>00.00</w:t>
            </w:r>
          </w:p>
          <w:p w14:paraId="4C551930" w14:textId="6E6D3C29" w:rsidR="0020053C" w:rsidRPr="00AA6575" w:rsidRDefault="0020053C" w:rsidP="005F7908">
            <w:r w:rsidRPr="00FC7E4D">
              <w:rPr>
                <w:b w:val="0"/>
                <w:bCs w:val="0"/>
              </w:rPr>
              <w:t>Benefit: 75% = $</w:t>
            </w:r>
            <w:r w:rsidR="0082624D">
              <w:rPr>
                <w:b w:val="0"/>
                <w:bCs w:val="0"/>
              </w:rPr>
              <w:t>3</w:t>
            </w:r>
            <w:r>
              <w:rPr>
                <w:b w:val="0"/>
                <w:bCs w:val="0"/>
              </w:rPr>
              <w:t xml:space="preserve">00.00    </w:t>
            </w:r>
            <w:r w:rsidRPr="00FC7E4D">
              <w:rPr>
                <w:b w:val="0"/>
                <w:bCs w:val="0"/>
              </w:rPr>
              <w:t xml:space="preserve">85% = </w:t>
            </w:r>
            <w:r w:rsidRPr="002528F4">
              <w:rPr>
                <w:b w:val="0"/>
                <w:bCs w:val="0"/>
              </w:rPr>
              <w:t>$</w:t>
            </w:r>
            <w:r w:rsidR="002E7604">
              <w:rPr>
                <w:b w:val="0"/>
                <w:bCs w:val="0"/>
              </w:rPr>
              <w:t>340.00</w:t>
            </w:r>
            <w:r>
              <w:rPr>
                <w:b w:val="0"/>
                <w:bCs w:val="0"/>
              </w:rPr>
              <w:t xml:space="preserve"> </w:t>
            </w:r>
          </w:p>
        </w:tc>
      </w:tr>
    </w:tbl>
    <w:p w14:paraId="629D1D59" w14:textId="77777777" w:rsidR="0020053C" w:rsidRDefault="0020053C"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A0DB" w14:textId="77777777" w:rsidR="00480D05" w:rsidRDefault="00480D05" w:rsidP="006B56BB">
      <w:r>
        <w:separator/>
      </w:r>
    </w:p>
    <w:p w14:paraId="1478AE07" w14:textId="77777777" w:rsidR="00480D05" w:rsidRDefault="00480D05"/>
  </w:endnote>
  <w:endnote w:type="continuationSeparator" w:id="0">
    <w:p w14:paraId="7A1E68D1" w14:textId="77777777" w:rsidR="00480D05" w:rsidRDefault="00480D05" w:rsidP="006B56BB">
      <w:r>
        <w:continuationSeparator/>
      </w:r>
    </w:p>
    <w:p w14:paraId="7BA8152E" w14:textId="77777777" w:rsidR="00480D05" w:rsidRDefault="00480D05"/>
  </w:endnote>
  <w:endnote w:type="continuationNotice" w:id="1">
    <w:p w14:paraId="3D9600F2" w14:textId="77777777" w:rsidR="00480D05" w:rsidRDefault="00480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B22141"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7AE545C" w:rsidR="00F51321" w:rsidRDefault="00042C82" w:rsidP="00942D89">
    <w:pPr>
      <w:pStyle w:val="Footer"/>
      <w:tabs>
        <w:tab w:val="clear" w:pos="9026"/>
        <w:tab w:val="right" w:pos="10466"/>
      </w:tabs>
      <w:jc w:val="left"/>
    </w:pPr>
    <w:r>
      <w:rPr>
        <w:b/>
      </w:rPr>
      <w:t>Whol</w:t>
    </w:r>
    <w:r w:rsidR="00516AA2">
      <w:rPr>
        <w:b/>
      </w:rPr>
      <w:t>e ge</w:t>
    </w:r>
    <w:r w:rsidR="00B55E43">
      <w:rPr>
        <w:b/>
      </w:rPr>
      <w:t>nome sequencing for the diagnosis of mitochondrial disease</w:t>
    </w:r>
    <w:r w:rsidR="00942D89" w:rsidRPr="00E863C4">
      <w:rPr>
        <w:b/>
      </w:rPr>
      <w:t xml:space="preserve">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B22141" w:rsidP="00F51321">
    <w:pPr>
      <w:pStyle w:val="Footer"/>
      <w:jc w:val="left"/>
      <w:rPr>
        <w:rStyle w:val="Hyperlink"/>
        <w:szCs w:val="18"/>
      </w:rPr>
    </w:pPr>
    <w:hyperlink r:id="rId1" w:history="1">
      <w:r w:rsidR="00F51321" w:rsidRPr="00E863C4">
        <w:rPr>
          <w:rStyle w:val="Hyperlink"/>
          <w:szCs w:val="18"/>
        </w:rPr>
        <w:t>MBS Online</w:t>
      </w:r>
    </w:hyperlink>
  </w:p>
  <w:p w14:paraId="0D093570" w14:textId="2F18EBB1" w:rsidR="00F51321" w:rsidRPr="009B32BA" w:rsidRDefault="00F51321" w:rsidP="00F51321">
    <w:pPr>
      <w:pStyle w:val="Footer"/>
      <w:jc w:val="left"/>
      <w:rPr>
        <w:szCs w:val="18"/>
      </w:rPr>
    </w:pPr>
    <w:r w:rsidRPr="00870B05">
      <w:t>Last updated</w:t>
    </w:r>
    <w:r>
      <w:t xml:space="preserve"> – </w:t>
    </w:r>
    <w:r w:rsidR="00B8703D">
      <w:t>22</w:t>
    </w:r>
    <w:r w:rsidR="00B55E43">
      <w:t xml:space="preserve"> </w:t>
    </w:r>
    <w:r w:rsidR="00B6043C">
      <w:t>Novemb</w:t>
    </w:r>
    <w:r w:rsidR="00253CA3">
      <w:t xml:space="preserve">er </w:t>
    </w:r>
    <w:r>
      <w:t>20</w:t>
    </w:r>
    <w:r w:rsidR="00060B05">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B22141"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5C098D5" w:rsidR="00064168" w:rsidRDefault="00083C63" w:rsidP="00942D89">
    <w:pPr>
      <w:pStyle w:val="Footer"/>
      <w:tabs>
        <w:tab w:val="clear" w:pos="9026"/>
        <w:tab w:val="right" w:pos="10466"/>
      </w:tabs>
      <w:jc w:val="left"/>
    </w:pPr>
    <w:r w:rsidRPr="00083C63">
      <w:rPr>
        <w:b/>
      </w:rPr>
      <w:t xml:space="preserve">Whole genome sequencing for </w:t>
    </w:r>
    <w:r w:rsidR="000571F5">
      <w:rPr>
        <w:b/>
      </w:rPr>
      <w:t xml:space="preserve">the </w:t>
    </w:r>
    <w:r w:rsidRPr="00083C63">
      <w:rPr>
        <w:b/>
      </w:rPr>
      <w:t>diagnosis of mitochondrial disease</w:t>
    </w:r>
    <w:r>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1E0AFB">
                  <w:t xml:space="preserve">         </w:t>
                </w:r>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B22141" w:rsidP="00064168">
    <w:pPr>
      <w:pStyle w:val="Footer"/>
      <w:jc w:val="left"/>
      <w:rPr>
        <w:rStyle w:val="Hyperlink"/>
        <w:szCs w:val="18"/>
      </w:rPr>
    </w:pPr>
    <w:hyperlink r:id="rId1" w:history="1">
      <w:r w:rsidR="00064168" w:rsidRPr="00E863C4">
        <w:rPr>
          <w:rStyle w:val="Hyperlink"/>
          <w:szCs w:val="18"/>
        </w:rPr>
        <w:t>MBS Online</w:t>
      </w:r>
    </w:hyperlink>
  </w:p>
  <w:p w14:paraId="03585E81" w14:textId="51BA5BF5" w:rsidR="00064168" w:rsidRPr="009B32BA" w:rsidRDefault="00064168" w:rsidP="00064168">
    <w:pPr>
      <w:pStyle w:val="Footer"/>
      <w:jc w:val="left"/>
      <w:rPr>
        <w:szCs w:val="18"/>
      </w:rPr>
    </w:pPr>
    <w:r w:rsidRPr="00870B05">
      <w:t>Last updated</w:t>
    </w:r>
    <w:r>
      <w:t xml:space="preserve"> – </w:t>
    </w:r>
    <w:r w:rsidR="00060B05">
      <w:t>2</w:t>
    </w:r>
    <w:r w:rsidR="00B8703D">
      <w:t>2</w:t>
    </w:r>
    <w:r w:rsidR="00253CA3">
      <w:t xml:space="preserve"> </w:t>
    </w:r>
    <w:r w:rsidR="002C0723">
      <w:t>Novem</w:t>
    </w:r>
    <w:r w:rsidR="00253CA3">
      <w:t xml:space="preserve">ber </w:t>
    </w:r>
    <w:r>
      <w:t>20</w:t>
    </w:r>
    <w:r w:rsidR="00060B05">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14E3" w14:textId="77777777" w:rsidR="00480D05" w:rsidRDefault="00480D05" w:rsidP="006B56BB">
      <w:r>
        <w:separator/>
      </w:r>
    </w:p>
    <w:p w14:paraId="7ECA000F" w14:textId="77777777" w:rsidR="00480D05" w:rsidRDefault="00480D05"/>
  </w:footnote>
  <w:footnote w:type="continuationSeparator" w:id="0">
    <w:p w14:paraId="605C0A28" w14:textId="77777777" w:rsidR="00480D05" w:rsidRDefault="00480D05" w:rsidP="006B56BB">
      <w:r>
        <w:continuationSeparator/>
      </w:r>
    </w:p>
    <w:p w14:paraId="45FE8A54" w14:textId="77777777" w:rsidR="00480D05" w:rsidRDefault="00480D05"/>
  </w:footnote>
  <w:footnote w:type="continuationNotice" w:id="1">
    <w:p w14:paraId="1371DF2E" w14:textId="77777777" w:rsidR="00480D05" w:rsidRDefault="00480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9BD4165"/>
    <w:multiLevelType w:val="hybridMultilevel"/>
    <w:tmpl w:val="FFF04C8C"/>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9963ACA"/>
    <w:multiLevelType w:val="hybridMultilevel"/>
    <w:tmpl w:val="5386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25615147">
    <w:abstractNumId w:val="7"/>
  </w:num>
  <w:num w:numId="2" w16cid:durableId="318921739">
    <w:abstractNumId w:val="19"/>
  </w:num>
  <w:num w:numId="3" w16cid:durableId="796723573">
    <w:abstractNumId w:val="21"/>
  </w:num>
  <w:num w:numId="4" w16cid:durableId="765465722">
    <w:abstractNumId w:val="8"/>
  </w:num>
  <w:num w:numId="5" w16cid:durableId="924338575">
    <w:abstractNumId w:val="8"/>
    <w:lvlOverride w:ilvl="0">
      <w:startOverride w:val="1"/>
    </w:lvlOverride>
  </w:num>
  <w:num w:numId="6" w16cid:durableId="857279701">
    <w:abstractNumId w:val="9"/>
  </w:num>
  <w:num w:numId="7" w16cid:durableId="1985742754">
    <w:abstractNumId w:val="16"/>
  </w:num>
  <w:num w:numId="8" w16cid:durableId="716242997">
    <w:abstractNumId w:val="20"/>
  </w:num>
  <w:num w:numId="9" w16cid:durableId="968130052">
    <w:abstractNumId w:val="5"/>
  </w:num>
  <w:num w:numId="10" w16cid:durableId="900141413">
    <w:abstractNumId w:val="4"/>
  </w:num>
  <w:num w:numId="11" w16cid:durableId="1858276031">
    <w:abstractNumId w:val="3"/>
  </w:num>
  <w:num w:numId="12" w16cid:durableId="1368292194">
    <w:abstractNumId w:val="2"/>
  </w:num>
  <w:num w:numId="13" w16cid:durableId="151145049">
    <w:abstractNumId w:val="6"/>
  </w:num>
  <w:num w:numId="14" w16cid:durableId="222644814">
    <w:abstractNumId w:val="1"/>
  </w:num>
  <w:num w:numId="15" w16cid:durableId="234359432">
    <w:abstractNumId w:val="0"/>
  </w:num>
  <w:num w:numId="16" w16cid:durableId="580916026">
    <w:abstractNumId w:val="22"/>
  </w:num>
  <w:num w:numId="17" w16cid:durableId="389696355">
    <w:abstractNumId w:val="10"/>
  </w:num>
  <w:num w:numId="18" w16cid:durableId="1563908007">
    <w:abstractNumId w:val="12"/>
  </w:num>
  <w:num w:numId="19" w16cid:durableId="1777165883">
    <w:abstractNumId w:val="14"/>
  </w:num>
  <w:num w:numId="20" w16cid:durableId="1336807360">
    <w:abstractNumId w:val="10"/>
  </w:num>
  <w:num w:numId="21" w16cid:durableId="71320677">
    <w:abstractNumId w:val="14"/>
  </w:num>
  <w:num w:numId="22" w16cid:durableId="1161581744">
    <w:abstractNumId w:val="22"/>
  </w:num>
  <w:num w:numId="23" w16cid:durableId="1292009077">
    <w:abstractNumId w:val="19"/>
  </w:num>
  <w:num w:numId="24" w16cid:durableId="937297561">
    <w:abstractNumId w:val="21"/>
  </w:num>
  <w:num w:numId="25" w16cid:durableId="322126585">
    <w:abstractNumId w:val="8"/>
  </w:num>
  <w:num w:numId="26" w16cid:durableId="296498926">
    <w:abstractNumId w:val="18"/>
  </w:num>
  <w:num w:numId="27" w16cid:durableId="127479821">
    <w:abstractNumId w:val="11"/>
  </w:num>
  <w:num w:numId="28" w16cid:durableId="1882982725">
    <w:abstractNumId w:val="13"/>
  </w:num>
  <w:num w:numId="29" w16cid:durableId="1890989420">
    <w:abstractNumId w:val="13"/>
  </w:num>
  <w:num w:numId="30" w16cid:durableId="1785808501">
    <w:abstractNumId w:val="15"/>
  </w:num>
  <w:num w:numId="31" w16cid:durableId="2118016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BEA"/>
    <w:rsid w:val="00003743"/>
    <w:rsid w:val="000037C0"/>
    <w:rsid w:val="000047B4"/>
    <w:rsid w:val="00005712"/>
    <w:rsid w:val="00006DF5"/>
    <w:rsid w:val="00007FD8"/>
    <w:rsid w:val="000117F8"/>
    <w:rsid w:val="0001460F"/>
    <w:rsid w:val="00022629"/>
    <w:rsid w:val="00024DFE"/>
    <w:rsid w:val="00026139"/>
    <w:rsid w:val="00027601"/>
    <w:rsid w:val="00033321"/>
    <w:rsid w:val="000338E5"/>
    <w:rsid w:val="00033ECC"/>
    <w:rsid w:val="0003422F"/>
    <w:rsid w:val="00042C82"/>
    <w:rsid w:val="000443C5"/>
    <w:rsid w:val="00046FF0"/>
    <w:rsid w:val="00047656"/>
    <w:rsid w:val="00050176"/>
    <w:rsid w:val="00050342"/>
    <w:rsid w:val="000571F5"/>
    <w:rsid w:val="00057BD6"/>
    <w:rsid w:val="00060B05"/>
    <w:rsid w:val="00064168"/>
    <w:rsid w:val="000652ED"/>
    <w:rsid w:val="00066D54"/>
    <w:rsid w:val="00067456"/>
    <w:rsid w:val="00071506"/>
    <w:rsid w:val="0007154F"/>
    <w:rsid w:val="00080BAC"/>
    <w:rsid w:val="00081AB1"/>
    <w:rsid w:val="00083C63"/>
    <w:rsid w:val="00086F58"/>
    <w:rsid w:val="00090316"/>
    <w:rsid w:val="00093981"/>
    <w:rsid w:val="000A3646"/>
    <w:rsid w:val="000A65E9"/>
    <w:rsid w:val="000B067A"/>
    <w:rsid w:val="000B1540"/>
    <w:rsid w:val="000B1E53"/>
    <w:rsid w:val="000B33FD"/>
    <w:rsid w:val="000B4ABA"/>
    <w:rsid w:val="000B558B"/>
    <w:rsid w:val="000C05C0"/>
    <w:rsid w:val="000C4B16"/>
    <w:rsid w:val="000C50C3"/>
    <w:rsid w:val="000C5E14"/>
    <w:rsid w:val="000D0542"/>
    <w:rsid w:val="000D21F6"/>
    <w:rsid w:val="000D4500"/>
    <w:rsid w:val="000D7AEA"/>
    <w:rsid w:val="000E05C6"/>
    <w:rsid w:val="000E2C66"/>
    <w:rsid w:val="000E52F7"/>
    <w:rsid w:val="000F041B"/>
    <w:rsid w:val="000F123C"/>
    <w:rsid w:val="000F2FED"/>
    <w:rsid w:val="000F3B34"/>
    <w:rsid w:val="00103F2B"/>
    <w:rsid w:val="00104979"/>
    <w:rsid w:val="00104F6E"/>
    <w:rsid w:val="0010584D"/>
    <w:rsid w:val="0010616D"/>
    <w:rsid w:val="00110478"/>
    <w:rsid w:val="0011711B"/>
    <w:rsid w:val="00117F8A"/>
    <w:rsid w:val="00121B9B"/>
    <w:rsid w:val="00122ADC"/>
    <w:rsid w:val="001245EF"/>
    <w:rsid w:val="00126263"/>
    <w:rsid w:val="00130F59"/>
    <w:rsid w:val="00132747"/>
    <w:rsid w:val="001334D6"/>
    <w:rsid w:val="00133EC0"/>
    <w:rsid w:val="00137E46"/>
    <w:rsid w:val="00141428"/>
    <w:rsid w:val="00141CE5"/>
    <w:rsid w:val="00144908"/>
    <w:rsid w:val="00153C99"/>
    <w:rsid w:val="00156D96"/>
    <w:rsid w:val="00156E1B"/>
    <w:rsid w:val="001571C7"/>
    <w:rsid w:val="00161094"/>
    <w:rsid w:val="00167605"/>
    <w:rsid w:val="00171073"/>
    <w:rsid w:val="0017665C"/>
    <w:rsid w:val="00177AD2"/>
    <w:rsid w:val="001815A8"/>
    <w:rsid w:val="001840FA"/>
    <w:rsid w:val="00190079"/>
    <w:rsid w:val="0019622E"/>
    <w:rsid w:val="001966A7"/>
    <w:rsid w:val="001A4627"/>
    <w:rsid w:val="001A4979"/>
    <w:rsid w:val="001B15D3"/>
    <w:rsid w:val="001B15E5"/>
    <w:rsid w:val="001B3443"/>
    <w:rsid w:val="001C0326"/>
    <w:rsid w:val="001C192F"/>
    <w:rsid w:val="001C3C42"/>
    <w:rsid w:val="001D74F3"/>
    <w:rsid w:val="001D7869"/>
    <w:rsid w:val="001E0AFB"/>
    <w:rsid w:val="001E1A96"/>
    <w:rsid w:val="001E323B"/>
    <w:rsid w:val="001F7CA9"/>
    <w:rsid w:val="0020053C"/>
    <w:rsid w:val="002026CD"/>
    <w:rsid w:val="002033FC"/>
    <w:rsid w:val="00203C30"/>
    <w:rsid w:val="002044BB"/>
    <w:rsid w:val="002061FB"/>
    <w:rsid w:val="00210287"/>
    <w:rsid w:val="00210B09"/>
    <w:rsid w:val="00210C9E"/>
    <w:rsid w:val="00211840"/>
    <w:rsid w:val="00220E5F"/>
    <w:rsid w:val="002212B5"/>
    <w:rsid w:val="00226668"/>
    <w:rsid w:val="0022727A"/>
    <w:rsid w:val="00232FFD"/>
    <w:rsid w:val="00233809"/>
    <w:rsid w:val="00236035"/>
    <w:rsid w:val="00240046"/>
    <w:rsid w:val="00246019"/>
    <w:rsid w:val="0024797F"/>
    <w:rsid w:val="00247A97"/>
    <w:rsid w:val="0025119E"/>
    <w:rsid w:val="00251269"/>
    <w:rsid w:val="002528F4"/>
    <w:rsid w:val="002535C0"/>
    <w:rsid w:val="00253CA3"/>
    <w:rsid w:val="002579FE"/>
    <w:rsid w:val="00260552"/>
    <w:rsid w:val="0026311C"/>
    <w:rsid w:val="0026668C"/>
    <w:rsid w:val="00266AC1"/>
    <w:rsid w:val="0027178C"/>
    <w:rsid w:val="00271954"/>
    <w:rsid w:val="002719FA"/>
    <w:rsid w:val="00272668"/>
    <w:rsid w:val="0027330B"/>
    <w:rsid w:val="002803AD"/>
    <w:rsid w:val="00282052"/>
    <w:rsid w:val="002831A3"/>
    <w:rsid w:val="002841A3"/>
    <w:rsid w:val="0028519E"/>
    <w:rsid w:val="002856A5"/>
    <w:rsid w:val="002872ED"/>
    <w:rsid w:val="002905C2"/>
    <w:rsid w:val="00295AF2"/>
    <w:rsid w:val="00295C91"/>
    <w:rsid w:val="00297151"/>
    <w:rsid w:val="002A2A04"/>
    <w:rsid w:val="002B20E6"/>
    <w:rsid w:val="002B42A3"/>
    <w:rsid w:val="002B6D7E"/>
    <w:rsid w:val="002C0723"/>
    <w:rsid w:val="002C07BF"/>
    <w:rsid w:val="002C0CDD"/>
    <w:rsid w:val="002C38C4"/>
    <w:rsid w:val="002C3E27"/>
    <w:rsid w:val="002C43F0"/>
    <w:rsid w:val="002C46AA"/>
    <w:rsid w:val="002E1A1D"/>
    <w:rsid w:val="002E4081"/>
    <w:rsid w:val="002E5B78"/>
    <w:rsid w:val="002E7604"/>
    <w:rsid w:val="002F2F9E"/>
    <w:rsid w:val="002F395F"/>
    <w:rsid w:val="002F3AE3"/>
    <w:rsid w:val="002F501D"/>
    <w:rsid w:val="0030361E"/>
    <w:rsid w:val="0030464B"/>
    <w:rsid w:val="0030786C"/>
    <w:rsid w:val="003233DE"/>
    <w:rsid w:val="0032466B"/>
    <w:rsid w:val="003330EB"/>
    <w:rsid w:val="00333889"/>
    <w:rsid w:val="003415FD"/>
    <w:rsid w:val="003429F0"/>
    <w:rsid w:val="00345A82"/>
    <w:rsid w:val="0035097A"/>
    <w:rsid w:val="00350EBC"/>
    <w:rsid w:val="003540A4"/>
    <w:rsid w:val="00357BCC"/>
    <w:rsid w:val="00360E4E"/>
    <w:rsid w:val="00370AAA"/>
    <w:rsid w:val="00371D9B"/>
    <w:rsid w:val="00372E6E"/>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6CA4"/>
    <w:rsid w:val="003A775A"/>
    <w:rsid w:val="003A7912"/>
    <w:rsid w:val="003B213A"/>
    <w:rsid w:val="003B43AD"/>
    <w:rsid w:val="003B5D84"/>
    <w:rsid w:val="003C0FEC"/>
    <w:rsid w:val="003C2AC8"/>
    <w:rsid w:val="003D033A"/>
    <w:rsid w:val="003D17F9"/>
    <w:rsid w:val="003D2D88"/>
    <w:rsid w:val="003D41EA"/>
    <w:rsid w:val="003D4850"/>
    <w:rsid w:val="003D535A"/>
    <w:rsid w:val="003E5265"/>
    <w:rsid w:val="003E6377"/>
    <w:rsid w:val="003F0955"/>
    <w:rsid w:val="003F2C1F"/>
    <w:rsid w:val="003F5F4D"/>
    <w:rsid w:val="003F646F"/>
    <w:rsid w:val="00400F00"/>
    <w:rsid w:val="00404F8B"/>
    <w:rsid w:val="00405256"/>
    <w:rsid w:val="00405ADD"/>
    <w:rsid w:val="00410031"/>
    <w:rsid w:val="00415C81"/>
    <w:rsid w:val="004216CD"/>
    <w:rsid w:val="004219A4"/>
    <w:rsid w:val="00431102"/>
    <w:rsid w:val="00431259"/>
    <w:rsid w:val="00432378"/>
    <w:rsid w:val="00432E7F"/>
    <w:rsid w:val="0044045E"/>
    <w:rsid w:val="00440D65"/>
    <w:rsid w:val="004435E6"/>
    <w:rsid w:val="004465AC"/>
    <w:rsid w:val="00447E31"/>
    <w:rsid w:val="0045216B"/>
    <w:rsid w:val="00453923"/>
    <w:rsid w:val="00454B9B"/>
    <w:rsid w:val="00457858"/>
    <w:rsid w:val="00460B0B"/>
    <w:rsid w:val="00461023"/>
    <w:rsid w:val="00462FAC"/>
    <w:rsid w:val="00464631"/>
    <w:rsid w:val="00464B79"/>
    <w:rsid w:val="00467BBF"/>
    <w:rsid w:val="00480D05"/>
    <w:rsid w:val="0048593C"/>
    <w:rsid w:val="004867E2"/>
    <w:rsid w:val="004871BB"/>
    <w:rsid w:val="004878F2"/>
    <w:rsid w:val="00490C3F"/>
    <w:rsid w:val="004929A9"/>
    <w:rsid w:val="004A2205"/>
    <w:rsid w:val="004A613A"/>
    <w:rsid w:val="004A78D9"/>
    <w:rsid w:val="004B6C54"/>
    <w:rsid w:val="004C1BCD"/>
    <w:rsid w:val="004C6BCF"/>
    <w:rsid w:val="004D0075"/>
    <w:rsid w:val="004D58BF"/>
    <w:rsid w:val="004E4335"/>
    <w:rsid w:val="004E5226"/>
    <w:rsid w:val="004F13EE"/>
    <w:rsid w:val="004F2022"/>
    <w:rsid w:val="004F7C05"/>
    <w:rsid w:val="00501268"/>
    <w:rsid w:val="00501C94"/>
    <w:rsid w:val="00506432"/>
    <w:rsid w:val="00506E82"/>
    <w:rsid w:val="00513392"/>
    <w:rsid w:val="00516AA2"/>
    <w:rsid w:val="0052051D"/>
    <w:rsid w:val="00530049"/>
    <w:rsid w:val="00530666"/>
    <w:rsid w:val="00545EE6"/>
    <w:rsid w:val="005550E7"/>
    <w:rsid w:val="005564FB"/>
    <w:rsid w:val="005572C7"/>
    <w:rsid w:val="005632AA"/>
    <w:rsid w:val="0056399C"/>
    <w:rsid w:val="005650ED"/>
    <w:rsid w:val="00570055"/>
    <w:rsid w:val="00572A7F"/>
    <w:rsid w:val="00573057"/>
    <w:rsid w:val="00575754"/>
    <w:rsid w:val="005800FE"/>
    <w:rsid w:val="00581FBA"/>
    <w:rsid w:val="005858A4"/>
    <w:rsid w:val="00585D27"/>
    <w:rsid w:val="0059011A"/>
    <w:rsid w:val="00591E20"/>
    <w:rsid w:val="0059247A"/>
    <w:rsid w:val="00595408"/>
    <w:rsid w:val="00595544"/>
    <w:rsid w:val="00595E84"/>
    <w:rsid w:val="005A0C59"/>
    <w:rsid w:val="005A48EB"/>
    <w:rsid w:val="005A6C5B"/>
    <w:rsid w:val="005A6CFB"/>
    <w:rsid w:val="005B2165"/>
    <w:rsid w:val="005C382D"/>
    <w:rsid w:val="005C54B7"/>
    <w:rsid w:val="005C5AEB"/>
    <w:rsid w:val="005C7D2E"/>
    <w:rsid w:val="005D1385"/>
    <w:rsid w:val="005D5F4E"/>
    <w:rsid w:val="005E0A3F"/>
    <w:rsid w:val="005E1AF9"/>
    <w:rsid w:val="005E2D76"/>
    <w:rsid w:val="005E6883"/>
    <w:rsid w:val="005E772F"/>
    <w:rsid w:val="005F4ECA"/>
    <w:rsid w:val="00602FB2"/>
    <w:rsid w:val="006041BE"/>
    <w:rsid w:val="006043C7"/>
    <w:rsid w:val="00607DE7"/>
    <w:rsid w:val="00624B52"/>
    <w:rsid w:val="00630794"/>
    <w:rsid w:val="00631DF4"/>
    <w:rsid w:val="0063273F"/>
    <w:rsid w:val="006335DA"/>
    <w:rsid w:val="00634175"/>
    <w:rsid w:val="00635532"/>
    <w:rsid w:val="006355D2"/>
    <w:rsid w:val="0063574E"/>
    <w:rsid w:val="006408AC"/>
    <w:rsid w:val="00642F20"/>
    <w:rsid w:val="00646A00"/>
    <w:rsid w:val="006511B6"/>
    <w:rsid w:val="006536D8"/>
    <w:rsid w:val="00657D86"/>
    <w:rsid w:val="00657FF8"/>
    <w:rsid w:val="006619D9"/>
    <w:rsid w:val="00664216"/>
    <w:rsid w:val="00670D99"/>
    <w:rsid w:val="00670E2B"/>
    <w:rsid w:val="006734BB"/>
    <w:rsid w:val="0067697A"/>
    <w:rsid w:val="006821EB"/>
    <w:rsid w:val="006A02E2"/>
    <w:rsid w:val="006A5588"/>
    <w:rsid w:val="006A5735"/>
    <w:rsid w:val="006B2286"/>
    <w:rsid w:val="006B56BB"/>
    <w:rsid w:val="006C085B"/>
    <w:rsid w:val="006C5697"/>
    <w:rsid w:val="006C77A8"/>
    <w:rsid w:val="006D3B8A"/>
    <w:rsid w:val="006D4098"/>
    <w:rsid w:val="006D4461"/>
    <w:rsid w:val="006D508A"/>
    <w:rsid w:val="006D7681"/>
    <w:rsid w:val="006D7B2E"/>
    <w:rsid w:val="006E02EA"/>
    <w:rsid w:val="006E0968"/>
    <w:rsid w:val="006E2AF6"/>
    <w:rsid w:val="006E46FB"/>
    <w:rsid w:val="006E5836"/>
    <w:rsid w:val="006F5073"/>
    <w:rsid w:val="006F5E32"/>
    <w:rsid w:val="006F720C"/>
    <w:rsid w:val="0070096F"/>
    <w:rsid w:val="00701275"/>
    <w:rsid w:val="007023A9"/>
    <w:rsid w:val="00707003"/>
    <w:rsid w:val="00707ED8"/>
    <w:rsid w:val="00707F56"/>
    <w:rsid w:val="00713558"/>
    <w:rsid w:val="00715F26"/>
    <w:rsid w:val="00720D08"/>
    <w:rsid w:val="007263B9"/>
    <w:rsid w:val="00727A96"/>
    <w:rsid w:val="007334F8"/>
    <w:rsid w:val="007339CD"/>
    <w:rsid w:val="007359D8"/>
    <w:rsid w:val="007362D4"/>
    <w:rsid w:val="0075394E"/>
    <w:rsid w:val="007579A4"/>
    <w:rsid w:val="0076672A"/>
    <w:rsid w:val="00766B35"/>
    <w:rsid w:val="00770729"/>
    <w:rsid w:val="00771ECA"/>
    <w:rsid w:val="0077478B"/>
    <w:rsid w:val="00775368"/>
    <w:rsid w:val="00775E45"/>
    <w:rsid w:val="00776E74"/>
    <w:rsid w:val="00785169"/>
    <w:rsid w:val="00787993"/>
    <w:rsid w:val="007943B3"/>
    <w:rsid w:val="007954AB"/>
    <w:rsid w:val="00796654"/>
    <w:rsid w:val="007974B4"/>
    <w:rsid w:val="007A0522"/>
    <w:rsid w:val="007A14C5"/>
    <w:rsid w:val="007A1F48"/>
    <w:rsid w:val="007A4A10"/>
    <w:rsid w:val="007B1750"/>
    <w:rsid w:val="007B1760"/>
    <w:rsid w:val="007B1CB0"/>
    <w:rsid w:val="007C1FDC"/>
    <w:rsid w:val="007C31DD"/>
    <w:rsid w:val="007C6D9C"/>
    <w:rsid w:val="007C70AD"/>
    <w:rsid w:val="007C7DDB"/>
    <w:rsid w:val="007D2CC7"/>
    <w:rsid w:val="007D2ED0"/>
    <w:rsid w:val="007D5D8D"/>
    <w:rsid w:val="007D673D"/>
    <w:rsid w:val="007E0068"/>
    <w:rsid w:val="007E0EB5"/>
    <w:rsid w:val="007E0FB8"/>
    <w:rsid w:val="007E4D09"/>
    <w:rsid w:val="007F2220"/>
    <w:rsid w:val="007F4B3E"/>
    <w:rsid w:val="007F7D0A"/>
    <w:rsid w:val="0080408D"/>
    <w:rsid w:val="00805A0E"/>
    <w:rsid w:val="00812381"/>
    <w:rsid w:val="008127AF"/>
    <w:rsid w:val="00812B46"/>
    <w:rsid w:val="00814EF1"/>
    <w:rsid w:val="00815700"/>
    <w:rsid w:val="00821B30"/>
    <w:rsid w:val="0082246B"/>
    <w:rsid w:val="0082624D"/>
    <w:rsid w:val="008264EB"/>
    <w:rsid w:val="00826B8F"/>
    <w:rsid w:val="00830518"/>
    <w:rsid w:val="0083149F"/>
    <w:rsid w:val="00831E8A"/>
    <w:rsid w:val="00835C76"/>
    <w:rsid w:val="008376E2"/>
    <w:rsid w:val="00843049"/>
    <w:rsid w:val="008437CA"/>
    <w:rsid w:val="0085209B"/>
    <w:rsid w:val="00856B66"/>
    <w:rsid w:val="008601AC"/>
    <w:rsid w:val="00861A5F"/>
    <w:rsid w:val="00861F71"/>
    <w:rsid w:val="008644AD"/>
    <w:rsid w:val="00865735"/>
    <w:rsid w:val="00865DDB"/>
    <w:rsid w:val="00867538"/>
    <w:rsid w:val="00873D90"/>
    <w:rsid w:val="00873FC8"/>
    <w:rsid w:val="00884C63"/>
    <w:rsid w:val="00885908"/>
    <w:rsid w:val="008864B7"/>
    <w:rsid w:val="008869D3"/>
    <w:rsid w:val="0089640F"/>
    <w:rsid w:val="0089677E"/>
    <w:rsid w:val="008A7438"/>
    <w:rsid w:val="008B1334"/>
    <w:rsid w:val="008B25C7"/>
    <w:rsid w:val="008B4188"/>
    <w:rsid w:val="008B60B8"/>
    <w:rsid w:val="008C0278"/>
    <w:rsid w:val="008C24E9"/>
    <w:rsid w:val="008C4674"/>
    <w:rsid w:val="008D0533"/>
    <w:rsid w:val="008D35E7"/>
    <w:rsid w:val="008D42CB"/>
    <w:rsid w:val="008D48C9"/>
    <w:rsid w:val="008D6381"/>
    <w:rsid w:val="008E0C77"/>
    <w:rsid w:val="008E625F"/>
    <w:rsid w:val="008F264D"/>
    <w:rsid w:val="008F27AB"/>
    <w:rsid w:val="009040E9"/>
    <w:rsid w:val="009074E1"/>
    <w:rsid w:val="009112F7"/>
    <w:rsid w:val="009122AF"/>
    <w:rsid w:val="00912D54"/>
    <w:rsid w:val="0091389F"/>
    <w:rsid w:val="00916F59"/>
    <w:rsid w:val="009208F7"/>
    <w:rsid w:val="00921649"/>
    <w:rsid w:val="00922517"/>
    <w:rsid w:val="00922722"/>
    <w:rsid w:val="009261E6"/>
    <w:rsid w:val="009268E1"/>
    <w:rsid w:val="009271EE"/>
    <w:rsid w:val="00933652"/>
    <w:rsid w:val="009344AE"/>
    <w:rsid w:val="009344DE"/>
    <w:rsid w:val="00940CB1"/>
    <w:rsid w:val="00942D89"/>
    <w:rsid w:val="00945E7F"/>
    <w:rsid w:val="009557C1"/>
    <w:rsid w:val="00960D6E"/>
    <w:rsid w:val="00974B59"/>
    <w:rsid w:val="00982921"/>
    <w:rsid w:val="0098340B"/>
    <w:rsid w:val="00986830"/>
    <w:rsid w:val="009924C3"/>
    <w:rsid w:val="00993102"/>
    <w:rsid w:val="009B1570"/>
    <w:rsid w:val="009C1CF9"/>
    <w:rsid w:val="009C6F10"/>
    <w:rsid w:val="009D148F"/>
    <w:rsid w:val="009D2ED8"/>
    <w:rsid w:val="009D3D70"/>
    <w:rsid w:val="009D5A9E"/>
    <w:rsid w:val="009D65C7"/>
    <w:rsid w:val="009E242C"/>
    <w:rsid w:val="009E6F7E"/>
    <w:rsid w:val="009E7A57"/>
    <w:rsid w:val="009F2B6D"/>
    <w:rsid w:val="009F4803"/>
    <w:rsid w:val="009F4B3F"/>
    <w:rsid w:val="009F4F6A"/>
    <w:rsid w:val="00A048CB"/>
    <w:rsid w:val="00A079A6"/>
    <w:rsid w:val="00A13EB5"/>
    <w:rsid w:val="00A14BD2"/>
    <w:rsid w:val="00A16E36"/>
    <w:rsid w:val="00A22A30"/>
    <w:rsid w:val="00A24961"/>
    <w:rsid w:val="00A24B10"/>
    <w:rsid w:val="00A277EF"/>
    <w:rsid w:val="00A30E9B"/>
    <w:rsid w:val="00A4512D"/>
    <w:rsid w:val="00A50244"/>
    <w:rsid w:val="00A627D7"/>
    <w:rsid w:val="00A656C7"/>
    <w:rsid w:val="00A6710A"/>
    <w:rsid w:val="00A705AF"/>
    <w:rsid w:val="00A719F6"/>
    <w:rsid w:val="00A72454"/>
    <w:rsid w:val="00A727CC"/>
    <w:rsid w:val="00A77696"/>
    <w:rsid w:val="00A80557"/>
    <w:rsid w:val="00A81D33"/>
    <w:rsid w:val="00A8341C"/>
    <w:rsid w:val="00A84DEF"/>
    <w:rsid w:val="00A930AE"/>
    <w:rsid w:val="00AA1A95"/>
    <w:rsid w:val="00AA260F"/>
    <w:rsid w:val="00AB05FF"/>
    <w:rsid w:val="00AB1EE7"/>
    <w:rsid w:val="00AB4B37"/>
    <w:rsid w:val="00AB4B7D"/>
    <w:rsid w:val="00AB5762"/>
    <w:rsid w:val="00AC2679"/>
    <w:rsid w:val="00AC2CAA"/>
    <w:rsid w:val="00AC4BE4"/>
    <w:rsid w:val="00AD05E6"/>
    <w:rsid w:val="00AD0D3F"/>
    <w:rsid w:val="00AE015E"/>
    <w:rsid w:val="00AE1D7D"/>
    <w:rsid w:val="00AE2A8B"/>
    <w:rsid w:val="00AE3F64"/>
    <w:rsid w:val="00AF6D42"/>
    <w:rsid w:val="00AF7386"/>
    <w:rsid w:val="00AF7934"/>
    <w:rsid w:val="00B00B81"/>
    <w:rsid w:val="00B04580"/>
    <w:rsid w:val="00B04B09"/>
    <w:rsid w:val="00B05CB6"/>
    <w:rsid w:val="00B151B3"/>
    <w:rsid w:val="00B16A51"/>
    <w:rsid w:val="00B2400E"/>
    <w:rsid w:val="00B32222"/>
    <w:rsid w:val="00B3618D"/>
    <w:rsid w:val="00B36233"/>
    <w:rsid w:val="00B42851"/>
    <w:rsid w:val="00B45350"/>
    <w:rsid w:val="00B45AC7"/>
    <w:rsid w:val="00B5372F"/>
    <w:rsid w:val="00B53987"/>
    <w:rsid w:val="00B55E43"/>
    <w:rsid w:val="00B56B85"/>
    <w:rsid w:val="00B6043C"/>
    <w:rsid w:val="00B61129"/>
    <w:rsid w:val="00B67E7F"/>
    <w:rsid w:val="00B75C6F"/>
    <w:rsid w:val="00B76DB3"/>
    <w:rsid w:val="00B839B2"/>
    <w:rsid w:val="00B856EF"/>
    <w:rsid w:val="00B8703D"/>
    <w:rsid w:val="00B94252"/>
    <w:rsid w:val="00B96362"/>
    <w:rsid w:val="00B9715A"/>
    <w:rsid w:val="00BA14BE"/>
    <w:rsid w:val="00BA2732"/>
    <w:rsid w:val="00BA293D"/>
    <w:rsid w:val="00BA49BC"/>
    <w:rsid w:val="00BA4A16"/>
    <w:rsid w:val="00BA56B7"/>
    <w:rsid w:val="00BA7A1E"/>
    <w:rsid w:val="00BB2F6C"/>
    <w:rsid w:val="00BB3875"/>
    <w:rsid w:val="00BB5860"/>
    <w:rsid w:val="00BB5BC7"/>
    <w:rsid w:val="00BB5C52"/>
    <w:rsid w:val="00BB6AAD"/>
    <w:rsid w:val="00BC4A19"/>
    <w:rsid w:val="00BC4E6D"/>
    <w:rsid w:val="00BD0617"/>
    <w:rsid w:val="00BD0A9E"/>
    <w:rsid w:val="00BD259E"/>
    <w:rsid w:val="00BD2E9B"/>
    <w:rsid w:val="00BD7FB2"/>
    <w:rsid w:val="00BE3ED5"/>
    <w:rsid w:val="00BE6D6A"/>
    <w:rsid w:val="00BF27FF"/>
    <w:rsid w:val="00C00930"/>
    <w:rsid w:val="00C02BAB"/>
    <w:rsid w:val="00C060AD"/>
    <w:rsid w:val="00C113BF"/>
    <w:rsid w:val="00C2176E"/>
    <w:rsid w:val="00C23430"/>
    <w:rsid w:val="00C26AE4"/>
    <w:rsid w:val="00C27D67"/>
    <w:rsid w:val="00C352CE"/>
    <w:rsid w:val="00C435AF"/>
    <w:rsid w:val="00C4631F"/>
    <w:rsid w:val="00C47CDE"/>
    <w:rsid w:val="00C50E16"/>
    <w:rsid w:val="00C50FD1"/>
    <w:rsid w:val="00C55258"/>
    <w:rsid w:val="00C66120"/>
    <w:rsid w:val="00C75FA3"/>
    <w:rsid w:val="00C82EEB"/>
    <w:rsid w:val="00C90911"/>
    <w:rsid w:val="00C942B1"/>
    <w:rsid w:val="00C95A5C"/>
    <w:rsid w:val="00C96444"/>
    <w:rsid w:val="00C96F5A"/>
    <w:rsid w:val="00C971DC"/>
    <w:rsid w:val="00CA16B7"/>
    <w:rsid w:val="00CA62AE"/>
    <w:rsid w:val="00CB03B8"/>
    <w:rsid w:val="00CB5B1A"/>
    <w:rsid w:val="00CC220B"/>
    <w:rsid w:val="00CC5C43"/>
    <w:rsid w:val="00CD02AE"/>
    <w:rsid w:val="00CD0319"/>
    <w:rsid w:val="00CD2A4F"/>
    <w:rsid w:val="00CD740E"/>
    <w:rsid w:val="00CE03CA"/>
    <w:rsid w:val="00CE22F1"/>
    <w:rsid w:val="00CE50F2"/>
    <w:rsid w:val="00CE6502"/>
    <w:rsid w:val="00CF7D3C"/>
    <w:rsid w:val="00D01F09"/>
    <w:rsid w:val="00D03527"/>
    <w:rsid w:val="00D06F03"/>
    <w:rsid w:val="00D124FD"/>
    <w:rsid w:val="00D147EB"/>
    <w:rsid w:val="00D16C59"/>
    <w:rsid w:val="00D23A35"/>
    <w:rsid w:val="00D25FEC"/>
    <w:rsid w:val="00D32674"/>
    <w:rsid w:val="00D34667"/>
    <w:rsid w:val="00D36C18"/>
    <w:rsid w:val="00D401E1"/>
    <w:rsid w:val="00D408B4"/>
    <w:rsid w:val="00D44330"/>
    <w:rsid w:val="00D524C8"/>
    <w:rsid w:val="00D54A16"/>
    <w:rsid w:val="00D65185"/>
    <w:rsid w:val="00D70E24"/>
    <w:rsid w:val="00D72B61"/>
    <w:rsid w:val="00D765B6"/>
    <w:rsid w:val="00D76F0F"/>
    <w:rsid w:val="00D879AA"/>
    <w:rsid w:val="00DA3D1D"/>
    <w:rsid w:val="00DA4103"/>
    <w:rsid w:val="00DB6286"/>
    <w:rsid w:val="00DB645F"/>
    <w:rsid w:val="00DB76E9"/>
    <w:rsid w:val="00DC0A67"/>
    <w:rsid w:val="00DC1D5E"/>
    <w:rsid w:val="00DC5220"/>
    <w:rsid w:val="00DD2061"/>
    <w:rsid w:val="00DD7DAB"/>
    <w:rsid w:val="00DE21D3"/>
    <w:rsid w:val="00DE3355"/>
    <w:rsid w:val="00DE6A4A"/>
    <w:rsid w:val="00DF0C60"/>
    <w:rsid w:val="00DF486F"/>
    <w:rsid w:val="00DF5B5B"/>
    <w:rsid w:val="00DF7619"/>
    <w:rsid w:val="00E042D8"/>
    <w:rsid w:val="00E07EE7"/>
    <w:rsid w:val="00E1103B"/>
    <w:rsid w:val="00E1232D"/>
    <w:rsid w:val="00E13714"/>
    <w:rsid w:val="00E17B44"/>
    <w:rsid w:val="00E20F27"/>
    <w:rsid w:val="00E22443"/>
    <w:rsid w:val="00E25B1F"/>
    <w:rsid w:val="00E26CBD"/>
    <w:rsid w:val="00E278D3"/>
    <w:rsid w:val="00E27FEA"/>
    <w:rsid w:val="00E32E1B"/>
    <w:rsid w:val="00E330B2"/>
    <w:rsid w:val="00E4086F"/>
    <w:rsid w:val="00E41646"/>
    <w:rsid w:val="00E43A36"/>
    <w:rsid w:val="00E43B3C"/>
    <w:rsid w:val="00E50188"/>
    <w:rsid w:val="00E50BB3"/>
    <w:rsid w:val="00E515CB"/>
    <w:rsid w:val="00E52260"/>
    <w:rsid w:val="00E639B6"/>
    <w:rsid w:val="00E642A7"/>
    <w:rsid w:val="00E6432E"/>
    <w:rsid w:val="00E6434B"/>
    <w:rsid w:val="00E6463D"/>
    <w:rsid w:val="00E71492"/>
    <w:rsid w:val="00E72E9B"/>
    <w:rsid w:val="00E77B03"/>
    <w:rsid w:val="00E81ECA"/>
    <w:rsid w:val="00E850C3"/>
    <w:rsid w:val="00E87DF2"/>
    <w:rsid w:val="00E9462E"/>
    <w:rsid w:val="00EA470E"/>
    <w:rsid w:val="00EA47A7"/>
    <w:rsid w:val="00EA55B6"/>
    <w:rsid w:val="00EA57EB"/>
    <w:rsid w:val="00EB3226"/>
    <w:rsid w:val="00EC213A"/>
    <w:rsid w:val="00EC524B"/>
    <w:rsid w:val="00EC7744"/>
    <w:rsid w:val="00ED0DAD"/>
    <w:rsid w:val="00ED0F46"/>
    <w:rsid w:val="00ED2373"/>
    <w:rsid w:val="00ED24F9"/>
    <w:rsid w:val="00ED2E38"/>
    <w:rsid w:val="00ED5B1E"/>
    <w:rsid w:val="00EE3E8A"/>
    <w:rsid w:val="00EF25EE"/>
    <w:rsid w:val="00EF58B8"/>
    <w:rsid w:val="00EF6ECA"/>
    <w:rsid w:val="00F00D64"/>
    <w:rsid w:val="00F012B5"/>
    <w:rsid w:val="00F024E1"/>
    <w:rsid w:val="00F06C10"/>
    <w:rsid w:val="00F1096F"/>
    <w:rsid w:val="00F12589"/>
    <w:rsid w:val="00F12595"/>
    <w:rsid w:val="00F134D9"/>
    <w:rsid w:val="00F1403D"/>
    <w:rsid w:val="00F1463F"/>
    <w:rsid w:val="00F20B3B"/>
    <w:rsid w:val="00F21302"/>
    <w:rsid w:val="00F2430D"/>
    <w:rsid w:val="00F25F42"/>
    <w:rsid w:val="00F321DE"/>
    <w:rsid w:val="00F33777"/>
    <w:rsid w:val="00F40648"/>
    <w:rsid w:val="00F47DA2"/>
    <w:rsid w:val="00F50177"/>
    <w:rsid w:val="00F51321"/>
    <w:rsid w:val="00F51464"/>
    <w:rsid w:val="00F519FC"/>
    <w:rsid w:val="00F53B34"/>
    <w:rsid w:val="00F6239D"/>
    <w:rsid w:val="00F67EFF"/>
    <w:rsid w:val="00F715D2"/>
    <w:rsid w:val="00F7274F"/>
    <w:rsid w:val="00F74E84"/>
    <w:rsid w:val="00F76FA8"/>
    <w:rsid w:val="00F83DF1"/>
    <w:rsid w:val="00F85AFE"/>
    <w:rsid w:val="00F93F08"/>
    <w:rsid w:val="00F94CED"/>
    <w:rsid w:val="00FA02BB"/>
    <w:rsid w:val="00FA2CEE"/>
    <w:rsid w:val="00FA318C"/>
    <w:rsid w:val="00FB1CD1"/>
    <w:rsid w:val="00FB6F92"/>
    <w:rsid w:val="00FC00B6"/>
    <w:rsid w:val="00FC026E"/>
    <w:rsid w:val="00FC5124"/>
    <w:rsid w:val="00FC7E4D"/>
    <w:rsid w:val="00FD0C08"/>
    <w:rsid w:val="00FD4731"/>
    <w:rsid w:val="00FD5E14"/>
    <w:rsid w:val="00FD6768"/>
    <w:rsid w:val="00FE7665"/>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A14BD2"/>
    <w:rPr>
      <w:rFonts w:ascii="Arial" w:hAnsi="Arial" w:cs="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14BD2"/>
    <w:pPr>
      <w:ind w:left="720"/>
      <w:contextualSpacing/>
    </w:pPr>
    <w:rPr>
      <w:rFonts w:cs="Arial"/>
    </w:rPr>
  </w:style>
  <w:style w:type="paragraph" w:styleId="Revision">
    <w:name w:val="Revision"/>
    <w:hidden/>
    <w:uiPriority w:val="99"/>
    <w:semiHidden/>
    <w:rsid w:val="002B6D7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B6C54"/>
    <w:rPr>
      <w:sz w:val="16"/>
      <w:szCs w:val="16"/>
    </w:rPr>
  </w:style>
  <w:style w:type="paragraph" w:styleId="CommentSubject">
    <w:name w:val="annotation subject"/>
    <w:basedOn w:val="CommentText"/>
    <w:next w:val="CommentText"/>
    <w:link w:val="CommentSubjectChar"/>
    <w:semiHidden/>
    <w:unhideWhenUsed/>
    <w:rsid w:val="004B6C5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B6C54"/>
    <w:rPr>
      <w:rFonts w:ascii="Arial" w:eastAsiaTheme="minorEastAsia" w:hAnsi="Arial" w:cstheme="minorBidi"/>
      <w:b/>
      <w:bCs/>
      <w:color w:val="000000" w:themeColor="text1"/>
      <w:lang w:eastAsia="en-US"/>
    </w:rPr>
  </w:style>
  <w:style w:type="paragraph" w:customStyle="1" w:styleId="Tabletext0">
    <w:name w:val="Tabletext"/>
    <w:aliases w:val="tt"/>
    <w:basedOn w:val="Normal"/>
    <w:link w:val="TabletextChar"/>
    <w:rsid w:val="00C352CE"/>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C352CE"/>
  </w:style>
  <w:style w:type="paragraph" w:customStyle="1" w:styleId="BoxList">
    <w:name w:val="BoxList"/>
    <w:aliases w:val="bl"/>
    <w:basedOn w:val="Normal"/>
    <w:qFormat/>
    <w:rsid w:val="009F4B3F"/>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hAnsi="Times New Roman"/>
      <w:color w:val="auto"/>
      <w:szCs w:val="20"/>
      <w:lang w:eastAsia="en-AU"/>
    </w:rPr>
  </w:style>
  <w:style w:type="paragraph" w:customStyle="1" w:styleId="Tablea">
    <w:name w:val="Table(a)"/>
    <w:aliases w:val="ta"/>
    <w:basedOn w:val="Normal"/>
    <w:rsid w:val="008B60B8"/>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8B60B8"/>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3403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5862613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4035850">
      <w:bodyDiv w:val="1"/>
      <w:marLeft w:val="0"/>
      <w:marRight w:val="0"/>
      <w:marTop w:val="0"/>
      <w:marBottom w:val="0"/>
      <w:divBdr>
        <w:top w:val="none" w:sz="0" w:space="0" w:color="auto"/>
        <w:left w:val="none" w:sz="0" w:space="0" w:color="auto"/>
        <w:bottom w:val="none" w:sz="0" w:space="0" w:color="auto"/>
        <w:right w:val="none" w:sz="0" w:space="0" w:color="auto"/>
      </w:divBdr>
    </w:div>
    <w:div w:id="44932642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09736065">
      <w:bodyDiv w:val="1"/>
      <w:marLeft w:val="0"/>
      <w:marRight w:val="0"/>
      <w:marTop w:val="0"/>
      <w:marBottom w:val="0"/>
      <w:divBdr>
        <w:top w:val="none" w:sz="0" w:space="0" w:color="auto"/>
        <w:left w:val="none" w:sz="0" w:space="0" w:color="auto"/>
        <w:bottom w:val="none" w:sz="0" w:space="0" w:color="auto"/>
        <w:right w:val="none" w:sz="0" w:space="0" w:color="auto"/>
      </w:divBdr>
    </w:div>
    <w:div w:id="1134760833">
      <w:bodyDiv w:val="1"/>
      <w:marLeft w:val="0"/>
      <w:marRight w:val="0"/>
      <w:marTop w:val="0"/>
      <w:marBottom w:val="0"/>
      <w:divBdr>
        <w:top w:val="none" w:sz="0" w:space="0" w:color="auto"/>
        <w:left w:val="none" w:sz="0" w:space="0" w:color="auto"/>
        <w:bottom w:val="none" w:sz="0" w:space="0" w:color="auto"/>
        <w:right w:val="none" w:sz="0" w:space="0" w:color="auto"/>
      </w:divBdr>
    </w:div>
    <w:div w:id="121670277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36962203">
      <w:bodyDiv w:val="1"/>
      <w:marLeft w:val="0"/>
      <w:marRight w:val="0"/>
      <w:marTop w:val="0"/>
      <w:marBottom w:val="0"/>
      <w:divBdr>
        <w:top w:val="none" w:sz="0" w:space="0" w:color="auto"/>
        <w:left w:val="none" w:sz="0" w:space="0" w:color="auto"/>
        <w:bottom w:val="none" w:sz="0" w:space="0" w:color="auto"/>
        <w:right w:val="none" w:sz="0" w:space="0" w:color="auto"/>
      </w:divBdr>
    </w:div>
    <w:div w:id="190101263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legislation.gov.au/Details/F2022C00777"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2312</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2023-11-28T02:18:00Z</dcterms:created>
  <dcterms:modified xsi:type="dcterms:W3CDTF">2023-11-28T02:19:00Z</dcterms:modified>
</cp:coreProperties>
</file>