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60C51982" w:rsidR="00BA2732" w:rsidRDefault="00032E50" w:rsidP="003D033A">
      <w:pPr>
        <w:pStyle w:val="Title"/>
      </w:pPr>
      <w:bookmarkStart w:id="0" w:name="_Hlk140229635"/>
      <w:r>
        <w:t xml:space="preserve">New pathology items for </w:t>
      </w:r>
      <w:r w:rsidRPr="00032E50">
        <w:t>targeted carrier testing for severe monogenic conditions</w:t>
      </w:r>
    </w:p>
    <w:p w14:paraId="6EFD4B5B" w14:textId="1A3D7713" w:rsidR="00064168" w:rsidRPr="00867595" w:rsidRDefault="00064168" w:rsidP="006F5073">
      <w:bookmarkStart w:id="1" w:name="_Hlk4568006"/>
      <w:bookmarkEnd w:id="0"/>
      <w:r w:rsidRPr="00867595">
        <w:t xml:space="preserve">Last updated: </w:t>
      </w:r>
      <w:r w:rsidR="004F6BD4">
        <w:t>22</w:t>
      </w:r>
      <w:r w:rsidR="001D00C6">
        <w:t xml:space="preserve"> </w:t>
      </w:r>
      <w:r w:rsidR="00617A19">
        <w:t>November</w:t>
      </w:r>
      <w:r w:rsidR="00844AEF" w:rsidRPr="00056509">
        <w:t xml:space="preserve"> 2023</w:t>
      </w:r>
    </w:p>
    <w:p w14:paraId="38D80DBD" w14:textId="3CAC57CE" w:rsidR="00034781" w:rsidRPr="00034781" w:rsidRDefault="00032E50" w:rsidP="006F5073">
      <w:pPr>
        <w:pStyle w:val="ListBullet"/>
      </w:pPr>
      <w:bookmarkStart w:id="2" w:name="_Hlk535506978"/>
      <w:bookmarkEnd w:id="1"/>
      <w:r>
        <w:t>From 1 November 2023, three new Medicare Benefits (MBS) items w</w:t>
      </w:r>
      <w:r w:rsidR="00617A19">
        <w:t>ere</w:t>
      </w:r>
      <w:r>
        <w:t xml:space="preserve"> introduced </w:t>
      </w:r>
      <w:r w:rsidR="003209E8" w:rsidRPr="003209E8">
        <w:rPr>
          <w:bCs/>
        </w:rPr>
        <w:t xml:space="preserve">for </w:t>
      </w:r>
      <w:r w:rsidR="003209E8">
        <w:rPr>
          <w:bCs/>
        </w:rPr>
        <w:t xml:space="preserve">reproductive carrier testing </w:t>
      </w:r>
      <w:r w:rsidR="00034781">
        <w:t xml:space="preserve">for genetic variants known to cause nine </w:t>
      </w:r>
      <w:r w:rsidR="00034781" w:rsidRPr="003209E8">
        <w:rPr>
          <w:bCs/>
        </w:rPr>
        <w:t xml:space="preserve">severely disabling and/or life-threatening </w:t>
      </w:r>
      <w:r w:rsidR="00034781">
        <w:rPr>
          <w:bCs/>
        </w:rPr>
        <w:t xml:space="preserve">conditions, for which the </w:t>
      </w:r>
      <w:r w:rsidR="001F1075">
        <w:t>Ashkenazi</w:t>
      </w:r>
      <w:r w:rsidR="00034781" w:rsidRPr="00BD1EC7">
        <w:t xml:space="preserve"> Jewish</w:t>
      </w:r>
      <w:r w:rsidR="00034781">
        <w:t xml:space="preserve"> community is at significantly higher risk compared to the general population</w:t>
      </w:r>
      <w:r w:rsidR="0097474F">
        <w:t xml:space="preserve">, in addition to </w:t>
      </w:r>
      <w:r w:rsidR="0097474F" w:rsidRPr="00C118B7">
        <w:rPr>
          <w:iCs/>
        </w:rPr>
        <w:t>Cystic Fibrosis</w:t>
      </w:r>
      <w:r w:rsidR="0097474F">
        <w:rPr>
          <w:iCs/>
        </w:rPr>
        <w:t xml:space="preserve"> (CF)</w:t>
      </w:r>
      <w:r w:rsidR="0097474F" w:rsidRPr="00C118B7">
        <w:rPr>
          <w:iCs/>
        </w:rPr>
        <w:t xml:space="preserve">, Spinal muscular atrophy </w:t>
      </w:r>
      <w:r w:rsidR="0097474F">
        <w:rPr>
          <w:iCs/>
        </w:rPr>
        <w:t xml:space="preserve">(SMA) </w:t>
      </w:r>
      <w:r w:rsidR="0097474F" w:rsidRPr="00C118B7">
        <w:rPr>
          <w:iCs/>
        </w:rPr>
        <w:t>and Fragile-X syndrome</w:t>
      </w:r>
      <w:r w:rsidR="0097474F">
        <w:rPr>
          <w:iCs/>
        </w:rPr>
        <w:t xml:space="preserve"> (FXS)</w:t>
      </w:r>
      <w:r w:rsidR="00034781">
        <w:t>.</w:t>
      </w:r>
      <w:r w:rsidR="00034781">
        <w:rPr>
          <w:bCs/>
        </w:rPr>
        <w:t xml:space="preserve">  </w:t>
      </w:r>
    </w:p>
    <w:p w14:paraId="591AB416" w14:textId="3AB14763" w:rsidR="00032E50" w:rsidRDefault="00034781" w:rsidP="006F5073">
      <w:pPr>
        <w:pStyle w:val="ListBullet"/>
      </w:pPr>
      <w:r>
        <w:rPr>
          <w:bCs/>
        </w:rPr>
        <w:t xml:space="preserve">Testing </w:t>
      </w:r>
      <w:r w:rsidR="00617A19">
        <w:rPr>
          <w:bCs/>
        </w:rPr>
        <w:t>is</w:t>
      </w:r>
      <w:r>
        <w:rPr>
          <w:bCs/>
        </w:rPr>
        <w:t xml:space="preserve"> available </w:t>
      </w:r>
      <w:r w:rsidR="0011762A">
        <w:rPr>
          <w:bCs/>
        </w:rPr>
        <w:t xml:space="preserve">for </w:t>
      </w:r>
      <w:r w:rsidR="0011762A">
        <w:t xml:space="preserve">people </w:t>
      </w:r>
      <w:r w:rsidR="0011762A" w:rsidRPr="00BD1EC7">
        <w:t xml:space="preserve">who identify as being of </w:t>
      </w:r>
      <w:r w:rsidR="001F1075">
        <w:t>Ashkenazi</w:t>
      </w:r>
      <w:r w:rsidR="0011762A" w:rsidRPr="00BD1EC7">
        <w:t xml:space="preserve"> Jewish descent and their reproductive partners</w:t>
      </w:r>
      <w:r w:rsidR="00C230E8">
        <w:t>.</w:t>
      </w:r>
      <w:r w:rsidR="000332B9">
        <w:t xml:space="preserve"> </w:t>
      </w:r>
    </w:p>
    <w:bookmarkEnd w:id="2"/>
    <w:p w14:paraId="44460BF5" w14:textId="1363FEF9" w:rsidR="00064168" w:rsidRPr="00867595" w:rsidRDefault="00064168" w:rsidP="00064168">
      <w:pPr>
        <w:pStyle w:val="Heading2"/>
      </w:pPr>
      <w:r w:rsidRPr="00867595">
        <w:t>What are the changes</w:t>
      </w:r>
      <w:r w:rsidR="00B04A8C">
        <w:t>?</w:t>
      </w:r>
    </w:p>
    <w:p w14:paraId="0278974C" w14:textId="28DA416C" w:rsidR="00404097" w:rsidRPr="00C24017" w:rsidRDefault="00064168" w:rsidP="00404097">
      <w:pPr>
        <w:rPr>
          <w:iCs/>
        </w:rPr>
      </w:pPr>
      <w:r w:rsidRPr="00867595">
        <w:rPr>
          <w:szCs w:val="22"/>
        </w:rPr>
        <w:t xml:space="preserve">Effective </w:t>
      </w:r>
      <w:r w:rsidR="00CE12EE">
        <w:rPr>
          <w:szCs w:val="22"/>
        </w:rPr>
        <w:t>1 November 2023</w:t>
      </w:r>
      <w:r w:rsidRPr="00867595">
        <w:rPr>
          <w:szCs w:val="22"/>
        </w:rPr>
        <w:t xml:space="preserve">, </w:t>
      </w:r>
      <w:r w:rsidR="00CE12EE">
        <w:rPr>
          <w:szCs w:val="22"/>
        </w:rPr>
        <w:t>three new items (</w:t>
      </w:r>
      <w:r w:rsidR="00883C23" w:rsidRPr="00883C23">
        <w:rPr>
          <w:szCs w:val="22"/>
        </w:rPr>
        <w:t>73453</w:t>
      </w:r>
      <w:r w:rsidR="00883C23">
        <w:rPr>
          <w:szCs w:val="22"/>
        </w:rPr>
        <w:t xml:space="preserve">, </w:t>
      </w:r>
      <w:r w:rsidR="00883C23" w:rsidRPr="00883C23">
        <w:rPr>
          <w:szCs w:val="22"/>
        </w:rPr>
        <w:t>73454</w:t>
      </w:r>
      <w:r w:rsidR="00883C23">
        <w:rPr>
          <w:szCs w:val="22"/>
        </w:rPr>
        <w:t xml:space="preserve"> and </w:t>
      </w:r>
      <w:r w:rsidR="00883C23" w:rsidRPr="00883C23">
        <w:rPr>
          <w:szCs w:val="22"/>
        </w:rPr>
        <w:t>73455</w:t>
      </w:r>
      <w:r w:rsidR="00CE12EE">
        <w:rPr>
          <w:szCs w:val="22"/>
        </w:rPr>
        <w:t xml:space="preserve">) </w:t>
      </w:r>
      <w:r w:rsidR="00C24017">
        <w:rPr>
          <w:szCs w:val="22"/>
        </w:rPr>
        <w:t xml:space="preserve">for </w:t>
      </w:r>
      <w:r w:rsidR="00C24017">
        <w:rPr>
          <w:iCs/>
        </w:rPr>
        <w:t xml:space="preserve">gene panel testing </w:t>
      </w:r>
      <w:r w:rsidR="00617A19">
        <w:rPr>
          <w:iCs/>
        </w:rPr>
        <w:t xml:space="preserve">were introduced </w:t>
      </w:r>
      <w:r w:rsidR="00C24017">
        <w:rPr>
          <w:iCs/>
        </w:rPr>
        <w:t xml:space="preserve">for </w:t>
      </w:r>
      <w:r w:rsidR="00C24017" w:rsidRPr="004D3833">
        <w:rPr>
          <w:iCs/>
        </w:rPr>
        <w:t>variants in 12 genes relat</w:t>
      </w:r>
      <w:r w:rsidR="00C24017">
        <w:rPr>
          <w:iCs/>
        </w:rPr>
        <w:t>ing</w:t>
      </w:r>
      <w:r w:rsidR="00C24017" w:rsidRPr="004D3833">
        <w:rPr>
          <w:iCs/>
        </w:rPr>
        <w:t xml:space="preserve"> to</w:t>
      </w:r>
      <w:r w:rsidR="00C24017" w:rsidRPr="004D3833">
        <w:rPr>
          <w:iCs/>
          <w:lang w:val="en-US"/>
        </w:rPr>
        <w:t xml:space="preserve"> </w:t>
      </w:r>
      <w:r w:rsidR="00824630">
        <w:rPr>
          <w:iCs/>
          <w:lang w:val="en-US"/>
        </w:rPr>
        <w:t>12</w:t>
      </w:r>
      <w:r w:rsidR="00C24017" w:rsidRPr="004D3833">
        <w:rPr>
          <w:iCs/>
          <w:lang w:val="en-US"/>
        </w:rPr>
        <w:t xml:space="preserve"> conditions</w:t>
      </w:r>
      <w:r w:rsidR="00C24017" w:rsidRPr="004D3833">
        <w:rPr>
          <w:iCs/>
        </w:rPr>
        <w:t>.</w:t>
      </w:r>
      <w:r w:rsidR="00C24017">
        <w:rPr>
          <w:szCs w:val="22"/>
        </w:rPr>
        <w:t xml:space="preserve"> </w:t>
      </w:r>
      <w:r w:rsidR="00404097" w:rsidRPr="00184B7B">
        <w:rPr>
          <w:iCs/>
        </w:rPr>
        <w:t xml:space="preserve">The conditions are Tay-Sachs disease, Canavan disease, Familial dysautonomia, </w:t>
      </w:r>
      <w:proofErr w:type="spellStart"/>
      <w:r w:rsidR="00404097" w:rsidRPr="00184B7B">
        <w:rPr>
          <w:iCs/>
        </w:rPr>
        <w:t>Mucolipidosis</w:t>
      </w:r>
      <w:proofErr w:type="spellEnd"/>
      <w:r w:rsidR="00404097" w:rsidRPr="00184B7B">
        <w:rPr>
          <w:iCs/>
        </w:rPr>
        <w:t xml:space="preserve"> type IV, Glycogen storage disease type 1, Fanconi anaemia type C, Gaucher disease type 1, Niemann Pick disease type A and Bloom syndrome</w:t>
      </w:r>
      <w:r w:rsidR="00C118B7">
        <w:rPr>
          <w:iCs/>
        </w:rPr>
        <w:t xml:space="preserve">, </w:t>
      </w:r>
      <w:r w:rsidR="00C118B7" w:rsidRPr="00C118B7">
        <w:rPr>
          <w:iCs/>
        </w:rPr>
        <w:t>C</w:t>
      </w:r>
      <w:r w:rsidR="0097474F">
        <w:rPr>
          <w:iCs/>
        </w:rPr>
        <w:t>F, SMA and FXS.</w:t>
      </w:r>
      <w:r w:rsidR="00C118B7">
        <w:rPr>
          <w:iCs/>
        </w:rPr>
        <w:t xml:space="preserve"> </w:t>
      </w:r>
    </w:p>
    <w:p w14:paraId="4E459E9A" w14:textId="6EBE8212" w:rsidR="00064168" w:rsidRPr="00C24017" w:rsidRDefault="00957FF5" w:rsidP="00064168">
      <w:pPr>
        <w:rPr>
          <w:szCs w:val="22"/>
        </w:rPr>
      </w:pPr>
      <w:r w:rsidRPr="00957FF5">
        <w:rPr>
          <w:szCs w:val="22"/>
        </w:rPr>
        <w:t>People with Ashkenazi Jewish ancestry have one in five chance (20%) of being a genetic carrier for at least one of these conditions.</w:t>
      </w:r>
      <w:r w:rsidR="00404097">
        <w:rPr>
          <w:szCs w:val="22"/>
        </w:rPr>
        <w:t xml:space="preserve"> </w:t>
      </w:r>
      <w:r w:rsidR="00C24017">
        <w:rPr>
          <w:szCs w:val="22"/>
        </w:rPr>
        <w:t xml:space="preserve">Testing </w:t>
      </w:r>
      <w:r w:rsidR="00617A19">
        <w:rPr>
          <w:szCs w:val="22"/>
        </w:rPr>
        <w:t xml:space="preserve">is </w:t>
      </w:r>
      <w:r w:rsidR="00C24017">
        <w:rPr>
          <w:bCs/>
        </w:rPr>
        <w:t xml:space="preserve">available </w:t>
      </w:r>
      <w:r w:rsidR="00404097">
        <w:rPr>
          <w:bCs/>
        </w:rPr>
        <w:t>to</w:t>
      </w:r>
      <w:r w:rsidR="00C230E8">
        <w:rPr>
          <w:bCs/>
        </w:rPr>
        <w:t xml:space="preserve"> </w:t>
      </w:r>
      <w:r w:rsidR="00CE12EE">
        <w:rPr>
          <w:bCs/>
        </w:rPr>
        <w:t xml:space="preserve">people </w:t>
      </w:r>
      <w:r w:rsidR="00D43372">
        <w:t xml:space="preserve">who identify as being of </w:t>
      </w:r>
      <w:r w:rsidR="001F1075">
        <w:t>Ashkenazi</w:t>
      </w:r>
      <w:r w:rsidR="00CE12EE" w:rsidRPr="00BD1EC7">
        <w:t xml:space="preserve"> Jewish descent</w:t>
      </w:r>
      <w:r>
        <w:t xml:space="preserve"> </w:t>
      </w:r>
      <w:r w:rsidR="00404097">
        <w:t xml:space="preserve">(and </w:t>
      </w:r>
      <w:r w:rsidR="00931A3F">
        <w:t xml:space="preserve">who </w:t>
      </w:r>
      <w:r w:rsidR="00404097">
        <w:t xml:space="preserve">are </w:t>
      </w:r>
      <w:r w:rsidR="00404097" w:rsidRPr="00BD1EC7">
        <w:t xml:space="preserve">of </w:t>
      </w:r>
      <w:r w:rsidR="00404097">
        <w:t xml:space="preserve">reproductive age) </w:t>
      </w:r>
      <w:r>
        <w:t>and</w:t>
      </w:r>
      <w:r w:rsidR="00CE12EE" w:rsidRPr="00BD1EC7">
        <w:t xml:space="preserve"> their reproductive partners</w:t>
      </w:r>
      <w:r w:rsidR="00CE12EE">
        <w:t>.</w:t>
      </w:r>
      <w:r w:rsidR="00404097">
        <w:t xml:space="preserve"> </w:t>
      </w:r>
      <w:r w:rsidR="00B93C02" w:rsidRPr="00CD566D">
        <w:rPr>
          <w:b/>
          <w:bCs/>
        </w:rPr>
        <w:t>Attachment A</w:t>
      </w:r>
      <w:r w:rsidR="00B93C02">
        <w:t xml:space="preserve"> to this factsheet lists the new items.</w:t>
      </w:r>
    </w:p>
    <w:p w14:paraId="14CB6C78" w14:textId="681875A8" w:rsidR="007E0068" w:rsidRDefault="007E0068" w:rsidP="007E0068">
      <w:r>
        <w:t xml:space="preserve">For private health insurance purposes, </w:t>
      </w:r>
      <w:r w:rsidR="0052368B">
        <w:t xml:space="preserve">the new items </w:t>
      </w:r>
      <w:r w:rsidR="00617A19">
        <w:t xml:space="preserve">were </w:t>
      </w:r>
      <w:r>
        <w:t>listed under the following clinical category and procedure type:</w:t>
      </w:r>
    </w:p>
    <w:p w14:paraId="5B0D04C5" w14:textId="6C28A22A" w:rsidR="007E0068" w:rsidRPr="005E2851" w:rsidRDefault="007E0068" w:rsidP="006F5073">
      <w:pPr>
        <w:pStyle w:val="ListBullet"/>
        <w:rPr>
          <w:color w:val="auto"/>
        </w:rPr>
      </w:pPr>
      <w:r w:rsidRPr="005E2851">
        <w:rPr>
          <w:color w:val="auto"/>
        </w:rPr>
        <w:t xml:space="preserve">Clinical category: </w:t>
      </w:r>
      <w:r w:rsidR="000B2221" w:rsidRPr="005E2851">
        <w:rPr>
          <w:color w:val="auto"/>
        </w:rPr>
        <w:t>Support List (pathology)</w:t>
      </w:r>
    </w:p>
    <w:p w14:paraId="0F393FB5" w14:textId="1368A3CC" w:rsidR="007E0068" w:rsidRPr="005E2851" w:rsidRDefault="007E0068" w:rsidP="006F5073">
      <w:pPr>
        <w:pStyle w:val="ListBullet"/>
        <w:rPr>
          <w:color w:val="auto"/>
        </w:rPr>
      </w:pPr>
      <w:r w:rsidRPr="005E2851">
        <w:rPr>
          <w:color w:val="auto"/>
        </w:rPr>
        <w:t xml:space="preserve">Procedure type: Type </w:t>
      </w:r>
      <w:r w:rsidR="000B2221" w:rsidRPr="005E2851">
        <w:rPr>
          <w:color w:val="auto"/>
        </w:rPr>
        <w:t>C</w:t>
      </w:r>
    </w:p>
    <w:p w14:paraId="42BD5171" w14:textId="77777777" w:rsidR="00064168" w:rsidRDefault="00064168" w:rsidP="00064168">
      <w:pPr>
        <w:pStyle w:val="Heading2"/>
      </w:pPr>
      <w:r>
        <w:t>Why are the changes being made?</w:t>
      </w:r>
    </w:p>
    <w:p w14:paraId="2A95A98D" w14:textId="7952D595" w:rsidR="00D90CF2" w:rsidRDefault="00CA35D8" w:rsidP="00064168">
      <w:pPr>
        <w:rPr>
          <w:szCs w:val="22"/>
        </w:rPr>
      </w:pPr>
      <w:r>
        <w:rPr>
          <w:szCs w:val="22"/>
        </w:rPr>
        <w:t xml:space="preserve">The changes allow </w:t>
      </w:r>
      <w:r w:rsidR="009824B1">
        <w:rPr>
          <w:szCs w:val="22"/>
        </w:rPr>
        <w:t xml:space="preserve">equitable access to carrier testing for a </w:t>
      </w:r>
      <w:proofErr w:type="gramStart"/>
      <w:r w:rsidR="009824B1">
        <w:rPr>
          <w:szCs w:val="22"/>
        </w:rPr>
        <w:t>high risk</w:t>
      </w:r>
      <w:proofErr w:type="gramEnd"/>
      <w:r w:rsidR="009824B1">
        <w:rPr>
          <w:szCs w:val="22"/>
        </w:rPr>
        <w:t xml:space="preserve"> group</w:t>
      </w:r>
      <w:r>
        <w:rPr>
          <w:szCs w:val="22"/>
        </w:rPr>
        <w:t>.</w:t>
      </w:r>
      <w:r w:rsidR="00617A19">
        <w:rPr>
          <w:szCs w:val="22"/>
        </w:rPr>
        <w:t xml:space="preserve"> Previously</w:t>
      </w:r>
      <w:r w:rsidR="00184B7B" w:rsidRPr="00184B7B">
        <w:rPr>
          <w:szCs w:val="22"/>
        </w:rPr>
        <w:t xml:space="preserve">, carrier testing in the Ashkenazi Jewish population </w:t>
      </w:r>
      <w:r w:rsidR="00617A19">
        <w:rPr>
          <w:szCs w:val="22"/>
        </w:rPr>
        <w:t>was</w:t>
      </w:r>
      <w:r w:rsidR="00184B7B" w:rsidRPr="00184B7B">
        <w:rPr>
          <w:szCs w:val="22"/>
        </w:rPr>
        <w:t xml:space="preserve"> undertaken on a user-pays basis or through small-scale programs funded by private organisations</w:t>
      </w:r>
      <w:r w:rsidR="0005551F">
        <w:rPr>
          <w:szCs w:val="22"/>
        </w:rPr>
        <w:t xml:space="preserve">, </w:t>
      </w:r>
      <w:r w:rsidR="00617A19">
        <w:rPr>
          <w:szCs w:val="22"/>
        </w:rPr>
        <w:t>which was not</w:t>
      </w:r>
      <w:r w:rsidR="0005551F">
        <w:rPr>
          <w:szCs w:val="22"/>
        </w:rPr>
        <w:t xml:space="preserve"> accessible to all</w:t>
      </w:r>
      <w:r w:rsidR="00617A19">
        <w:rPr>
          <w:szCs w:val="22"/>
        </w:rPr>
        <w:t xml:space="preserve"> eligible patients</w:t>
      </w:r>
      <w:r w:rsidR="00184B7B" w:rsidRPr="00184B7B">
        <w:rPr>
          <w:szCs w:val="22"/>
        </w:rPr>
        <w:t xml:space="preserve">. </w:t>
      </w:r>
    </w:p>
    <w:p w14:paraId="144C3AE2" w14:textId="74C95EB0" w:rsidR="00064168" w:rsidRPr="00867595" w:rsidRDefault="00064168" w:rsidP="00064168">
      <w:pPr>
        <w:rPr>
          <w:szCs w:val="22"/>
        </w:rPr>
      </w:pPr>
      <w:bookmarkStart w:id="3" w:name="_Hlk535386664"/>
      <w:r w:rsidRPr="00867595">
        <w:rPr>
          <w:szCs w:val="22"/>
        </w:rPr>
        <w:t>The listing of this service was recommended by the Medical Services Advisory Committee (MSAC) in</w:t>
      </w:r>
      <w:r w:rsidR="00941C05">
        <w:rPr>
          <w:szCs w:val="22"/>
        </w:rPr>
        <w:t xml:space="preserve"> July 2022 </w:t>
      </w:r>
      <w:r w:rsidR="00D90CF2">
        <w:rPr>
          <w:szCs w:val="22"/>
        </w:rPr>
        <w:t xml:space="preserve">under </w:t>
      </w:r>
      <w:hyperlink r:id="rId8" w:history="1">
        <w:r w:rsidR="00D90CF2">
          <w:rPr>
            <w:rStyle w:val="Hyperlink"/>
            <w:szCs w:val="22"/>
          </w:rPr>
          <w:t xml:space="preserve">application </w:t>
        </w:r>
        <w:r w:rsidR="00D90CF2" w:rsidRPr="00D90CF2">
          <w:rPr>
            <w:rStyle w:val="Hyperlink"/>
            <w:szCs w:val="22"/>
          </w:rPr>
          <w:t xml:space="preserve">1671 – Targeted carrier testing for severe monogenic </w:t>
        </w:r>
        <w:r w:rsidR="00D90CF2" w:rsidRPr="00D90CF2">
          <w:rPr>
            <w:rStyle w:val="Hyperlink"/>
            <w:szCs w:val="22"/>
          </w:rPr>
          <w:lastRenderedPageBreak/>
          <w:t>conditions</w:t>
        </w:r>
      </w:hyperlink>
      <w:r w:rsidRPr="00867595">
        <w:rPr>
          <w:szCs w:val="22"/>
        </w:rPr>
        <w:t xml:space="preserve">. Further details about MSAC applications can be found under </w:t>
      </w:r>
      <w:hyperlink r:id="rId9" w:history="1">
        <w:r w:rsidRPr="00867595">
          <w:rPr>
            <w:rStyle w:val="Hyperlink"/>
            <w:szCs w:val="22"/>
          </w:rPr>
          <w:t>MSAC Applications</w:t>
        </w:r>
      </w:hyperlink>
      <w:r w:rsidRPr="00867595">
        <w:rPr>
          <w:szCs w:val="22"/>
        </w:rPr>
        <w:t xml:space="preserve"> on the MSAC website (</w:t>
      </w:r>
      <w:hyperlink r:id="rId10" w:history="1">
        <w:r w:rsidRPr="00867595">
          <w:rPr>
            <w:rStyle w:val="Hyperlink"/>
            <w:szCs w:val="22"/>
          </w:rPr>
          <w:t>Medical Services Advisory Committee</w:t>
        </w:r>
      </w:hyperlink>
      <w:r w:rsidRPr="00867595">
        <w:rPr>
          <w:szCs w:val="22"/>
        </w:rPr>
        <w:t>).</w:t>
      </w:r>
      <w:r w:rsidR="00B724E1" w:rsidRPr="00B724E1">
        <w:rPr>
          <w:szCs w:val="22"/>
        </w:rPr>
        <w:t xml:space="preserve"> </w:t>
      </w:r>
      <w:r w:rsidR="00B724E1" w:rsidRPr="00184B7B">
        <w:rPr>
          <w:szCs w:val="22"/>
        </w:rPr>
        <w:t>MS</w:t>
      </w:r>
      <w:r w:rsidR="00B724E1">
        <w:rPr>
          <w:szCs w:val="22"/>
        </w:rPr>
        <w:t xml:space="preserve">AC </w:t>
      </w:r>
      <w:r w:rsidR="00B724E1" w:rsidRPr="00184B7B">
        <w:rPr>
          <w:szCs w:val="22"/>
        </w:rPr>
        <w:t>noted the high community demand in the Ashkenazi Jewish population to access such testing given the known severity of the conditions.</w:t>
      </w:r>
    </w:p>
    <w:bookmarkEnd w:id="3"/>
    <w:p w14:paraId="4B2559AC" w14:textId="59C7A33F" w:rsidR="00064168" w:rsidRDefault="00064168" w:rsidP="00064168">
      <w:pPr>
        <w:pStyle w:val="Heading2"/>
      </w:pPr>
      <w:r>
        <w:t xml:space="preserve">What does this mean for </w:t>
      </w:r>
      <w:r w:rsidR="005F1479">
        <w:t>requestors and providers</w:t>
      </w:r>
      <w:r>
        <w:t>?</w:t>
      </w:r>
    </w:p>
    <w:p w14:paraId="72EDF1F3" w14:textId="79D8A18C" w:rsidR="00064168" w:rsidRDefault="009D6289" w:rsidP="00064168">
      <w:pPr>
        <w:rPr>
          <w:szCs w:val="22"/>
        </w:rPr>
      </w:pPr>
      <w:r>
        <w:rPr>
          <w:szCs w:val="22"/>
        </w:rPr>
        <w:t xml:space="preserve">Treating practitioners </w:t>
      </w:r>
      <w:r w:rsidR="00831D1F">
        <w:rPr>
          <w:szCs w:val="22"/>
        </w:rPr>
        <w:t>are</w:t>
      </w:r>
      <w:r w:rsidR="001D0DBE">
        <w:rPr>
          <w:szCs w:val="22"/>
        </w:rPr>
        <w:t xml:space="preserve"> now </w:t>
      </w:r>
      <w:r>
        <w:rPr>
          <w:szCs w:val="22"/>
        </w:rPr>
        <w:t>able to request carrier testing for p</w:t>
      </w:r>
      <w:r w:rsidR="005F1479" w:rsidRPr="005F1479">
        <w:rPr>
          <w:szCs w:val="22"/>
        </w:rPr>
        <w:t xml:space="preserve">atients </w:t>
      </w:r>
      <w:r>
        <w:rPr>
          <w:szCs w:val="22"/>
        </w:rPr>
        <w:t xml:space="preserve">of </w:t>
      </w:r>
      <w:r w:rsidRPr="00184B7B">
        <w:rPr>
          <w:szCs w:val="22"/>
        </w:rPr>
        <w:t xml:space="preserve">Ashkenazi Jewish </w:t>
      </w:r>
      <w:r>
        <w:rPr>
          <w:szCs w:val="22"/>
        </w:rPr>
        <w:t>decent</w:t>
      </w:r>
      <w:r w:rsidR="005F1479" w:rsidRPr="005F1479">
        <w:rPr>
          <w:szCs w:val="22"/>
        </w:rPr>
        <w:t xml:space="preserve"> </w:t>
      </w:r>
      <w:r w:rsidR="005F1479">
        <w:rPr>
          <w:szCs w:val="22"/>
        </w:rPr>
        <w:t xml:space="preserve">and </w:t>
      </w:r>
      <w:r>
        <w:rPr>
          <w:szCs w:val="22"/>
        </w:rPr>
        <w:t xml:space="preserve">their </w:t>
      </w:r>
      <w:r w:rsidR="005F1479">
        <w:rPr>
          <w:szCs w:val="22"/>
        </w:rPr>
        <w:t xml:space="preserve">reproductive partners </w:t>
      </w:r>
      <w:r w:rsidR="005F1479" w:rsidRPr="005F1479">
        <w:rPr>
          <w:szCs w:val="22"/>
        </w:rPr>
        <w:t>to determine the</w:t>
      </w:r>
      <w:r w:rsidR="00FF73CA">
        <w:rPr>
          <w:szCs w:val="22"/>
        </w:rPr>
        <w:t xml:space="preserve"> </w:t>
      </w:r>
      <w:r w:rsidR="005F1479" w:rsidRPr="005F1479">
        <w:rPr>
          <w:szCs w:val="22"/>
        </w:rPr>
        <w:t>risk of having an affected child</w:t>
      </w:r>
      <w:r w:rsidR="005F1479">
        <w:rPr>
          <w:szCs w:val="22"/>
        </w:rPr>
        <w:t>.</w:t>
      </w:r>
      <w:r>
        <w:rPr>
          <w:szCs w:val="22"/>
        </w:rPr>
        <w:t xml:space="preserve"> </w:t>
      </w:r>
      <w:r w:rsidR="005F1479">
        <w:rPr>
          <w:szCs w:val="22"/>
        </w:rPr>
        <w:t xml:space="preserve"> </w:t>
      </w:r>
    </w:p>
    <w:p w14:paraId="75855C95" w14:textId="3C01BE48" w:rsidR="005F1479" w:rsidRPr="00BD6829" w:rsidRDefault="005F1479" w:rsidP="00064168">
      <w:pPr>
        <w:rPr>
          <w:rStyle w:val="Hyperlink"/>
          <w:szCs w:val="22"/>
        </w:rPr>
      </w:pPr>
      <w:r w:rsidRPr="005F1479">
        <w:rPr>
          <w:szCs w:val="22"/>
        </w:rPr>
        <w:t>To be eligible for Medicare benefits, laboratories providing this service must be accredited according to the pathology accreditation standards specified in the</w:t>
      </w:r>
      <w:r w:rsidRPr="005F1479">
        <w:rPr>
          <w:i/>
          <w:iCs/>
          <w:szCs w:val="22"/>
        </w:rPr>
        <w:t xml:space="preserve"> </w:t>
      </w:r>
      <w:r w:rsidR="00BD6829">
        <w:rPr>
          <w:i/>
          <w:iCs/>
        </w:rPr>
        <w:fldChar w:fldCharType="begin"/>
      </w:r>
      <w:r w:rsidR="00BD6829">
        <w:rPr>
          <w:i/>
          <w:iCs/>
        </w:rPr>
        <w:instrText xml:space="preserve"> HYPERLINK "https://www.legislation.gov.au/Series/F2017L01291" </w:instrText>
      </w:r>
      <w:r w:rsidR="00BD6829">
        <w:rPr>
          <w:i/>
          <w:iCs/>
        </w:rPr>
      </w:r>
      <w:r w:rsidR="00BD6829">
        <w:rPr>
          <w:i/>
          <w:iCs/>
        </w:rPr>
        <w:fldChar w:fldCharType="separate"/>
      </w:r>
      <w:r w:rsidR="008036CE" w:rsidRPr="00BD6829">
        <w:rPr>
          <w:rStyle w:val="Hyperlink"/>
          <w:i/>
          <w:iCs/>
        </w:rPr>
        <w:t>Health Insurance (Accredited Pathology Laboratories—Approval) Principles 2017</w:t>
      </w:r>
      <w:r w:rsidRPr="00BD6829">
        <w:rPr>
          <w:rStyle w:val="Hyperlink"/>
          <w:szCs w:val="22"/>
        </w:rPr>
        <w:t>.</w:t>
      </w:r>
    </w:p>
    <w:p w14:paraId="122E8AC0" w14:textId="4BED9E51" w:rsidR="00064168" w:rsidRPr="001C2E12" w:rsidRDefault="00BD6829" w:rsidP="001C2E12">
      <w:pPr>
        <w:pStyle w:val="Heading2"/>
      </w:pPr>
      <w:r>
        <w:rPr>
          <w:rFonts w:cs="Times New Roman"/>
          <w:b w:val="0"/>
          <w:bCs w:val="0"/>
          <w:i/>
          <w:color w:val="000000" w:themeColor="text1"/>
          <w:sz w:val="22"/>
          <w:szCs w:val="24"/>
        </w:rPr>
        <w:fldChar w:fldCharType="end"/>
      </w:r>
      <w:r w:rsidR="00064168">
        <w:t>How will these changes affect patients</w:t>
      </w:r>
      <w:r w:rsidR="00064168" w:rsidRPr="001A7FB7">
        <w:t>?</w:t>
      </w:r>
    </w:p>
    <w:p w14:paraId="0997C115" w14:textId="06BA71C6" w:rsidR="00064168" w:rsidRPr="00173710" w:rsidRDefault="00064168" w:rsidP="00064168">
      <w:pPr>
        <w:pStyle w:val="CommentText"/>
        <w:rPr>
          <w:sz w:val="22"/>
          <w:szCs w:val="22"/>
        </w:rPr>
      </w:pPr>
      <w:r w:rsidRPr="00173710">
        <w:rPr>
          <w:sz w:val="22"/>
          <w:szCs w:val="22"/>
        </w:rPr>
        <w:t xml:space="preserve">The changes provide greater access </w:t>
      </w:r>
      <w:r w:rsidR="001C2E12" w:rsidRPr="00173710">
        <w:rPr>
          <w:sz w:val="22"/>
          <w:szCs w:val="22"/>
        </w:rPr>
        <w:t>to testing</w:t>
      </w:r>
      <w:r w:rsidR="00C17274" w:rsidRPr="00173710">
        <w:rPr>
          <w:sz w:val="22"/>
          <w:szCs w:val="22"/>
        </w:rPr>
        <w:t xml:space="preserve"> for </w:t>
      </w:r>
      <w:r w:rsidR="001C2E12" w:rsidRPr="00173710">
        <w:rPr>
          <w:sz w:val="22"/>
          <w:szCs w:val="24"/>
        </w:rPr>
        <w:t xml:space="preserve">patients of Ashkenazi Jewish decent </w:t>
      </w:r>
      <w:r w:rsidR="00FF7B01" w:rsidRPr="00173710">
        <w:rPr>
          <w:sz w:val="22"/>
          <w:szCs w:val="24"/>
        </w:rPr>
        <w:t xml:space="preserve">(and their reproductive partners) </w:t>
      </w:r>
      <w:r w:rsidR="00C17274" w:rsidRPr="00173710">
        <w:rPr>
          <w:sz w:val="22"/>
          <w:szCs w:val="24"/>
        </w:rPr>
        <w:t>who are planning families</w:t>
      </w:r>
      <w:r w:rsidR="00CA35D8" w:rsidRPr="00173710">
        <w:rPr>
          <w:sz w:val="22"/>
          <w:szCs w:val="24"/>
        </w:rPr>
        <w:t>,</w:t>
      </w:r>
      <w:r w:rsidR="00BF3AC3" w:rsidRPr="00173710">
        <w:rPr>
          <w:sz w:val="22"/>
          <w:szCs w:val="24"/>
        </w:rPr>
        <w:t xml:space="preserve"> leading to </w:t>
      </w:r>
      <w:r w:rsidR="00C01A3A" w:rsidRPr="00173710">
        <w:rPr>
          <w:sz w:val="22"/>
          <w:szCs w:val="24"/>
        </w:rPr>
        <w:t xml:space="preserve">more informed </w:t>
      </w:r>
      <w:r w:rsidR="00BF3AC3" w:rsidRPr="00173710">
        <w:rPr>
          <w:sz w:val="22"/>
          <w:szCs w:val="24"/>
        </w:rPr>
        <w:t>reproductive</w:t>
      </w:r>
      <w:r w:rsidR="00AF6AE6">
        <w:rPr>
          <w:sz w:val="22"/>
          <w:szCs w:val="24"/>
        </w:rPr>
        <w:t>-</w:t>
      </w:r>
      <w:r w:rsidR="00BF3AC3" w:rsidRPr="00173710">
        <w:rPr>
          <w:sz w:val="22"/>
          <w:szCs w:val="24"/>
        </w:rPr>
        <w:t xml:space="preserve">decision making. </w:t>
      </w:r>
    </w:p>
    <w:p w14:paraId="5BD9BE80" w14:textId="77777777" w:rsidR="00064168" w:rsidRDefault="00064168" w:rsidP="00064168">
      <w:pPr>
        <w:pStyle w:val="Heading2"/>
      </w:pPr>
      <w:r w:rsidRPr="001A7FB7">
        <w:t>Who was consulted on the changes?</w:t>
      </w:r>
    </w:p>
    <w:p w14:paraId="2D96523F" w14:textId="391C3F92" w:rsidR="00064168" w:rsidRPr="00867595" w:rsidRDefault="00AF2192" w:rsidP="00AF2192">
      <w:pPr>
        <w:rPr>
          <w:szCs w:val="22"/>
        </w:rPr>
      </w:pPr>
      <w:r>
        <w:rPr>
          <w:szCs w:val="22"/>
        </w:rPr>
        <w:t>Consultation was undertaken with the Royal College of Pathologists</w:t>
      </w:r>
      <w:r w:rsidR="007128A8">
        <w:rPr>
          <w:szCs w:val="22"/>
        </w:rPr>
        <w:t xml:space="preserve"> of</w:t>
      </w:r>
      <w:r>
        <w:rPr>
          <w:szCs w:val="22"/>
        </w:rPr>
        <w:t xml:space="preserve"> Australasia, the </w:t>
      </w:r>
      <w:r w:rsidRPr="00AF2192">
        <w:rPr>
          <w:szCs w:val="22"/>
        </w:rPr>
        <w:t>Victorian Clinical Genetics Service</w:t>
      </w:r>
      <w:r>
        <w:rPr>
          <w:szCs w:val="22"/>
        </w:rPr>
        <w:t xml:space="preserve">, </w:t>
      </w:r>
      <w:r w:rsidRPr="00AF2192">
        <w:rPr>
          <w:szCs w:val="22"/>
        </w:rPr>
        <w:t>Private Pathology Australia, Australian Genomics Health Alliance, Australian Pathology, Human Genetics Society of Australasia, Royal Australian College of General Practitioners</w:t>
      </w:r>
      <w:r w:rsidR="00C47F41">
        <w:rPr>
          <w:szCs w:val="22"/>
        </w:rPr>
        <w:t xml:space="preserve">, </w:t>
      </w:r>
      <w:r w:rsidRPr="00AF2192">
        <w:rPr>
          <w:szCs w:val="22"/>
        </w:rPr>
        <w:t>S</w:t>
      </w:r>
      <w:r>
        <w:rPr>
          <w:szCs w:val="22"/>
        </w:rPr>
        <w:t xml:space="preserve">pinal </w:t>
      </w:r>
      <w:r w:rsidRPr="00AF2192">
        <w:rPr>
          <w:szCs w:val="22"/>
        </w:rPr>
        <w:t>M</w:t>
      </w:r>
      <w:r>
        <w:rPr>
          <w:szCs w:val="22"/>
        </w:rPr>
        <w:t xml:space="preserve">uscular </w:t>
      </w:r>
      <w:r w:rsidRPr="00AF2192">
        <w:rPr>
          <w:szCs w:val="22"/>
        </w:rPr>
        <w:t>A</w:t>
      </w:r>
      <w:r>
        <w:rPr>
          <w:szCs w:val="22"/>
        </w:rPr>
        <w:t>trophy</w:t>
      </w:r>
      <w:r w:rsidRPr="00AF2192">
        <w:rPr>
          <w:szCs w:val="22"/>
        </w:rPr>
        <w:t xml:space="preserve"> Australia</w:t>
      </w:r>
      <w:r>
        <w:rPr>
          <w:szCs w:val="22"/>
        </w:rPr>
        <w:t xml:space="preserve"> (SMA Australia)</w:t>
      </w:r>
      <w:r w:rsidR="00C47F41">
        <w:rPr>
          <w:szCs w:val="22"/>
        </w:rPr>
        <w:t xml:space="preserve"> and one individual. </w:t>
      </w:r>
    </w:p>
    <w:p w14:paraId="32E82B19" w14:textId="77777777" w:rsidR="00064168" w:rsidRDefault="00064168" w:rsidP="00064168">
      <w:pPr>
        <w:pStyle w:val="Heading2"/>
      </w:pPr>
      <w:r w:rsidRPr="001A7FB7">
        <w:t>How will the changes be monitored</w:t>
      </w:r>
      <w:r>
        <w:t xml:space="preserve"> and reviewed</w:t>
      </w:r>
      <w:r w:rsidRPr="001A7FB7">
        <w:t>?</w:t>
      </w:r>
    </w:p>
    <w:p w14:paraId="3C524D15" w14:textId="55B5B976" w:rsidR="00064168" w:rsidRDefault="0084109B" w:rsidP="0084109B">
      <w:r w:rsidRPr="0084109B">
        <w:t>All MBS items are subject to compliance processes and activities, including random and targeted audits which may require a provider to submit evidence about the services claimed.</w:t>
      </w:r>
    </w:p>
    <w:p w14:paraId="3C63E237" w14:textId="77777777" w:rsidR="00064168" w:rsidRDefault="00064168" w:rsidP="00064168">
      <w:pPr>
        <w:pStyle w:val="Heading2"/>
      </w:pPr>
      <w:r>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11"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2"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3"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4" w:history="1">
        <w:r>
          <w:rPr>
            <w:rStyle w:val="Hyperlink"/>
          </w:rPr>
          <w:t>www.privatehealth.gov.au</w:t>
        </w:r>
      </w:hyperlink>
      <w:r>
        <w:t xml:space="preserve">. Detailed information on the MBS item listing within clinical categories is available on the </w:t>
      </w:r>
      <w:hyperlink r:id="rId15" w:history="1">
        <w:r>
          <w:rPr>
            <w:rStyle w:val="Hyperlink"/>
          </w:rPr>
          <w:t>Department’s website</w:t>
        </w:r>
      </w:hyperlink>
      <w:r>
        <w:t xml:space="preserve">. Private health insurance minimum accommodation benefits information, including MBS item accommodation classification, is </w:t>
      </w:r>
      <w:r>
        <w:lastRenderedPageBreak/>
        <w:t xml:space="preserve">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6"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7"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8"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4" w:name="_Hlk7773414"/>
      <w:r w:rsidRPr="00867595">
        <w:rPr>
          <w:szCs w:val="22"/>
        </w:rPr>
        <w:t xml:space="preserve">go to the Health Professionals page on the Services Australia website or </w:t>
      </w:r>
      <w:bookmarkEnd w:id="4"/>
      <w:r w:rsidRPr="00867595">
        <w:rPr>
          <w:szCs w:val="22"/>
        </w:rPr>
        <w:t xml:space="preserve">contact the Services Australia on the Provider Enquiry Line – 13 21 50. </w:t>
      </w:r>
    </w:p>
    <w:p w14:paraId="0B4D7CE4" w14:textId="77777777" w:rsidR="00064168" w:rsidRDefault="00064168" w:rsidP="00064168">
      <w:pPr>
        <w:rPr>
          <w:szCs w:val="22"/>
        </w:rPr>
      </w:pPr>
      <w:r w:rsidRPr="00867595">
        <w:rPr>
          <w:szCs w:val="22"/>
        </w:rPr>
        <w:t xml:space="preserve">The data file for software vendors when available can be accessed via the </w:t>
      </w:r>
      <w:hyperlink r:id="rId19" w:history="1">
        <w:r w:rsidRPr="00867595">
          <w:rPr>
            <w:rStyle w:val="Hyperlink"/>
            <w:szCs w:val="22"/>
          </w:rPr>
          <w:t>Downloads</w:t>
        </w:r>
      </w:hyperlink>
      <w:r w:rsidRPr="00867595">
        <w:rPr>
          <w:szCs w:val="22"/>
        </w:rPr>
        <w:t xml:space="preserve"> page.</w:t>
      </w:r>
    </w:p>
    <w:p w14:paraId="022D0AE8" w14:textId="77777777" w:rsidR="00D06FE1" w:rsidRDefault="00D06FE1" w:rsidP="00064168">
      <w:pPr>
        <w:rPr>
          <w:szCs w:val="22"/>
        </w:rPr>
      </w:pPr>
    </w:p>
    <w:p w14:paraId="75439CF4" w14:textId="77777777" w:rsidR="00D06FE1" w:rsidRDefault="00D06FE1" w:rsidP="00064168">
      <w:pPr>
        <w:rPr>
          <w:szCs w:val="22"/>
        </w:rPr>
      </w:pPr>
    </w:p>
    <w:p w14:paraId="38CA110A" w14:textId="77777777" w:rsidR="00D06FE1" w:rsidRDefault="00D06FE1" w:rsidP="00064168">
      <w:pPr>
        <w:rPr>
          <w:szCs w:val="22"/>
        </w:rPr>
      </w:pPr>
    </w:p>
    <w:p w14:paraId="04C8413F" w14:textId="77777777" w:rsidR="00D06FE1" w:rsidRDefault="00D06FE1" w:rsidP="00064168">
      <w:pPr>
        <w:rPr>
          <w:szCs w:val="22"/>
        </w:rPr>
      </w:pPr>
    </w:p>
    <w:p w14:paraId="51CA5492" w14:textId="77777777" w:rsidR="00D06FE1" w:rsidRDefault="00D06FE1" w:rsidP="00064168">
      <w:pPr>
        <w:rPr>
          <w:szCs w:val="22"/>
        </w:rPr>
      </w:pPr>
    </w:p>
    <w:p w14:paraId="645617BE" w14:textId="77777777" w:rsidR="00D06FE1" w:rsidRDefault="00D06FE1" w:rsidP="00064168">
      <w:pPr>
        <w:rPr>
          <w:szCs w:val="22"/>
        </w:rPr>
      </w:pPr>
    </w:p>
    <w:p w14:paraId="1CD5931A" w14:textId="77777777" w:rsidR="00D06FE1" w:rsidRDefault="00D06FE1" w:rsidP="00064168">
      <w:pPr>
        <w:rPr>
          <w:szCs w:val="22"/>
        </w:rPr>
      </w:pPr>
    </w:p>
    <w:p w14:paraId="69CA3B2F" w14:textId="77777777" w:rsidR="00D06FE1" w:rsidRDefault="00D06FE1" w:rsidP="00064168">
      <w:pPr>
        <w:rPr>
          <w:szCs w:val="22"/>
        </w:rPr>
      </w:pPr>
    </w:p>
    <w:p w14:paraId="484861CA" w14:textId="77777777" w:rsidR="00D06FE1" w:rsidRDefault="00D06FE1" w:rsidP="00064168">
      <w:pPr>
        <w:rPr>
          <w:szCs w:val="22"/>
        </w:rPr>
      </w:pPr>
    </w:p>
    <w:p w14:paraId="724BCB89" w14:textId="77777777" w:rsidR="00D06FE1" w:rsidRDefault="00D06FE1" w:rsidP="00064168">
      <w:pPr>
        <w:rPr>
          <w:szCs w:val="22"/>
        </w:rPr>
      </w:pPr>
    </w:p>
    <w:p w14:paraId="17FC6DEF" w14:textId="77777777" w:rsidR="00D06FE1" w:rsidRDefault="00D06FE1" w:rsidP="00064168">
      <w:pPr>
        <w:rPr>
          <w:szCs w:val="22"/>
        </w:rPr>
      </w:pPr>
    </w:p>
    <w:p w14:paraId="34E979E9" w14:textId="77777777" w:rsidR="00D06FE1" w:rsidRDefault="00D06FE1" w:rsidP="00064168">
      <w:pPr>
        <w:rPr>
          <w:szCs w:val="22"/>
        </w:rPr>
      </w:pPr>
    </w:p>
    <w:p w14:paraId="43A0F6EF" w14:textId="77777777" w:rsidR="00D06FE1" w:rsidRDefault="00D06FE1" w:rsidP="00064168">
      <w:pPr>
        <w:rPr>
          <w:szCs w:val="22"/>
        </w:rPr>
      </w:pPr>
    </w:p>
    <w:p w14:paraId="2E263265" w14:textId="77777777" w:rsidR="00D06FE1" w:rsidRDefault="00D06FE1" w:rsidP="00064168">
      <w:pPr>
        <w:rPr>
          <w:szCs w:val="22"/>
        </w:rPr>
      </w:pPr>
    </w:p>
    <w:p w14:paraId="5958B88B" w14:textId="77777777" w:rsidR="00D06FE1" w:rsidRDefault="00D06FE1" w:rsidP="00064168">
      <w:pPr>
        <w:rPr>
          <w:szCs w:val="22"/>
        </w:rPr>
      </w:pPr>
    </w:p>
    <w:p w14:paraId="6414E9A3" w14:textId="77777777" w:rsidR="00D06FE1" w:rsidRDefault="00D06FE1" w:rsidP="00064168">
      <w:pPr>
        <w:rPr>
          <w:szCs w:val="22"/>
        </w:rPr>
      </w:pPr>
    </w:p>
    <w:p w14:paraId="5EE0C0BC" w14:textId="77777777" w:rsidR="00D06FE1" w:rsidRDefault="00D06FE1" w:rsidP="00064168">
      <w:pPr>
        <w:rPr>
          <w:szCs w:val="22"/>
        </w:rPr>
      </w:pPr>
    </w:p>
    <w:p w14:paraId="3E69E37D" w14:textId="77777777" w:rsidR="00D06FE1" w:rsidRDefault="00D06FE1" w:rsidP="00064168">
      <w:pPr>
        <w:rPr>
          <w:szCs w:val="22"/>
        </w:rPr>
      </w:pPr>
    </w:p>
    <w:p w14:paraId="2B49D418" w14:textId="77777777" w:rsidR="00D06FE1" w:rsidRPr="00867595" w:rsidRDefault="00D06FE1" w:rsidP="00064168">
      <w:pPr>
        <w:rPr>
          <w:szCs w:val="22"/>
        </w:rPr>
      </w:pPr>
    </w:p>
    <w:p w14:paraId="6C38C2E1" w14:textId="77777777" w:rsidR="00470F16" w:rsidRDefault="00D06FE1" w:rsidP="00BE3ED5">
      <w:pPr>
        <w:pStyle w:val="Heading2"/>
      </w:pPr>
      <w:r>
        <w:lastRenderedPageBreak/>
        <w:t xml:space="preserve">Attachment A: </w:t>
      </w:r>
    </w:p>
    <w:p w14:paraId="6D6EB19D" w14:textId="389CA37D" w:rsidR="00BE3ED5" w:rsidRDefault="007128A8" w:rsidP="00BE3ED5">
      <w:pPr>
        <w:pStyle w:val="Heading2"/>
      </w:pPr>
      <w:r>
        <w:t>New</w:t>
      </w:r>
      <w:r w:rsidRPr="007A32E7">
        <w:t xml:space="preserve"> </w:t>
      </w:r>
      <w:r w:rsidR="00BE3ED5" w:rsidRPr="007A32E7">
        <w:t>item descriptors (</w:t>
      </w:r>
      <w:r w:rsidR="00C1559F">
        <w:t>commenced</w:t>
      </w:r>
      <w:r w:rsidR="00C15FBD">
        <w:t xml:space="preserve"> </w:t>
      </w:r>
      <w:r w:rsidR="00232622">
        <w:t>1</w:t>
      </w:r>
      <w:r w:rsidR="00BE3ED5" w:rsidRPr="007A32E7">
        <w:t xml:space="preserve"> </w:t>
      </w:r>
      <w:r w:rsidR="00232622">
        <w:t>November</w:t>
      </w:r>
      <w:r w:rsidR="00BE3ED5" w:rsidRPr="007A32E7">
        <w:t xml:space="preserve"> 20</w:t>
      </w:r>
      <w:r w:rsidR="00232622">
        <w:t>23</w:t>
      </w:r>
      <w:r w:rsidR="00BE3ED5" w:rsidRPr="007A32E7">
        <w:t>)</w:t>
      </w:r>
    </w:p>
    <w:tbl>
      <w:tblPr>
        <w:tblStyle w:val="GridTable4-Accent2"/>
        <w:tblW w:w="0" w:type="auto"/>
        <w:tblLook w:val="04A0" w:firstRow="1" w:lastRow="0" w:firstColumn="1" w:lastColumn="0" w:noHBand="0" w:noVBand="1"/>
      </w:tblPr>
      <w:tblGrid>
        <w:gridCol w:w="9060"/>
      </w:tblGrid>
      <w:tr w:rsidR="00BE3ED5" w14:paraId="148B360C" w14:textId="77777777" w:rsidTr="000F29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0DD66F68" w:rsidR="00BE3ED5" w:rsidRDefault="008437CA" w:rsidP="000F29A4">
            <w:pPr>
              <w:rPr>
                <w:b w:val="0"/>
                <w:bCs w:val="0"/>
                <w:lang w:eastAsia="en-AU"/>
              </w:rPr>
            </w:pPr>
            <w:bookmarkStart w:id="5" w:name="_Hlk118987208"/>
            <w:r>
              <w:rPr>
                <w:lang w:eastAsia="en-AU"/>
              </w:rPr>
              <w:t>Category</w:t>
            </w:r>
            <w:r w:rsidR="00B939BD">
              <w:rPr>
                <w:lang w:eastAsia="en-AU"/>
              </w:rPr>
              <w:t xml:space="preserve"> 6 pathology Services</w:t>
            </w:r>
          </w:p>
        </w:tc>
      </w:tr>
      <w:tr w:rsidR="00BE3ED5" w14:paraId="4C44E092" w14:textId="77777777" w:rsidTr="000F2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3AA602ED" w:rsidR="00BE3ED5" w:rsidRDefault="008437CA" w:rsidP="000F29A4">
            <w:pPr>
              <w:rPr>
                <w:b w:val="0"/>
                <w:bCs w:val="0"/>
                <w:lang w:eastAsia="en-AU"/>
              </w:rPr>
            </w:pPr>
            <w:r>
              <w:rPr>
                <w:lang w:eastAsia="en-AU"/>
              </w:rPr>
              <w:t>Group</w:t>
            </w:r>
            <w:r w:rsidR="00184A31">
              <w:rPr>
                <w:lang w:eastAsia="en-AU"/>
              </w:rPr>
              <w:t xml:space="preserve"> P2 - Genetics</w:t>
            </w:r>
          </w:p>
        </w:tc>
      </w:tr>
      <w:tr w:rsidR="00642F20" w14:paraId="25FF7AAD" w14:textId="77777777" w:rsidTr="005E0409">
        <w:tc>
          <w:tcPr>
            <w:cnfStyle w:val="001000000000" w:firstRow="0" w:lastRow="0" w:firstColumn="1" w:lastColumn="0" w:oddVBand="0" w:evenVBand="0" w:oddHBand="0" w:evenHBand="0" w:firstRowFirstColumn="0" w:firstRowLastColumn="0" w:lastRowFirstColumn="0" w:lastRowLastColumn="0"/>
            <w:tcW w:w="9060" w:type="dxa"/>
            <w:hideMark/>
          </w:tcPr>
          <w:p w14:paraId="154AFDC9" w14:textId="78C0C668" w:rsidR="00343C4C" w:rsidRPr="00184A31" w:rsidRDefault="00184A31" w:rsidP="00184A31">
            <w:pPr>
              <w:rPr>
                <w:rFonts w:cs="Arial"/>
                <w:b w:val="0"/>
                <w:bCs w:val="0"/>
                <w:szCs w:val="22"/>
              </w:rPr>
            </w:pPr>
            <w:r w:rsidRPr="00184A31">
              <w:rPr>
                <w:rFonts w:cs="Arial"/>
                <w:b w:val="0"/>
                <w:bCs w:val="0"/>
                <w:szCs w:val="22"/>
                <w:lang w:eastAsia="en-AU"/>
              </w:rPr>
              <w:t>73453</w:t>
            </w:r>
          </w:p>
          <w:p w14:paraId="7E62B773" w14:textId="77777777" w:rsidR="00343C4C" w:rsidRPr="00343C4C" w:rsidRDefault="00343C4C" w:rsidP="00343C4C">
            <w:pPr>
              <w:pStyle w:val="ListBullet"/>
              <w:numPr>
                <w:ilvl w:val="0"/>
                <w:numId w:val="0"/>
              </w:numPr>
              <w:ind w:left="360" w:hanging="360"/>
              <w:rPr>
                <w:b w:val="0"/>
                <w:bCs w:val="0"/>
              </w:rPr>
            </w:pPr>
            <w:r w:rsidRPr="00343C4C">
              <w:rPr>
                <w:b w:val="0"/>
                <w:bCs w:val="0"/>
              </w:rPr>
              <w:t>Characterisation of germline pathogenic or likely pathogenic gene variants:</w:t>
            </w:r>
          </w:p>
          <w:p w14:paraId="2C24B5C8" w14:textId="77777777" w:rsidR="00343C4C" w:rsidRPr="00343C4C" w:rsidRDefault="00343C4C" w:rsidP="00343C4C">
            <w:pPr>
              <w:pStyle w:val="ListBullet"/>
              <w:numPr>
                <w:ilvl w:val="0"/>
                <w:numId w:val="0"/>
              </w:numPr>
              <w:ind w:left="360" w:hanging="360"/>
              <w:rPr>
                <w:b w:val="0"/>
                <w:bCs w:val="0"/>
              </w:rPr>
            </w:pPr>
            <w:r w:rsidRPr="00343C4C">
              <w:rPr>
                <w:b w:val="0"/>
                <w:bCs w:val="0"/>
              </w:rPr>
              <w:t xml:space="preserve">(a) in at least the following genes: </w:t>
            </w:r>
          </w:p>
          <w:p w14:paraId="175E8F01" w14:textId="77777777" w:rsidR="00343C4C" w:rsidRPr="00343C4C" w:rsidRDefault="00343C4C" w:rsidP="00343C4C">
            <w:pPr>
              <w:pStyle w:val="ListBullet"/>
              <w:numPr>
                <w:ilvl w:val="0"/>
                <w:numId w:val="0"/>
              </w:numPr>
              <w:ind w:left="360"/>
              <w:rPr>
                <w:b w:val="0"/>
                <w:bCs w:val="0"/>
              </w:rPr>
            </w:pPr>
            <w:r w:rsidRPr="00343C4C">
              <w:rPr>
                <w:b w:val="0"/>
                <w:bCs w:val="0"/>
              </w:rPr>
              <w:t>(</w:t>
            </w:r>
            <w:proofErr w:type="spellStart"/>
            <w:r w:rsidRPr="00343C4C">
              <w:rPr>
                <w:b w:val="0"/>
                <w:bCs w:val="0"/>
              </w:rPr>
              <w:t>i</w:t>
            </w:r>
            <w:proofErr w:type="spellEnd"/>
            <w:r w:rsidRPr="00343C4C">
              <w:rPr>
                <w:b w:val="0"/>
                <w:bCs w:val="0"/>
              </w:rPr>
              <w:t>) ASPA;</w:t>
            </w:r>
          </w:p>
          <w:p w14:paraId="21A0C892" w14:textId="77777777" w:rsidR="00343C4C" w:rsidRPr="00343C4C" w:rsidRDefault="00343C4C" w:rsidP="00343C4C">
            <w:pPr>
              <w:pStyle w:val="ListBullet"/>
              <w:numPr>
                <w:ilvl w:val="0"/>
                <w:numId w:val="0"/>
              </w:numPr>
              <w:ind w:left="360"/>
              <w:rPr>
                <w:b w:val="0"/>
                <w:bCs w:val="0"/>
              </w:rPr>
            </w:pPr>
            <w:r w:rsidRPr="00343C4C">
              <w:rPr>
                <w:b w:val="0"/>
                <w:bCs w:val="0"/>
              </w:rPr>
              <w:t>(ii) BLM;</w:t>
            </w:r>
          </w:p>
          <w:p w14:paraId="303B4D26" w14:textId="77777777" w:rsidR="00343C4C" w:rsidRPr="00343C4C" w:rsidRDefault="00343C4C" w:rsidP="00343C4C">
            <w:pPr>
              <w:pStyle w:val="ListBullet"/>
              <w:numPr>
                <w:ilvl w:val="0"/>
                <w:numId w:val="0"/>
              </w:numPr>
              <w:ind w:left="360"/>
              <w:rPr>
                <w:b w:val="0"/>
                <w:bCs w:val="0"/>
              </w:rPr>
            </w:pPr>
            <w:r w:rsidRPr="00343C4C">
              <w:rPr>
                <w:b w:val="0"/>
                <w:bCs w:val="0"/>
              </w:rPr>
              <w:t>(iii) CFTR;</w:t>
            </w:r>
          </w:p>
          <w:p w14:paraId="6E0B88EA" w14:textId="77777777" w:rsidR="00343C4C" w:rsidRPr="00343C4C" w:rsidRDefault="00343C4C" w:rsidP="00343C4C">
            <w:pPr>
              <w:pStyle w:val="ListBullet"/>
              <w:numPr>
                <w:ilvl w:val="0"/>
                <w:numId w:val="0"/>
              </w:numPr>
              <w:ind w:left="360"/>
              <w:rPr>
                <w:b w:val="0"/>
                <w:bCs w:val="0"/>
              </w:rPr>
            </w:pPr>
            <w:r w:rsidRPr="00343C4C">
              <w:rPr>
                <w:b w:val="0"/>
                <w:bCs w:val="0"/>
              </w:rPr>
              <w:t>(iv) ELP1;</w:t>
            </w:r>
          </w:p>
          <w:p w14:paraId="4B90583E" w14:textId="77777777" w:rsidR="00343C4C" w:rsidRPr="00343C4C" w:rsidRDefault="00343C4C" w:rsidP="00343C4C">
            <w:pPr>
              <w:pStyle w:val="ListBullet"/>
              <w:numPr>
                <w:ilvl w:val="0"/>
                <w:numId w:val="0"/>
              </w:numPr>
              <w:ind w:left="360"/>
              <w:rPr>
                <w:b w:val="0"/>
                <w:bCs w:val="0"/>
              </w:rPr>
            </w:pPr>
            <w:r w:rsidRPr="00343C4C">
              <w:rPr>
                <w:b w:val="0"/>
                <w:bCs w:val="0"/>
              </w:rPr>
              <w:t>(v) FANCA;</w:t>
            </w:r>
          </w:p>
          <w:p w14:paraId="7B961744" w14:textId="77777777" w:rsidR="00343C4C" w:rsidRPr="00343C4C" w:rsidRDefault="00343C4C" w:rsidP="00343C4C">
            <w:pPr>
              <w:pStyle w:val="ListBullet"/>
              <w:numPr>
                <w:ilvl w:val="0"/>
                <w:numId w:val="0"/>
              </w:numPr>
              <w:ind w:left="360"/>
              <w:rPr>
                <w:b w:val="0"/>
                <w:bCs w:val="0"/>
              </w:rPr>
            </w:pPr>
            <w:r w:rsidRPr="00343C4C">
              <w:rPr>
                <w:b w:val="0"/>
                <w:bCs w:val="0"/>
              </w:rPr>
              <w:t>(vi) FANCC;</w:t>
            </w:r>
          </w:p>
          <w:p w14:paraId="48077640" w14:textId="77777777" w:rsidR="00343C4C" w:rsidRPr="00343C4C" w:rsidRDefault="00343C4C" w:rsidP="00343C4C">
            <w:pPr>
              <w:pStyle w:val="ListBullet"/>
              <w:numPr>
                <w:ilvl w:val="0"/>
                <w:numId w:val="0"/>
              </w:numPr>
              <w:ind w:left="360"/>
              <w:rPr>
                <w:b w:val="0"/>
                <w:bCs w:val="0"/>
              </w:rPr>
            </w:pPr>
            <w:r w:rsidRPr="00343C4C">
              <w:rPr>
                <w:b w:val="0"/>
                <w:bCs w:val="0"/>
              </w:rPr>
              <w:t>(vii) FANCG;</w:t>
            </w:r>
          </w:p>
          <w:p w14:paraId="61505A7A" w14:textId="77777777" w:rsidR="00343C4C" w:rsidRPr="00343C4C" w:rsidRDefault="00343C4C" w:rsidP="00343C4C">
            <w:pPr>
              <w:pStyle w:val="ListBullet"/>
              <w:numPr>
                <w:ilvl w:val="0"/>
                <w:numId w:val="0"/>
              </w:numPr>
              <w:ind w:left="360"/>
              <w:rPr>
                <w:b w:val="0"/>
                <w:bCs w:val="0"/>
              </w:rPr>
            </w:pPr>
            <w:r w:rsidRPr="00343C4C">
              <w:rPr>
                <w:b w:val="0"/>
                <w:bCs w:val="0"/>
              </w:rPr>
              <w:t>(viii) FMR1;</w:t>
            </w:r>
          </w:p>
          <w:p w14:paraId="62ABE35E" w14:textId="77777777" w:rsidR="00343C4C" w:rsidRPr="00343C4C" w:rsidRDefault="00343C4C" w:rsidP="00343C4C">
            <w:pPr>
              <w:pStyle w:val="ListBullet"/>
              <w:numPr>
                <w:ilvl w:val="0"/>
                <w:numId w:val="0"/>
              </w:numPr>
              <w:ind w:left="360"/>
              <w:rPr>
                <w:b w:val="0"/>
                <w:bCs w:val="0"/>
              </w:rPr>
            </w:pPr>
            <w:r w:rsidRPr="00343C4C">
              <w:rPr>
                <w:b w:val="0"/>
                <w:bCs w:val="0"/>
              </w:rPr>
              <w:t>(ix) G6PC1;</w:t>
            </w:r>
          </w:p>
          <w:p w14:paraId="773E804F" w14:textId="77777777" w:rsidR="00343C4C" w:rsidRPr="00343C4C" w:rsidRDefault="00343C4C" w:rsidP="00343C4C">
            <w:pPr>
              <w:pStyle w:val="ListBullet"/>
              <w:numPr>
                <w:ilvl w:val="0"/>
                <w:numId w:val="0"/>
              </w:numPr>
              <w:ind w:left="360"/>
              <w:rPr>
                <w:b w:val="0"/>
                <w:bCs w:val="0"/>
              </w:rPr>
            </w:pPr>
            <w:r w:rsidRPr="00343C4C">
              <w:rPr>
                <w:b w:val="0"/>
                <w:bCs w:val="0"/>
              </w:rPr>
              <w:t>(x) GBA1;</w:t>
            </w:r>
          </w:p>
          <w:p w14:paraId="33CD5DDF" w14:textId="77777777" w:rsidR="00343C4C" w:rsidRPr="00343C4C" w:rsidRDefault="00343C4C" w:rsidP="00343C4C">
            <w:pPr>
              <w:pStyle w:val="ListBullet"/>
              <w:numPr>
                <w:ilvl w:val="0"/>
                <w:numId w:val="0"/>
              </w:numPr>
              <w:ind w:left="360"/>
              <w:rPr>
                <w:b w:val="0"/>
                <w:bCs w:val="0"/>
              </w:rPr>
            </w:pPr>
            <w:r w:rsidRPr="00343C4C">
              <w:rPr>
                <w:b w:val="0"/>
                <w:bCs w:val="0"/>
              </w:rPr>
              <w:t>(xi) HEXA;</w:t>
            </w:r>
          </w:p>
          <w:p w14:paraId="6897018F" w14:textId="77777777" w:rsidR="00343C4C" w:rsidRPr="00343C4C" w:rsidRDefault="00343C4C" w:rsidP="00343C4C">
            <w:pPr>
              <w:pStyle w:val="ListBullet"/>
              <w:numPr>
                <w:ilvl w:val="0"/>
                <w:numId w:val="0"/>
              </w:numPr>
              <w:ind w:left="360"/>
              <w:rPr>
                <w:b w:val="0"/>
                <w:bCs w:val="0"/>
              </w:rPr>
            </w:pPr>
            <w:r w:rsidRPr="00343C4C">
              <w:rPr>
                <w:b w:val="0"/>
                <w:bCs w:val="0"/>
              </w:rPr>
              <w:t>(xii) MCOLN1;</w:t>
            </w:r>
          </w:p>
          <w:p w14:paraId="0423CB15" w14:textId="77777777" w:rsidR="00343C4C" w:rsidRPr="00343C4C" w:rsidRDefault="00343C4C" w:rsidP="00343C4C">
            <w:pPr>
              <w:pStyle w:val="ListBullet"/>
              <w:numPr>
                <w:ilvl w:val="0"/>
                <w:numId w:val="0"/>
              </w:numPr>
              <w:ind w:left="360"/>
              <w:rPr>
                <w:b w:val="0"/>
                <w:bCs w:val="0"/>
              </w:rPr>
            </w:pPr>
            <w:r w:rsidRPr="00343C4C">
              <w:rPr>
                <w:b w:val="0"/>
                <w:bCs w:val="0"/>
              </w:rPr>
              <w:t>(xiii) SLC37A4;</w:t>
            </w:r>
          </w:p>
          <w:p w14:paraId="6C3288F7" w14:textId="77777777" w:rsidR="00343C4C" w:rsidRPr="00343C4C" w:rsidRDefault="00343C4C" w:rsidP="00343C4C">
            <w:pPr>
              <w:pStyle w:val="ListBullet"/>
              <w:numPr>
                <w:ilvl w:val="0"/>
                <w:numId w:val="0"/>
              </w:numPr>
              <w:ind w:left="360"/>
              <w:rPr>
                <w:b w:val="0"/>
                <w:bCs w:val="0"/>
              </w:rPr>
            </w:pPr>
            <w:r w:rsidRPr="00343C4C">
              <w:rPr>
                <w:b w:val="0"/>
                <w:bCs w:val="0"/>
              </w:rPr>
              <w:t>(xiv) SMN1;</w:t>
            </w:r>
          </w:p>
          <w:p w14:paraId="69BD6F9A" w14:textId="77777777" w:rsidR="00343C4C" w:rsidRPr="00343C4C" w:rsidRDefault="00343C4C" w:rsidP="00343C4C">
            <w:pPr>
              <w:pStyle w:val="ListBullet"/>
              <w:numPr>
                <w:ilvl w:val="0"/>
                <w:numId w:val="0"/>
              </w:numPr>
              <w:ind w:left="360"/>
              <w:rPr>
                <w:b w:val="0"/>
                <w:bCs w:val="0"/>
              </w:rPr>
            </w:pPr>
            <w:r w:rsidRPr="00343C4C">
              <w:rPr>
                <w:b w:val="0"/>
                <w:bCs w:val="0"/>
              </w:rPr>
              <w:t>(xv) SMPD1; and</w:t>
            </w:r>
          </w:p>
          <w:p w14:paraId="236F5B29" w14:textId="77777777" w:rsidR="00343C4C" w:rsidRPr="00343C4C" w:rsidRDefault="00343C4C" w:rsidP="00343C4C">
            <w:pPr>
              <w:pStyle w:val="ListBullet"/>
              <w:numPr>
                <w:ilvl w:val="0"/>
                <w:numId w:val="0"/>
              </w:numPr>
              <w:ind w:left="360" w:hanging="360"/>
              <w:rPr>
                <w:b w:val="0"/>
                <w:bCs w:val="0"/>
              </w:rPr>
            </w:pPr>
            <w:r w:rsidRPr="00343C4C">
              <w:rPr>
                <w:b w:val="0"/>
                <w:bCs w:val="0"/>
              </w:rPr>
              <w:t>(b) in a patient of reproductive age who is of Ashkenazi Jewish descent, for the purpose of ascertaining the patient’s carrier status for the following:</w:t>
            </w:r>
          </w:p>
          <w:p w14:paraId="0209032C" w14:textId="77777777" w:rsidR="00343C4C" w:rsidRPr="00343C4C" w:rsidRDefault="00343C4C" w:rsidP="00343C4C">
            <w:pPr>
              <w:pStyle w:val="ListBullet"/>
              <w:numPr>
                <w:ilvl w:val="0"/>
                <w:numId w:val="0"/>
              </w:numPr>
              <w:ind w:left="360"/>
              <w:rPr>
                <w:b w:val="0"/>
                <w:bCs w:val="0"/>
              </w:rPr>
            </w:pPr>
            <w:r w:rsidRPr="00343C4C">
              <w:rPr>
                <w:b w:val="0"/>
                <w:bCs w:val="0"/>
              </w:rPr>
              <w:t>(</w:t>
            </w:r>
            <w:proofErr w:type="spellStart"/>
            <w:r w:rsidRPr="00343C4C">
              <w:rPr>
                <w:b w:val="0"/>
                <w:bCs w:val="0"/>
              </w:rPr>
              <w:t>i</w:t>
            </w:r>
            <w:proofErr w:type="spellEnd"/>
            <w:r w:rsidRPr="00343C4C">
              <w:rPr>
                <w:b w:val="0"/>
                <w:bCs w:val="0"/>
              </w:rPr>
              <w:t>) Bloom syndrome;</w:t>
            </w:r>
          </w:p>
          <w:p w14:paraId="2ECB6934" w14:textId="77777777" w:rsidR="00343C4C" w:rsidRPr="00343C4C" w:rsidRDefault="00343C4C" w:rsidP="00343C4C">
            <w:pPr>
              <w:pStyle w:val="ListBullet"/>
              <w:numPr>
                <w:ilvl w:val="0"/>
                <w:numId w:val="0"/>
              </w:numPr>
              <w:ind w:left="360"/>
              <w:rPr>
                <w:b w:val="0"/>
                <w:bCs w:val="0"/>
              </w:rPr>
            </w:pPr>
            <w:r w:rsidRPr="00343C4C">
              <w:rPr>
                <w:b w:val="0"/>
                <w:bCs w:val="0"/>
              </w:rPr>
              <w:t>(ii) Canavan disease;</w:t>
            </w:r>
          </w:p>
          <w:p w14:paraId="4C8FCEE7" w14:textId="77777777" w:rsidR="00343C4C" w:rsidRPr="006C723D" w:rsidRDefault="00343C4C" w:rsidP="00343C4C">
            <w:pPr>
              <w:pStyle w:val="ListBullet"/>
              <w:numPr>
                <w:ilvl w:val="0"/>
                <w:numId w:val="0"/>
              </w:numPr>
              <w:ind w:left="360"/>
              <w:rPr>
                <w:b w:val="0"/>
                <w:bCs w:val="0"/>
                <w:lang w:val="fr-FR"/>
              </w:rPr>
            </w:pPr>
            <w:r w:rsidRPr="006C723D">
              <w:rPr>
                <w:b w:val="0"/>
                <w:bCs w:val="0"/>
                <w:lang w:val="fr-FR"/>
              </w:rPr>
              <w:t xml:space="preserve">(iii) </w:t>
            </w:r>
            <w:proofErr w:type="spellStart"/>
            <w:r w:rsidRPr="006C723D">
              <w:rPr>
                <w:b w:val="0"/>
                <w:bCs w:val="0"/>
                <w:lang w:val="fr-FR"/>
              </w:rPr>
              <w:t>Cystic</w:t>
            </w:r>
            <w:proofErr w:type="spellEnd"/>
            <w:r w:rsidRPr="006C723D">
              <w:rPr>
                <w:b w:val="0"/>
                <w:bCs w:val="0"/>
                <w:lang w:val="fr-FR"/>
              </w:rPr>
              <w:t xml:space="preserve"> </w:t>
            </w:r>
            <w:proofErr w:type="spellStart"/>
            <w:proofErr w:type="gramStart"/>
            <w:r w:rsidRPr="006C723D">
              <w:rPr>
                <w:b w:val="0"/>
                <w:bCs w:val="0"/>
                <w:lang w:val="fr-FR"/>
              </w:rPr>
              <w:t>fibrosis</w:t>
            </w:r>
            <w:proofErr w:type="spellEnd"/>
            <w:r w:rsidRPr="006C723D">
              <w:rPr>
                <w:b w:val="0"/>
                <w:bCs w:val="0"/>
                <w:lang w:val="fr-FR"/>
              </w:rPr>
              <w:t>;</w:t>
            </w:r>
            <w:proofErr w:type="gramEnd"/>
          </w:p>
          <w:p w14:paraId="44014AAF" w14:textId="77777777" w:rsidR="00343C4C" w:rsidRPr="006C723D" w:rsidRDefault="00343C4C" w:rsidP="00343C4C">
            <w:pPr>
              <w:pStyle w:val="ListBullet"/>
              <w:numPr>
                <w:ilvl w:val="0"/>
                <w:numId w:val="0"/>
              </w:numPr>
              <w:ind w:left="360"/>
              <w:rPr>
                <w:b w:val="0"/>
                <w:bCs w:val="0"/>
                <w:lang w:val="fr-FR"/>
              </w:rPr>
            </w:pPr>
            <w:r w:rsidRPr="006C723D">
              <w:rPr>
                <w:b w:val="0"/>
                <w:bCs w:val="0"/>
                <w:lang w:val="fr-FR"/>
              </w:rPr>
              <w:t xml:space="preserve">(iv) Familial </w:t>
            </w:r>
            <w:proofErr w:type="spellStart"/>
            <w:proofErr w:type="gramStart"/>
            <w:r w:rsidRPr="006C723D">
              <w:rPr>
                <w:b w:val="0"/>
                <w:bCs w:val="0"/>
                <w:lang w:val="fr-FR"/>
              </w:rPr>
              <w:t>dysautonomia</w:t>
            </w:r>
            <w:proofErr w:type="spellEnd"/>
            <w:r w:rsidRPr="006C723D">
              <w:rPr>
                <w:b w:val="0"/>
                <w:bCs w:val="0"/>
                <w:lang w:val="fr-FR"/>
              </w:rPr>
              <w:t>;</w:t>
            </w:r>
            <w:proofErr w:type="gramEnd"/>
          </w:p>
          <w:p w14:paraId="009B0274" w14:textId="77777777" w:rsidR="00343C4C" w:rsidRPr="006C723D" w:rsidRDefault="00343C4C" w:rsidP="00343C4C">
            <w:pPr>
              <w:pStyle w:val="ListBullet"/>
              <w:numPr>
                <w:ilvl w:val="0"/>
                <w:numId w:val="0"/>
              </w:numPr>
              <w:ind w:left="360"/>
              <w:rPr>
                <w:b w:val="0"/>
                <w:bCs w:val="0"/>
                <w:lang w:val="fr-FR"/>
              </w:rPr>
            </w:pPr>
            <w:r w:rsidRPr="006C723D">
              <w:rPr>
                <w:b w:val="0"/>
                <w:bCs w:val="0"/>
                <w:lang w:val="fr-FR"/>
              </w:rPr>
              <w:t xml:space="preserve">(v) </w:t>
            </w:r>
            <w:proofErr w:type="spellStart"/>
            <w:r w:rsidRPr="006C723D">
              <w:rPr>
                <w:b w:val="0"/>
                <w:bCs w:val="0"/>
                <w:lang w:val="fr-FR"/>
              </w:rPr>
              <w:t>Fanconi</w:t>
            </w:r>
            <w:proofErr w:type="spellEnd"/>
            <w:r w:rsidRPr="006C723D">
              <w:rPr>
                <w:b w:val="0"/>
                <w:bCs w:val="0"/>
                <w:lang w:val="fr-FR"/>
              </w:rPr>
              <w:t xml:space="preserve"> </w:t>
            </w:r>
            <w:proofErr w:type="spellStart"/>
            <w:r w:rsidRPr="006C723D">
              <w:rPr>
                <w:b w:val="0"/>
                <w:bCs w:val="0"/>
                <w:lang w:val="fr-FR"/>
              </w:rPr>
              <w:t>anaemia</w:t>
            </w:r>
            <w:proofErr w:type="spellEnd"/>
            <w:r w:rsidRPr="006C723D">
              <w:rPr>
                <w:b w:val="0"/>
                <w:bCs w:val="0"/>
                <w:lang w:val="fr-FR"/>
              </w:rPr>
              <w:t xml:space="preserve"> type </w:t>
            </w:r>
            <w:proofErr w:type="gramStart"/>
            <w:r w:rsidRPr="006C723D">
              <w:rPr>
                <w:b w:val="0"/>
                <w:bCs w:val="0"/>
                <w:lang w:val="fr-FR"/>
              </w:rPr>
              <w:t>C;</w:t>
            </w:r>
            <w:proofErr w:type="gramEnd"/>
          </w:p>
          <w:p w14:paraId="55B9DEAD" w14:textId="24E0B662" w:rsidR="00343C4C" w:rsidRPr="006C723D" w:rsidRDefault="00343C4C" w:rsidP="00343C4C">
            <w:pPr>
              <w:pStyle w:val="ListBullet"/>
              <w:numPr>
                <w:ilvl w:val="0"/>
                <w:numId w:val="0"/>
              </w:numPr>
              <w:ind w:left="360"/>
              <w:rPr>
                <w:b w:val="0"/>
                <w:bCs w:val="0"/>
                <w:lang w:val="fr-FR"/>
              </w:rPr>
            </w:pPr>
            <w:r w:rsidRPr="006C723D">
              <w:rPr>
                <w:b w:val="0"/>
                <w:bCs w:val="0"/>
                <w:lang w:val="fr-FR"/>
              </w:rPr>
              <w:t>(vi) Fragile</w:t>
            </w:r>
            <w:r w:rsidR="002D6775">
              <w:rPr>
                <w:b w:val="0"/>
                <w:bCs w:val="0"/>
                <w:lang w:val="fr-FR"/>
              </w:rPr>
              <w:t>-</w:t>
            </w:r>
            <w:r w:rsidRPr="006C723D">
              <w:rPr>
                <w:b w:val="0"/>
                <w:bCs w:val="0"/>
                <w:lang w:val="fr-FR"/>
              </w:rPr>
              <w:t xml:space="preserve">X </w:t>
            </w:r>
            <w:proofErr w:type="gramStart"/>
            <w:r w:rsidRPr="006C723D">
              <w:rPr>
                <w:b w:val="0"/>
                <w:bCs w:val="0"/>
                <w:lang w:val="fr-FR"/>
              </w:rPr>
              <w:t>syndrome;</w:t>
            </w:r>
            <w:proofErr w:type="gramEnd"/>
          </w:p>
          <w:p w14:paraId="56A07813" w14:textId="77777777" w:rsidR="00343C4C" w:rsidRPr="00343C4C" w:rsidRDefault="00343C4C" w:rsidP="00343C4C">
            <w:pPr>
              <w:pStyle w:val="ListBullet"/>
              <w:numPr>
                <w:ilvl w:val="0"/>
                <w:numId w:val="0"/>
              </w:numPr>
              <w:ind w:left="360"/>
              <w:rPr>
                <w:b w:val="0"/>
                <w:bCs w:val="0"/>
              </w:rPr>
            </w:pPr>
            <w:r w:rsidRPr="00343C4C">
              <w:rPr>
                <w:b w:val="0"/>
                <w:bCs w:val="0"/>
              </w:rPr>
              <w:t>(vii) Gaucher disease;</w:t>
            </w:r>
          </w:p>
          <w:p w14:paraId="652B656A" w14:textId="77777777" w:rsidR="00343C4C" w:rsidRPr="00343C4C" w:rsidRDefault="00343C4C" w:rsidP="00343C4C">
            <w:pPr>
              <w:pStyle w:val="ListBullet"/>
              <w:numPr>
                <w:ilvl w:val="0"/>
                <w:numId w:val="0"/>
              </w:numPr>
              <w:ind w:left="360"/>
              <w:rPr>
                <w:b w:val="0"/>
                <w:bCs w:val="0"/>
              </w:rPr>
            </w:pPr>
            <w:r w:rsidRPr="00343C4C">
              <w:rPr>
                <w:b w:val="0"/>
                <w:bCs w:val="0"/>
              </w:rPr>
              <w:t>(viii) Glycogen storage disease type I;</w:t>
            </w:r>
          </w:p>
          <w:p w14:paraId="4CDE7EA8" w14:textId="77777777" w:rsidR="00343C4C" w:rsidRPr="00343C4C" w:rsidRDefault="00343C4C" w:rsidP="00343C4C">
            <w:pPr>
              <w:pStyle w:val="ListBullet"/>
              <w:numPr>
                <w:ilvl w:val="0"/>
                <w:numId w:val="0"/>
              </w:numPr>
              <w:ind w:left="360"/>
              <w:rPr>
                <w:b w:val="0"/>
                <w:bCs w:val="0"/>
              </w:rPr>
            </w:pPr>
            <w:r w:rsidRPr="00343C4C">
              <w:rPr>
                <w:b w:val="0"/>
                <w:bCs w:val="0"/>
              </w:rPr>
              <w:t xml:space="preserve">(ix) </w:t>
            </w:r>
            <w:proofErr w:type="spellStart"/>
            <w:r w:rsidRPr="00343C4C">
              <w:rPr>
                <w:b w:val="0"/>
                <w:bCs w:val="0"/>
              </w:rPr>
              <w:t>Mucolipidosis</w:t>
            </w:r>
            <w:proofErr w:type="spellEnd"/>
            <w:r w:rsidRPr="00343C4C">
              <w:rPr>
                <w:b w:val="0"/>
                <w:bCs w:val="0"/>
              </w:rPr>
              <w:t xml:space="preserve"> type IV;</w:t>
            </w:r>
          </w:p>
          <w:p w14:paraId="0EADC322" w14:textId="5BC19F46" w:rsidR="00343C4C" w:rsidRPr="00343C4C" w:rsidRDefault="00343C4C" w:rsidP="00343C4C">
            <w:pPr>
              <w:pStyle w:val="ListBullet"/>
              <w:numPr>
                <w:ilvl w:val="0"/>
                <w:numId w:val="0"/>
              </w:numPr>
              <w:ind w:left="360"/>
              <w:rPr>
                <w:b w:val="0"/>
                <w:bCs w:val="0"/>
              </w:rPr>
            </w:pPr>
            <w:r w:rsidRPr="00343C4C">
              <w:rPr>
                <w:b w:val="0"/>
                <w:bCs w:val="0"/>
              </w:rPr>
              <w:lastRenderedPageBreak/>
              <w:t>(x) Niemann</w:t>
            </w:r>
            <w:r w:rsidR="002D6775">
              <w:rPr>
                <w:b w:val="0"/>
                <w:bCs w:val="0"/>
              </w:rPr>
              <w:t>-</w:t>
            </w:r>
            <w:r w:rsidRPr="00343C4C">
              <w:rPr>
                <w:b w:val="0"/>
                <w:bCs w:val="0"/>
              </w:rPr>
              <w:t>Pick disease type A 7;</w:t>
            </w:r>
          </w:p>
          <w:p w14:paraId="650A393F" w14:textId="77777777" w:rsidR="00343C4C" w:rsidRDefault="00343C4C" w:rsidP="00343C4C">
            <w:pPr>
              <w:pStyle w:val="ListBullet"/>
              <w:numPr>
                <w:ilvl w:val="0"/>
                <w:numId w:val="0"/>
              </w:numPr>
              <w:ind w:left="360"/>
            </w:pPr>
            <w:r w:rsidRPr="00343C4C">
              <w:rPr>
                <w:b w:val="0"/>
                <w:bCs w:val="0"/>
              </w:rPr>
              <w:t>(xi) Spinal muscular atrophy;</w:t>
            </w:r>
          </w:p>
          <w:p w14:paraId="1BCACB3A" w14:textId="2E0819D2" w:rsidR="00343C4C" w:rsidRDefault="00343C4C" w:rsidP="00343C4C">
            <w:pPr>
              <w:pStyle w:val="ListBullet"/>
              <w:numPr>
                <w:ilvl w:val="0"/>
                <w:numId w:val="0"/>
              </w:numPr>
              <w:ind w:left="360"/>
            </w:pPr>
            <w:r w:rsidRPr="00343C4C">
              <w:rPr>
                <w:b w:val="0"/>
                <w:bCs w:val="0"/>
              </w:rPr>
              <w:t>(xii) Tay</w:t>
            </w:r>
            <w:r w:rsidR="002D6775">
              <w:rPr>
                <w:b w:val="0"/>
                <w:bCs w:val="0"/>
              </w:rPr>
              <w:t>-</w:t>
            </w:r>
            <w:r w:rsidRPr="00343C4C">
              <w:rPr>
                <w:b w:val="0"/>
                <w:bCs w:val="0"/>
              </w:rPr>
              <w:t>Sachs disease</w:t>
            </w:r>
          </w:p>
          <w:p w14:paraId="2C9DC841" w14:textId="06110D3A" w:rsidR="00184A31" w:rsidRDefault="00184A31" w:rsidP="00184A31">
            <w:pPr>
              <w:pStyle w:val="ListBullet"/>
              <w:numPr>
                <w:ilvl w:val="0"/>
                <w:numId w:val="0"/>
              </w:numPr>
              <w:ind w:left="360" w:hanging="360"/>
              <w:rPr>
                <w:b w:val="0"/>
                <w:bCs w:val="0"/>
              </w:rPr>
            </w:pPr>
          </w:p>
          <w:p w14:paraId="5735221E" w14:textId="6E54C206" w:rsidR="00184A31" w:rsidRDefault="00184A31" w:rsidP="00184A31">
            <w:pPr>
              <w:pStyle w:val="ListBullet"/>
              <w:numPr>
                <w:ilvl w:val="0"/>
                <w:numId w:val="0"/>
              </w:numPr>
              <w:ind w:left="360" w:hanging="360"/>
            </w:pPr>
            <w:r w:rsidRPr="00184A31">
              <w:rPr>
                <w:b w:val="0"/>
                <w:bCs w:val="0"/>
              </w:rPr>
              <w:t>Applicable once per lifetime.</w:t>
            </w:r>
          </w:p>
          <w:p w14:paraId="0B5BD77E" w14:textId="7481C17E" w:rsidR="00184A31" w:rsidRPr="00184A31" w:rsidRDefault="00184A31" w:rsidP="00184A31">
            <w:pPr>
              <w:pStyle w:val="ListBullet"/>
              <w:numPr>
                <w:ilvl w:val="0"/>
                <w:numId w:val="0"/>
              </w:numPr>
              <w:ind w:left="360" w:hanging="360"/>
              <w:rPr>
                <w:b w:val="0"/>
                <w:bCs w:val="0"/>
              </w:rPr>
            </w:pPr>
            <w:r w:rsidRPr="00184A31">
              <w:rPr>
                <w:b w:val="0"/>
                <w:bCs w:val="0"/>
              </w:rPr>
              <w:t>MBS fee: $</w:t>
            </w:r>
            <w:r>
              <w:rPr>
                <w:b w:val="0"/>
                <w:bCs w:val="0"/>
              </w:rPr>
              <w:t>425.00</w:t>
            </w:r>
          </w:p>
          <w:p w14:paraId="2BDF063F" w14:textId="7C3AD4FD" w:rsidR="00EC6B9E" w:rsidRPr="000A575B" w:rsidRDefault="00184A31" w:rsidP="000A575B">
            <w:pPr>
              <w:pStyle w:val="ListBullet"/>
              <w:numPr>
                <w:ilvl w:val="0"/>
                <w:numId w:val="0"/>
              </w:numPr>
              <w:ind w:left="360" w:hanging="360"/>
            </w:pPr>
            <w:r w:rsidRPr="00184A31">
              <w:rPr>
                <w:b w:val="0"/>
                <w:bCs w:val="0"/>
              </w:rPr>
              <w:t>Benefit: 75% = $</w:t>
            </w:r>
            <w:r>
              <w:rPr>
                <w:b w:val="0"/>
                <w:bCs w:val="0"/>
              </w:rPr>
              <w:t>318.75</w:t>
            </w:r>
            <w:r w:rsidRPr="00184A31">
              <w:rPr>
                <w:b w:val="0"/>
                <w:bCs w:val="0"/>
              </w:rPr>
              <w:t xml:space="preserve">          85% = $</w:t>
            </w:r>
            <w:r>
              <w:rPr>
                <w:b w:val="0"/>
                <w:bCs w:val="0"/>
              </w:rPr>
              <w:t>361.25</w:t>
            </w:r>
          </w:p>
        </w:tc>
      </w:tr>
      <w:tr w:rsidR="00E60D3E" w14:paraId="0EF9997D" w14:textId="77777777" w:rsidTr="005E0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5F3D405" w14:textId="4D87DB9D" w:rsidR="00E60D3E" w:rsidRPr="00AF20D6" w:rsidRDefault="00AF20D6" w:rsidP="00184A31">
            <w:pPr>
              <w:rPr>
                <w:rFonts w:cs="Arial"/>
                <w:szCs w:val="22"/>
                <w:lang w:eastAsia="en-AU"/>
              </w:rPr>
            </w:pPr>
            <w:r w:rsidRPr="00AF20D6">
              <w:rPr>
                <w:rFonts w:cs="Arial"/>
                <w:szCs w:val="22"/>
                <w:lang w:eastAsia="en-AU"/>
              </w:rPr>
              <w:lastRenderedPageBreak/>
              <w:t>PN</w:t>
            </w:r>
            <w:r>
              <w:rPr>
                <w:rFonts w:cs="Arial"/>
                <w:szCs w:val="22"/>
                <w:lang w:eastAsia="en-AU"/>
              </w:rPr>
              <w:t xml:space="preserve"> 7.18</w:t>
            </w:r>
          </w:p>
          <w:p w14:paraId="10AE6F89" w14:textId="2D1541E8" w:rsidR="002A6420" w:rsidRPr="00184A31" w:rsidRDefault="00AF20D6" w:rsidP="00184A31">
            <w:pPr>
              <w:rPr>
                <w:rFonts w:cs="Arial"/>
                <w:szCs w:val="22"/>
                <w:lang w:eastAsia="en-AU"/>
              </w:rPr>
            </w:pPr>
            <w:r w:rsidRPr="00AF20D6">
              <w:rPr>
                <w:rFonts w:cs="Arial"/>
                <w:b w:val="0"/>
                <w:bCs w:val="0"/>
                <w:szCs w:val="22"/>
                <w:lang w:eastAsia="en-AU"/>
              </w:rPr>
              <w:t>Where the couple is already pregnant and both patients are of Ashkenazi Jewish descent, concurrent testing of any partner(s) not already tested is recommended.</w:t>
            </w:r>
          </w:p>
        </w:tc>
      </w:tr>
      <w:tr w:rsidR="00642F20" w14:paraId="398A0C81" w14:textId="77777777" w:rsidTr="00374732">
        <w:tc>
          <w:tcPr>
            <w:cnfStyle w:val="001000000000" w:firstRow="0" w:lastRow="0" w:firstColumn="1" w:lastColumn="0" w:oddVBand="0" w:evenVBand="0" w:oddHBand="0" w:evenHBand="0" w:firstRowFirstColumn="0" w:firstRowLastColumn="0" w:lastRowFirstColumn="0" w:lastRowLastColumn="0"/>
            <w:tcW w:w="9060" w:type="dxa"/>
            <w:hideMark/>
          </w:tcPr>
          <w:p w14:paraId="2BDEC1BC" w14:textId="5BFD69E1" w:rsidR="00642F20" w:rsidRPr="00C274E1" w:rsidRDefault="00757969" w:rsidP="00642F20">
            <w:pPr>
              <w:rPr>
                <w:rFonts w:cs="Arial"/>
                <w:b w:val="0"/>
                <w:bCs w:val="0"/>
                <w:szCs w:val="22"/>
              </w:rPr>
            </w:pPr>
            <w:r w:rsidRPr="00C274E1">
              <w:rPr>
                <w:rFonts w:cs="Arial"/>
                <w:b w:val="0"/>
                <w:bCs w:val="0"/>
                <w:szCs w:val="22"/>
              </w:rPr>
              <w:t>73454</w:t>
            </w:r>
          </w:p>
          <w:p w14:paraId="5AE86327" w14:textId="50CD0473" w:rsidR="00757969" w:rsidRPr="00C274E1" w:rsidRDefault="00757969" w:rsidP="00757969">
            <w:pPr>
              <w:autoSpaceDE w:val="0"/>
              <w:autoSpaceDN w:val="0"/>
              <w:adjustRightInd w:val="0"/>
              <w:spacing w:before="0" w:after="0" w:line="240" w:lineRule="auto"/>
              <w:rPr>
                <w:rFonts w:cs="Arial"/>
                <w:color w:val="auto"/>
                <w:szCs w:val="22"/>
                <w:lang w:eastAsia="en-AU"/>
              </w:rPr>
            </w:pPr>
            <w:r w:rsidRPr="00C274E1">
              <w:rPr>
                <w:rFonts w:cs="Arial"/>
                <w:b w:val="0"/>
                <w:bCs w:val="0"/>
                <w:color w:val="auto"/>
                <w:szCs w:val="22"/>
                <w:lang w:eastAsia="en-AU"/>
              </w:rPr>
              <w:t xml:space="preserve">Whole gene sequencing of a gene or genes described in item 73453, in a patient who is the reproductive partner of an individual who is affected by or a known genetic carrier of one or more conditions described in item 73453 </w:t>
            </w:r>
            <w:r w:rsidR="00B279FC">
              <w:rPr>
                <w:rFonts w:cs="Arial"/>
                <w:b w:val="0"/>
                <w:bCs w:val="0"/>
                <w:color w:val="auto"/>
                <w:szCs w:val="22"/>
                <w:lang w:eastAsia="en-AU"/>
              </w:rPr>
              <w:t>(</w:t>
            </w:r>
            <w:r w:rsidRPr="00C274E1">
              <w:rPr>
                <w:rFonts w:cs="Arial"/>
                <w:b w:val="0"/>
                <w:bCs w:val="0"/>
                <w:color w:val="auto"/>
                <w:szCs w:val="22"/>
                <w:lang w:eastAsia="en-AU"/>
              </w:rPr>
              <w:t>other than cystic fibrosis, fragile-X syndrome or spinal muscular atrophy</w:t>
            </w:r>
            <w:r w:rsidR="00B279FC">
              <w:rPr>
                <w:rFonts w:cs="Arial"/>
                <w:b w:val="0"/>
                <w:bCs w:val="0"/>
                <w:color w:val="auto"/>
                <w:szCs w:val="22"/>
                <w:lang w:eastAsia="en-AU"/>
              </w:rPr>
              <w:t>)</w:t>
            </w:r>
            <w:r w:rsidRPr="00C274E1">
              <w:rPr>
                <w:rFonts w:cs="Arial"/>
                <w:b w:val="0"/>
                <w:bCs w:val="0"/>
                <w:color w:val="auto"/>
                <w:szCs w:val="22"/>
                <w:lang w:eastAsia="en-AU"/>
              </w:rPr>
              <w:t>, for the purpose of determining the couple’s combined reproductive risk of the conditions, if:</w:t>
            </w:r>
          </w:p>
          <w:p w14:paraId="130A5E9F" w14:textId="77777777" w:rsidR="006B0F15" w:rsidRPr="00C274E1" w:rsidRDefault="006B0F15" w:rsidP="00757969">
            <w:pPr>
              <w:autoSpaceDE w:val="0"/>
              <w:autoSpaceDN w:val="0"/>
              <w:adjustRightInd w:val="0"/>
              <w:spacing w:before="0" w:after="0" w:line="240" w:lineRule="auto"/>
              <w:rPr>
                <w:rFonts w:cs="Arial"/>
                <w:b w:val="0"/>
                <w:bCs w:val="0"/>
                <w:color w:val="auto"/>
                <w:szCs w:val="22"/>
                <w:lang w:eastAsia="en-AU"/>
              </w:rPr>
            </w:pPr>
          </w:p>
          <w:p w14:paraId="2030C842" w14:textId="63C0139F" w:rsidR="00757969" w:rsidRPr="00C274E1" w:rsidRDefault="002D6775" w:rsidP="00757969">
            <w:pPr>
              <w:autoSpaceDE w:val="0"/>
              <w:autoSpaceDN w:val="0"/>
              <w:adjustRightInd w:val="0"/>
              <w:spacing w:before="0" w:after="0" w:line="240" w:lineRule="auto"/>
              <w:rPr>
                <w:rFonts w:cs="Arial"/>
                <w:b w:val="0"/>
                <w:bCs w:val="0"/>
                <w:color w:val="auto"/>
                <w:szCs w:val="22"/>
                <w:lang w:eastAsia="en-AU"/>
              </w:rPr>
            </w:pPr>
            <w:r>
              <w:rPr>
                <w:rFonts w:cs="Arial"/>
                <w:b w:val="0"/>
                <w:bCs w:val="0"/>
                <w:color w:val="auto"/>
                <w:szCs w:val="22"/>
                <w:lang w:eastAsia="en-AU"/>
              </w:rPr>
              <w:t>(</w:t>
            </w:r>
            <w:r w:rsidR="00757969" w:rsidRPr="00C274E1">
              <w:rPr>
                <w:rFonts w:cs="Arial"/>
                <w:b w:val="0"/>
                <w:bCs w:val="0"/>
                <w:color w:val="auto"/>
                <w:szCs w:val="22"/>
                <w:lang w:eastAsia="en-AU"/>
              </w:rPr>
              <w:t>a)</w:t>
            </w:r>
            <w:r w:rsidR="00757969" w:rsidRPr="00C274E1">
              <w:rPr>
                <w:rFonts w:cs="Arial"/>
                <w:b w:val="0"/>
                <w:bCs w:val="0"/>
                <w:color w:val="auto"/>
                <w:szCs w:val="22"/>
                <w:lang w:eastAsia="en-AU"/>
              </w:rPr>
              <w:tab/>
              <w:t xml:space="preserve">the patient is not eligible for a service to which item 73453 applies; and </w:t>
            </w:r>
          </w:p>
          <w:p w14:paraId="0A7F447A" w14:textId="5DCEA0E4" w:rsidR="00757969" w:rsidRPr="00C274E1" w:rsidRDefault="002D6775" w:rsidP="00757969">
            <w:pPr>
              <w:autoSpaceDE w:val="0"/>
              <w:autoSpaceDN w:val="0"/>
              <w:adjustRightInd w:val="0"/>
              <w:spacing w:before="0" w:after="0" w:line="240" w:lineRule="auto"/>
              <w:rPr>
                <w:rFonts w:cs="Arial"/>
                <w:b w:val="0"/>
                <w:bCs w:val="0"/>
                <w:color w:val="auto"/>
                <w:szCs w:val="22"/>
                <w:lang w:eastAsia="en-AU"/>
              </w:rPr>
            </w:pPr>
            <w:r>
              <w:rPr>
                <w:rFonts w:cs="Arial"/>
                <w:b w:val="0"/>
                <w:bCs w:val="0"/>
                <w:color w:val="auto"/>
                <w:szCs w:val="22"/>
                <w:lang w:eastAsia="en-AU"/>
              </w:rPr>
              <w:t>(</w:t>
            </w:r>
            <w:r w:rsidR="00757969" w:rsidRPr="00C274E1">
              <w:rPr>
                <w:rFonts w:cs="Arial"/>
                <w:b w:val="0"/>
                <w:bCs w:val="0"/>
                <w:color w:val="auto"/>
                <w:szCs w:val="22"/>
                <w:lang w:eastAsia="en-AU"/>
              </w:rPr>
              <w:t>b)</w:t>
            </w:r>
            <w:r w:rsidR="00757969" w:rsidRPr="00C274E1">
              <w:rPr>
                <w:rFonts w:cs="Arial"/>
                <w:b w:val="0"/>
                <w:bCs w:val="0"/>
                <w:color w:val="auto"/>
                <w:szCs w:val="22"/>
                <w:lang w:eastAsia="en-AU"/>
              </w:rPr>
              <w:tab/>
              <w:t>the patient has not received a service to which item 73453 applies; and</w:t>
            </w:r>
          </w:p>
          <w:p w14:paraId="4F72AE26" w14:textId="7998F60B" w:rsidR="00757969" w:rsidRPr="00C274E1" w:rsidRDefault="002D6775" w:rsidP="00757969">
            <w:pPr>
              <w:autoSpaceDE w:val="0"/>
              <w:autoSpaceDN w:val="0"/>
              <w:adjustRightInd w:val="0"/>
              <w:spacing w:before="0" w:after="0" w:line="240" w:lineRule="auto"/>
              <w:rPr>
                <w:rFonts w:cs="Arial"/>
                <w:b w:val="0"/>
                <w:bCs w:val="0"/>
                <w:color w:val="auto"/>
                <w:szCs w:val="22"/>
                <w:lang w:eastAsia="en-AU"/>
              </w:rPr>
            </w:pPr>
            <w:r>
              <w:rPr>
                <w:rFonts w:cs="Arial"/>
                <w:b w:val="0"/>
                <w:bCs w:val="0"/>
                <w:color w:val="auto"/>
                <w:szCs w:val="22"/>
                <w:lang w:eastAsia="en-AU"/>
              </w:rPr>
              <w:t>(</w:t>
            </w:r>
            <w:r w:rsidR="00757969" w:rsidRPr="00C274E1">
              <w:rPr>
                <w:rFonts w:cs="Arial"/>
                <w:b w:val="0"/>
                <w:bCs w:val="0"/>
                <w:color w:val="auto"/>
                <w:szCs w:val="22"/>
                <w:lang w:eastAsia="en-AU"/>
              </w:rPr>
              <w:t>c)</w:t>
            </w:r>
            <w:r w:rsidR="00757969" w:rsidRPr="00C274E1">
              <w:rPr>
                <w:rFonts w:cs="Arial"/>
                <w:b w:val="0"/>
                <w:bCs w:val="0"/>
                <w:color w:val="auto"/>
                <w:szCs w:val="22"/>
                <w:lang w:eastAsia="en-AU"/>
              </w:rPr>
              <w:tab/>
              <w:t xml:space="preserve">the patient has not received a service to which this item applies for the purpose of determining their reproductive risk with their current reproductive partner. </w:t>
            </w:r>
          </w:p>
          <w:p w14:paraId="7D8FB99F" w14:textId="77777777" w:rsidR="00757969" w:rsidRPr="00C274E1" w:rsidRDefault="00757969" w:rsidP="00757969">
            <w:pPr>
              <w:autoSpaceDE w:val="0"/>
              <w:autoSpaceDN w:val="0"/>
              <w:adjustRightInd w:val="0"/>
              <w:spacing w:before="0" w:after="0" w:line="240" w:lineRule="auto"/>
              <w:rPr>
                <w:rFonts w:cs="Arial"/>
                <w:b w:val="0"/>
                <w:bCs w:val="0"/>
                <w:color w:val="auto"/>
                <w:szCs w:val="22"/>
                <w:lang w:eastAsia="en-AU"/>
              </w:rPr>
            </w:pPr>
          </w:p>
          <w:p w14:paraId="0DD11674" w14:textId="77777777" w:rsidR="00757969" w:rsidRPr="00C274E1" w:rsidRDefault="00757969" w:rsidP="00757969">
            <w:pPr>
              <w:autoSpaceDE w:val="0"/>
              <w:autoSpaceDN w:val="0"/>
              <w:adjustRightInd w:val="0"/>
              <w:spacing w:before="0" w:after="0" w:line="240" w:lineRule="auto"/>
              <w:rPr>
                <w:rFonts w:cs="Arial"/>
                <w:b w:val="0"/>
                <w:bCs w:val="0"/>
                <w:color w:val="auto"/>
                <w:szCs w:val="22"/>
                <w:lang w:eastAsia="en-AU"/>
              </w:rPr>
            </w:pPr>
            <w:r w:rsidRPr="00C274E1">
              <w:rPr>
                <w:rFonts w:cs="Arial"/>
                <w:b w:val="0"/>
                <w:bCs w:val="0"/>
                <w:color w:val="auto"/>
                <w:szCs w:val="22"/>
                <w:lang w:eastAsia="en-AU"/>
              </w:rPr>
              <w:t>Applicable once per couple per lifetime.</w:t>
            </w:r>
          </w:p>
          <w:p w14:paraId="63113BC3" w14:textId="60B8B913" w:rsidR="00757969" w:rsidRPr="00C274E1" w:rsidRDefault="00757969" w:rsidP="00757969">
            <w:pPr>
              <w:pStyle w:val="ListBullet"/>
              <w:numPr>
                <w:ilvl w:val="0"/>
                <w:numId w:val="0"/>
              </w:numPr>
              <w:ind w:left="360" w:hanging="360"/>
              <w:rPr>
                <w:rFonts w:cs="Arial"/>
                <w:b w:val="0"/>
                <w:bCs w:val="0"/>
              </w:rPr>
            </w:pPr>
            <w:r w:rsidRPr="00C274E1">
              <w:rPr>
                <w:rFonts w:cs="Arial"/>
                <w:b w:val="0"/>
                <w:bCs w:val="0"/>
              </w:rPr>
              <w:t>MBS fee: $1,200.00</w:t>
            </w:r>
          </w:p>
          <w:p w14:paraId="272E904B" w14:textId="4A2DF8AD" w:rsidR="00757969" w:rsidRDefault="00757969" w:rsidP="00757969">
            <w:pPr>
              <w:pStyle w:val="ListBullet"/>
              <w:numPr>
                <w:ilvl w:val="0"/>
                <w:numId w:val="0"/>
              </w:numPr>
              <w:ind w:left="360" w:hanging="360"/>
              <w:rPr>
                <w:rFonts w:cs="Arial"/>
              </w:rPr>
            </w:pPr>
            <w:r w:rsidRPr="00C274E1">
              <w:rPr>
                <w:rFonts w:cs="Arial"/>
                <w:b w:val="0"/>
                <w:bCs w:val="0"/>
              </w:rPr>
              <w:t>Benefit: 75% = $</w:t>
            </w:r>
            <w:r w:rsidR="002C6567" w:rsidRPr="00C274E1">
              <w:rPr>
                <w:rFonts w:cs="Arial"/>
                <w:b w:val="0"/>
                <w:bCs w:val="0"/>
              </w:rPr>
              <w:t>900.00</w:t>
            </w:r>
            <w:r w:rsidRPr="00C274E1">
              <w:rPr>
                <w:rFonts w:cs="Arial"/>
                <w:b w:val="0"/>
                <w:bCs w:val="0"/>
              </w:rPr>
              <w:t xml:space="preserve">          85% = $</w:t>
            </w:r>
            <w:r w:rsidR="002C6567" w:rsidRPr="00C274E1">
              <w:rPr>
                <w:rFonts w:cs="Arial"/>
                <w:b w:val="0"/>
                <w:bCs w:val="0"/>
              </w:rPr>
              <w:t>1</w:t>
            </w:r>
            <w:r w:rsidR="00A712C4">
              <w:rPr>
                <w:rFonts w:cs="Arial"/>
                <w:b w:val="0"/>
                <w:bCs w:val="0"/>
              </w:rPr>
              <w:t>,</w:t>
            </w:r>
            <w:r w:rsidR="002C6567" w:rsidRPr="00C274E1">
              <w:rPr>
                <w:rFonts w:cs="Arial"/>
                <w:b w:val="0"/>
                <w:bCs w:val="0"/>
              </w:rPr>
              <w:t>10</w:t>
            </w:r>
            <w:r w:rsidR="00A712C4">
              <w:rPr>
                <w:rFonts w:cs="Arial"/>
                <w:b w:val="0"/>
                <w:bCs w:val="0"/>
              </w:rPr>
              <w:t>1</w:t>
            </w:r>
            <w:r w:rsidR="002C6567" w:rsidRPr="00C274E1">
              <w:rPr>
                <w:rFonts w:cs="Arial"/>
                <w:b w:val="0"/>
                <w:bCs w:val="0"/>
              </w:rPr>
              <w:t>.</w:t>
            </w:r>
            <w:r w:rsidR="00A712C4">
              <w:rPr>
                <w:rFonts w:cs="Arial"/>
                <w:b w:val="0"/>
                <w:bCs w:val="0"/>
              </w:rPr>
              <w:t>3</w:t>
            </w:r>
            <w:r w:rsidR="002C6567" w:rsidRPr="00C274E1">
              <w:rPr>
                <w:rFonts w:cs="Arial"/>
                <w:b w:val="0"/>
                <w:bCs w:val="0"/>
              </w:rPr>
              <w:t>0</w:t>
            </w:r>
          </w:p>
          <w:p w14:paraId="2F786A12" w14:textId="0AF48EA6" w:rsidR="00642F20" w:rsidRPr="00642F20" w:rsidRDefault="00642F20" w:rsidP="000A575B">
            <w:pPr>
              <w:pStyle w:val="ListBullet"/>
              <w:numPr>
                <w:ilvl w:val="0"/>
                <w:numId w:val="0"/>
              </w:numPr>
            </w:pPr>
          </w:p>
        </w:tc>
      </w:tr>
      <w:tr w:rsidR="002C6567" w14:paraId="36754431" w14:textId="77777777" w:rsidTr="0037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D77E436" w14:textId="77777777" w:rsidR="002C6567" w:rsidRDefault="006B0F15" w:rsidP="00642F20">
            <w:r w:rsidRPr="006B0F15">
              <w:rPr>
                <w:b w:val="0"/>
                <w:bCs w:val="0"/>
              </w:rPr>
              <w:t>73455</w:t>
            </w:r>
          </w:p>
          <w:p w14:paraId="1EA0342F" w14:textId="77777777" w:rsidR="006B0F15" w:rsidRPr="006B0F15" w:rsidRDefault="006B0F15" w:rsidP="006B0F15">
            <w:pPr>
              <w:rPr>
                <w:b w:val="0"/>
                <w:bCs w:val="0"/>
              </w:rPr>
            </w:pPr>
            <w:r w:rsidRPr="006B0F15">
              <w:rPr>
                <w:b w:val="0"/>
                <w:bCs w:val="0"/>
              </w:rPr>
              <w:t xml:space="preserve">Testing of a pregnant patient, where at least one prospective parent is known to be affected by or is a genetic carrier of one or more conditions described in item 73453, for the purpose of determining whether familial variant or variants are present in the </w:t>
            </w:r>
            <w:proofErr w:type="spellStart"/>
            <w:r w:rsidRPr="006B0F15">
              <w:rPr>
                <w:b w:val="0"/>
                <w:bCs w:val="0"/>
              </w:rPr>
              <w:t>fetus</w:t>
            </w:r>
            <w:proofErr w:type="spellEnd"/>
            <w:r w:rsidRPr="006B0F15">
              <w:rPr>
                <w:b w:val="0"/>
                <w:bCs w:val="0"/>
              </w:rPr>
              <w:t>, if:</w:t>
            </w:r>
          </w:p>
          <w:p w14:paraId="02FEA3E7" w14:textId="50302769" w:rsidR="006B0F15" w:rsidRPr="006B0F15" w:rsidRDefault="002D6775" w:rsidP="006B0F15">
            <w:pPr>
              <w:rPr>
                <w:b w:val="0"/>
                <w:bCs w:val="0"/>
              </w:rPr>
            </w:pPr>
            <w:r>
              <w:rPr>
                <w:b w:val="0"/>
                <w:bCs w:val="0"/>
              </w:rPr>
              <w:t>(</w:t>
            </w:r>
            <w:r w:rsidR="006B0F15" w:rsidRPr="006B0F15">
              <w:rPr>
                <w:b w:val="0"/>
                <w:bCs w:val="0"/>
              </w:rPr>
              <w:t>a)</w:t>
            </w:r>
            <w:r w:rsidR="006B0F15" w:rsidRPr="006B0F15">
              <w:rPr>
                <w:b w:val="0"/>
                <w:bCs w:val="0"/>
              </w:rPr>
              <w:tab/>
              <w:t>the detection is requested by a specialist or consultant physician; and</w:t>
            </w:r>
          </w:p>
          <w:p w14:paraId="668E1A44" w14:textId="7EE2B2F5" w:rsidR="006B0F15" w:rsidRDefault="002D6775" w:rsidP="006B0F15">
            <w:r>
              <w:rPr>
                <w:b w:val="0"/>
                <w:bCs w:val="0"/>
              </w:rPr>
              <w:t>(</w:t>
            </w:r>
            <w:r w:rsidR="006B0F15" w:rsidRPr="006B0F15">
              <w:rPr>
                <w:b w:val="0"/>
                <w:bCs w:val="0"/>
              </w:rPr>
              <w:t>b)</w:t>
            </w:r>
            <w:r w:rsidR="006B0F15" w:rsidRPr="006B0F15">
              <w:rPr>
                <w:b w:val="0"/>
                <w:bCs w:val="0"/>
              </w:rPr>
              <w:tab/>
              <w:t xml:space="preserve">the </w:t>
            </w:r>
            <w:proofErr w:type="spellStart"/>
            <w:r w:rsidR="006B0F15" w:rsidRPr="006B0F15">
              <w:rPr>
                <w:b w:val="0"/>
                <w:bCs w:val="0"/>
              </w:rPr>
              <w:t>fetus</w:t>
            </w:r>
            <w:proofErr w:type="spellEnd"/>
            <w:r w:rsidR="006B0F15" w:rsidRPr="006B0F15">
              <w:rPr>
                <w:b w:val="0"/>
                <w:bCs w:val="0"/>
              </w:rPr>
              <w:t xml:space="preserve"> is at 25% or more risk of inheriting a condition described in item 73453.</w:t>
            </w:r>
          </w:p>
          <w:p w14:paraId="43E5597C" w14:textId="77777777" w:rsidR="006B0F15" w:rsidRPr="006B0F15" w:rsidRDefault="006B0F15" w:rsidP="006B0F15">
            <w:pPr>
              <w:rPr>
                <w:b w:val="0"/>
                <w:bCs w:val="0"/>
              </w:rPr>
            </w:pPr>
          </w:p>
          <w:p w14:paraId="3F96A6C1" w14:textId="396FDC83" w:rsidR="006B0F15" w:rsidRPr="00184A31" w:rsidRDefault="006B0F15" w:rsidP="006B0F15">
            <w:pPr>
              <w:pStyle w:val="ListBullet"/>
              <w:numPr>
                <w:ilvl w:val="0"/>
                <w:numId w:val="0"/>
              </w:numPr>
              <w:ind w:left="360" w:hanging="360"/>
              <w:rPr>
                <w:b w:val="0"/>
                <w:bCs w:val="0"/>
              </w:rPr>
            </w:pPr>
            <w:r w:rsidRPr="00184A31">
              <w:rPr>
                <w:b w:val="0"/>
                <w:bCs w:val="0"/>
              </w:rPr>
              <w:t>MBS fee: $</w:t>
            </w:r>
            <w:r>
              <w:rPr>
                <w:b w:val="0"/>
                <w:bCs w:val="0"/>
              </w:rPr>
              <w:t>1,600.00</w:t>
            </w:r>
          </w:p>
          <w:p w14:paraId="330A8AA2" w14:textId="7809DAA1" w:rsidR="006B0F15" w:rsidRPr="006B0F15" w:rsidRDefault="006B0F15" w:rsidP="000A575B">
            <w:pPr>
              <w:pStyle w:val="ListBullet"/>
              <w:numPr>
                <w:ilvl w:val="0"/>
                <w:numId w:val="0"/>
              </w:numPr>
              <w:ind w:left="360" w:hanging="360"/>
              <w:rPr>
                <w:b w:val="0"/>
                <w:bCs w:val="0"/>
              </w:rPr>
            </w:pPr>
            <w:r w:rsidRPr="00184A31">
              <w:rPr>
                <w:b w:val="0"/>
                <w:bCs w:val="0"/>
              </w:rPr>
              <w:t>Benefit: 75% = $</w:t>
            </w:r>
            <w:r>
              <w:rPr>
                <w:b w:val="0"/>
                <w:bCs w:val="0"/>
              </w:rPr>
              <w:t>1</w:t>
            </w:r>
            <w:r w:rsidR="00A712C4">
              <w:rPr>
                <w:b w:val="0"/>
                <w:bCs w:val="0"/>
              </w:rPr>
              <w:t>,</w:t>
            </w:r>
            <w:r>
              <w:rPr>
                <w:b w:val="0"/>
                <w:bCs w:val="0"/>
              </w:rPr>
              <w:t>200.00</w:t>
            </w:r>
            <w:r w:rsidRPr="00184A31">
              <w:rPr>
                <w:b w:val="0"/>
                <w:bCs w:val="0"/>
              </w:rPr>
              <w:t xml:space="preserve">          85% = $</w:t>
            </w:r>
            <w:r>
              <w:rPr>
                <w:b w:val="0"/>
                <w:bCs w:val="0"/>
              </w:rPr>
              <w:t>1</w:t>
            </w:r>
            <w:r w:rsidR="00A712C4">
              <w:rPr>
                <w:b w:val="0"/>
                <w:bCs w:val="0"/>
              </w:rPr>
              <w:t>,</w:t>
            </w:r>
            <w:r>
              <w:rPr>
                <w:b w:val="0"/>
                <w:bCs w:val="0"/>
              </w:rPr>
              <w:t>50</w:t>
            </w:r>
            <w:r w:rsidR="00A712C4">
              <w:rPr>
                <w:b w:val="0"/>
                <w:bCs w:val="0"/>
              </w:rPr>
              <w:t>1</w:t>
            </w:r>
            <w:r>
              <w:rPr>
                <w:b w:val="0"/>
                <w:bCs w:val="0"/>
              </w:rPr>
              <w:t>.</w:t>
            </w:r>
            <w:r w:rsidR="00A712C4">
              <w:rPr>
                <w:b w:val="0"/>
                <w:bCs w:val="0"/>
              </w:rPr>
              <w:t>3</w:t>
            </w:r>
            <w:r>
              <w:rPr>
                <w:b w:val="0"/>
                <w:bCs w:val="0"/>
              </w:rPr>
              <w:t>0</w:t>
            </w:r>
          </w:p>
        </w:tc>
      </w:tr>
      <w:bookmarkEnd w:id="5"/>
    </w:tbl>
    <w:p w14:paraId="508B4C47" w14:textId="0B9F0AE6" w:rsidR="00BE3ED5" w:rsidRDefault="00BE3ED5" w:rsidP="00BE3ED5"/>
    <w:p w14:paraId="7A410FAE" w14:textId="77777777" w:rsidR="007C31DD" w:rsidRDefault="007C31DD" w:rsidP="007C31DD">
      <w:pPr>
        <w:pStyle w:val="Disclaimer"/>
      </w:pPr>
      <w:r w:rsidRPr="0029176A">
        <w:lastRenderedPageBreak/>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F71C28A" w14:textId="634B485C" w:rsidR="007C31DD" w:rsidRPr="00BE3ED5" w:rsidRDefault="007C31DD" w:rsidP="002847F9">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7C31DD" w:rsidRPr="00BE3ED5" w:rsidSect="00B53987">
      <w:footerReference w:type="default" r:id="rId20"/>
      <w:headerReference w:type="first" r:id="rId21"/>
      <w:footerReference w:type="first" r:id="rId2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322D2" w14:textId="77777777" w:rsidR="00747E0C" w:rsidRDefault="00747E0C" w:rsidP="006B56BB">
      <w:r>
        <w:separator/>
      </w:r>
    </w:p>
    <w:p w14:paraId="63DB7FEB" w14:textId="77777777" w:rsidR="00747E0C" w:rsidRDefault="00747E0C"/>
  </w:endnote>
  <w:endnote w:type="continuationSeparator" w:id="0">
    <w:p w14:paraId="56BA044B" w14:textId="77777777" w:rsidR="00747E0C" w:rsidRDefault="00747E0C" w:rsidP="006B56BB">
      <w:r>
        <w:continuationSeparator/>
      </w:r>
    </w:p>
    <w:p w14:paraId="394388B0" w14:textId="77777777" w:rsidR="00747E0C" w:rsidRDefault="00747E0C"/>
  </w:endnote>
  <w:endnote w:type="continuationNotice" w:id="1">
    <w:p w14:paraId="1428C2A6" w14:textId="77777777" w:rsidR="00747E0C" w:rsidRDefault="00747E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000000"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191D7F39" w:rsidR="00F51321" w:rsidRDefault="00F9185D" w:rsidP="00F9185D">
    <w:pPr>
      <w:pStyle w:val="Footer"/>
      <w:tabs>
        <w:tab w:val="clear" w:pos="9026"/>
        <w:tab w:val="right" w:pos="10466"/>
      </w:tabs>
      <w:jc w:val="left"/>
    </w:pPr>
    <w:r w:rsidRPr="00184B7B">
      <w:rPr>
        <w:b/>
      </w:rPr>
      <w:t>New pathology items for targeted carrier testing for severe monogenic conditions</w:t>
    </w:r>
    <w:r>
      <w:rPr>
        <w:b/>
      </w:rPr>
      <w:t xml:space="preserve"> - 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Content>
            <w:sdt>
              <w:sdtPr>
                <w:id w:val="1762873439"/>
                <w:docPartObj>
                  <w:docPartGallery w:val="Page Numbers (Top of Page)"/>
                  <w:docPartUnique/>
                </w:docPartObj>
              </w:sdt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000000" w:rsidP="00F51321">
    <w:pPr>
      <w:pStyle w:val="Footer"/>
      <w:jc w:val="left"/>
      <w:rPr>
        <w:rStyle w:val="Hyperlink"/>
        <w:szCs w:val="18"/>
      </w:rPr>
    </w:pPr>
    <w:hyperlink r:id="rId1" w:history="1">
      <w:r w:rsidR="00F51321" w:rsidRPr="00E863C4">
        <w:rPr>
          <w:rStyle w:val="Hyperlink"/>
          <w:szCs w:val="18"/>
        </w:rPr>
        <w:t>MBS Online</w:t>
      </w:r>
    </w:hyperlink>
  </w:p>
  <w:p w14:paraId="0D093570" w14:textId="645DF140" w:rsidR="00F51321" w:rsidRPr="009B32BA" w:rsidRDefault="00F51321" w:rsidP="00F51321">
    <w:pPr>
      <w:pStyle w:val="Footer"/>
      <w:jc w:val="left"/>
      <w:rPr>
        <w:szCs w:val="18"/>
      </w:rPr>
    </w:pPr>
    <w:r w:rsidRPr="00870B05">
      <w:t>Last updated</w:t>
    </w:r>
    <w:r>
      <w:t xml:space="preserve"> – </w:t>
    </w:r>
    <w:r w:rsidR="004F6BD4">
      <w:t>22</w:t>
    </w:r>
    <w:r w:rsidR="001D00C6">
      <w:t xml:space="preserve"> </w:t>
    </w:r>
    <w:r w:rsidR="00617A19">
      <w:t>Novem</w:t>
    </w:r>
    <w:r w:rsidR="001D00C6">
      <w:t>ber</w:t>
    </w:r>
    <w:r>
      <w:t xml:space="preserve"> 20</w:t>
    </w:r>
    <w:r w:rsidR="009F69DC">
      <w:t>23</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000000"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6E1899CD" w:rsidR="00064168" w:rsidRPr="00184B7B" w:rsidRDefault="00184B7B" w:rsidP="00184B7B">
    <w:pPr>
      <w:pStyle w:val="Footer"/>
      <w:tabs>
        <w:tab w:val="right" w:pos="10466"/>
      </w:tabs>
      <w:jc w:val="left"/>
      <w:rPr>
        <w:b/>
      </w:rPr>
    </w:pPr>
    <w:r w:rsidRPr="00184B7B">
      <w:rPr>
        <w:b/>
      </w:rPr>
      <w:t>New pathology items for targeted carrier testing for severe monogenic conditions</w:t>
    </w:r>
    <w:r>
      <w:rPr>
        <w:b/>
      </w:rPr>
      <w:t xml:space="preserve"> -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000000" w:rsidP="00064168">
    <w:pPr>
      <w:pStyle w:val="Footer"/>
      <w:jc w:val="left"/>
      <w:rPr>
        <w:rStyle w:val="Hyperlink"/>
        <w:szCs w:val="18"/>
      </w:rPr>
    </w:pPr>
    <w:hyperlink r:id="rId1" w:history="1">
      <w:r w:rsidR="00064168" w:rsidRPr="00E863C4">
        <w:rPr>
          <w:rStyle w:val="Hyperlink"/>
          <w:szCs w:val="18"/>
        </w:rPr>
        <w:t>MBS Online</w:t>
      </w:r>
    </w:hyperlink>
  </w:p>
  <w:p w14:paraId="03585E81" w14:textId="7076A0D3" w:rsidR="00064168" w:rsidRPr="009B32BA" w:rsidRDefault="00064168" w:rsidP="00064168">
    <w:pPr>
      <w:pStyle w:val="Footer"/>
      <w:jc w:val="left"/>
      <w:rPr>
        <w:szCs w:val="18"/>
      </w:rPr>
    </w:pPr>
    <w:r w:rsidRPr="00870B05">
      <w:t>Last updated</w:t>
    </w:r>
    <w:r>
      <w:t xml:space="preserve"> – </w:t>
    </w:r>
    <w:r w:rsidR="004F6BD4">
      <w:t>22</w:t>
    </w:r>
    <w:r w:rsidR="001D00C6">
      <w:t xml:space="preserve"> </w:t>
    </w:r>
    <w:r w:rsidR="00617A19">
      <w:t>November</w:t>
    </w:r>
    <w:r>
      <w:t xml:space="preserve"> 20</w:t>
    </w:r>
    <w:r w:rsidR="00844AEF">
      <w:t>23</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F22FC" w14:textId="77777777" w:rsidR="00747E0C" w:rsidRDefault="00747E0C" w:rsidP="006B56BB">
      <w:r>
        <w:separator/>
      </w:r>
    </w:p>
    <w:p w14:paraId="3C8E1129" w14:textId="77777777" w:rsidR="00747E0C" w:rsidRDefault="00747E0C"/>
  </w:footnote>
  <w:footnote w:type="continuationSeparator" w:id="0">
    <w:p w14:paraId="616B2AFE" w14:textId="77777777" w:rsidR="00747E0C" w:rsidRDefault="00747E0C" w:rsidP="006B56BB">
      <w:r>
        <w:continuationSeparator/>
      </w:r>
    </w:p>
    <w:p w14:paraId="675D2E49" w14:textId="77777777" w:rsidR="00747E0C" w:rsidRDefault="00747E0C"/>
  </w:footnote>
  <w:footnote w:type="continuationNotice" w:id="1">
    <w:p w14:paraId="402A9779" w14:textId="77777777" w:rsidR="00747E0C" w:rsidRDefault="00747E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072A4704"/>
    <w:lvl w:ilvl="0" w:tplc="BD3AD7E6">
      <w:start w:val="1"/>
      <w:numFmt w:val="bullet"/>
      <w:pStyle w:val="ListBullet"/>
      <w:lvlText w:val=""/>
      <w:lvlJc w:val="left"/>
      <w:pPr>
        <w:ind w:left="360" w:hanging="360"/>
      </w:pPr>
      <w:rPr>
        <w:rFonts w:ascii="Symbol" w:hAnsi="Symbol" w:hint="default"/>
        <w:color w:val="auto"/>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A44937"/>
    <w:multiLevelType w:val="hybridMultilevel"/>
    <w:tmpl w:val="6E32E95A"/>
    <w:lvl w:ilvl="0" w:tplc="AC748352">
      <w:numFmt w:val="bullet"/>
      <w:lvlText w:val="-"/>
      <w:lvlJc w:val="left"/>
      <w:pPr>
        <w:ind w:left="720" w:hanging="360"/>
      </w:pPr>
      <w:rPr>
        <w:rFonts w:ascii="Arial" w:eastAsia="Times New Roman"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926111069">
    <w:abstractNumId w:val="7"/>
  </w:num>
  <w:num w:numId="2" w16cid:durableId="1478493074">
    <w:abstractNumId w:val="17"/>
  </w:num>
  <w:num w:numId="3" w16cid:durableId="677587028">
    <w:abstractNumId w:val="19"/>
  </w:num>
  <w:num w:numId="4" w16cid:durableId="1231039742">
    <w:abstractNumId w:val="8"/>
  </w:num>
  <w:num w:numId="5" w16cid:durableId="591858380">
    <w:abstractNumId w:val="8"/>
    <w:lvlOverride w:ilvl="0">
      <w:startOverride w:val="1"/>
    </w:lvlOverride>
  </w:num>
  <w:num w:numId="6" w16cid:durableId="788281022">
    <w:abstractNumId w:val="9"/>
  </w:num>
  <w:num w:numId="7" w16cid:durableId="279534151">
    <w:abstractNumId w:val="15"/>
  </w:num>
  <w:num w:numId="8" w16cid:durableId="679812853">
    <w:abstractNumId w:val="18"/>
  </w:num>
  <w:num w:numId="9" w16cid:durableId="899753836">
    <w:abstractNumId w:val="5"/>
  </w:num>
  <w:num w:numId="10" w16cid:durableId="559293556">
    <w:abstractNumId w:val="4"/>
  </w:num>
  <w:num w:numId="11" w16cid:durableId="700861883">
    <w:abstractNumId w:val="3"/>
  </w:num>
  <w:num w:numId="12" w16cid:durableId="1451432383">
    <w:abstractNumId w:val="2"/>
  </w:num>
  <w:num w:numId="13" w16cid:durableId="1866598163">
    <w:abstractNumId w:val="6"/>
  </w:num>
  <w:num w:numId="14" w16cid:durableId="1492716279">
    <w:abstractNumId w:val="1"/>
  </w:num>
  <w:num w:numId="15" w16cid:durableId="1933008847">
    <w:abstractNumId w:val="0"/>
  </w:num>
  <w:num w:numId="16" w16cid:durableId="1015422718">
    <w:abstractNumId w:val="21"/>
  </w:num>
  <w:num w:numId="17" w16cid:durableId="1527400320">
    <w:abstractNumId w:val="10"/>
  </w:num>
  <w:num w:numId="18" w16cid:durableId="1327825878">
    <w:abstractNumId w:val="12"/>
  </w:num>
  <w:num w:numId="19" w16cid:durableId="685836270">
    <w:abstractNumId w:val="14"/>
  </w:num>
  <w:num w:numId="20" w16cid:durableId="329214673">
    <w:abstractNumId w:val="10"/>
  </w:num>
  <w:num w:numId="21" w16cid:durableId="2085226631">
    <w:abstractNumId w:val="14"/>
  </w:num>
  <w:num w:numId="22" w16cid:durableId="567694129">
    <w:abstractNumId w:val="21"/>
  </w:num>
  <w:num w:numId="23" w16cid:durableId="1717200196">
    <w:abstractNumId w:val="17"/>
  </w:num>
  <w:num w:numId="24" w16cid:durableId="1389065702">
    <w:abstractNumId w:val="19"/>
  </w:num>
  <w:num w:numId="25" w16cid:durableId="1244298136">
    <w:abstractNumId w:val="8"/>
  </w:num>
  <w:num w:numId="26" w16cid:durableId="1336228828">
    <w:abstractNumId w:val="16"/>
  </w:num>
  <w:num w:numId="27" w16cid:durableId="2104573612">
    <w:abstractNumId w:val="11"/>
  </w:num>
  <w:num w:numId="28" w16cid:durableId="1952084031">
    <w:abstractNumId w:val="13"/>
  </w:num>
  <w:num w:numId="29" w16cid:durableId="1975496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2E50"/>
    <w:rsid w:val="000332B9"/>
    <w:rsid w:val="00033321"/>
    <w:rsid w:val="000338E5"/>
    <w:rsid w:val="00033ECC"/>
    <w:rsid w:val="0003422F"/>
    <w:rsid w:val="00034781"/>
    <w:rsid w:val="00036181"/>
    <w:rsid w:val="00046FF0"/>
    <w:rsid w:val="00050176"/>
    <w:rsid w:val="00050342"/>
    <w:rsid w:val="0005551F"/>
    <w:rsid w:val="00056509"/>
    <w:rsid w:val="00064168"/>
    <w:rsid w:val="00067456"/>
    <w:rsid w:val="00071506"/>
    <w:rsid w:val="0007154F"/>
    <w:rsid w:val="00080BAC"/>
    <w:rsid w:val="00081AB1"/>
    <w:rsid w:val="00090316"/>
    <w:rsid w:val="00093981"/>
    <w:rsid w:val="000A575B"/>
    <w:rsid w:val="000B067A"/>
    <w:rsid w:val="000B1540"/>
    <w:rsid w:val="000B1E53"/>
    <w:rsid w:val="000B2221"/>
    <w:rsid w:val="000B33FD"/>
    <w:rsid w:val="000B4ABA"/>
    <w:rsid w:val="000C4B16"/>
    <w:rsid w:val="000C4EE9"/>
    <w:rsid w:val="000C50C3"/>
    <w:rsid w:val="000C5E14"/>
    <w:rsid w:val="000D21F6"/>
    <w:rsid w:val="000D4500"/>
    <w:rsid w:val="000D7AEA"/>
    <w:rsid w:val="000E2C66"/>
    <w:rsid w:val="000F123C"/>
    <w:rsid w:val="000F2FED"/>
    <w:rsid w:val="0010616D"/>
    <w:rsid w:val="00110478"/>
    <w:rsid w:val="00116BED"/>
    <w:rsid w:val="0011711B"/>
    <w:rsid w:val="0011762A"/>
    <w:rsid w:val="00117F8A"/>
    <w:rsid w:val="00121B9B"/>
    <w:rsid w:val="00122ADC"/>
    <w:rsid w:val="001245EF"/>
    <w:rsid w:val="00130F59"/>
    <w:rsid w:val="00133EC0"/>
    <w:rsid w:val="00141CE5"/>
    <w:rsid w:val="00144908"/>
    <w:rsid w:val="00147E43"/>
    <w:rsid w:val="00156D96"/>
    <w:rsid w:val="001571C7"/>
    <w:rsid w:val="00161094"/>
    <w:rsid w:val="001641B0"/>
    <w:rsid w:val="0016544C"/>
    <w:rsid w:val="00173710"/>
    <w:rsid w:val="0017665C"/>
    <w:rsid w:val="00177AD2"/>
    <w:rsid w:val="001815A8"/>
    <w:rsid w:val="001840FA"/>
    <w:rsid w:val="00184A31"/>
    <w:rsid w:val="00184B7B"/>
    <w:rsid w:val="00190079"/>
    <w:rsid w:val="0019622E"/>
    <w:rsid w:val="001966A7"/>
    <w:rsid w:val="001A4627"/>
    <w:rsid w:val="001A4979"/>
    <w:rsid w:val="001B15D3"/>
    <w:rsid w:val="001B3443"/>
    <w:rsid w:val="001C0326"/>
    <w:rsid w:val="001C192F"/>
    <w:rsid w:val="001C2E12"/>
    <w:rsid w:val="001C3C42"/>
    <w:rsid w:val="001D00C6"/>
    <w:rsid w:val="001D0DBE"/>
    <w:rsid w:val="001D29D3"/>
    <w:rsid w:val="001D7869"/>
    <w:rsid w:val="001F1075"/>
    <w:rsid w:val="002026CD"/>
    <w:rsid w:val="002033FC"/>
    <w:rsid w:val="002044BB"/>
    <w:rsid w:val="00210B09"/>
    <w:rsid w:val="00210C9E"/>
    <w:rsid w:val="00211840"/>
    <w:rsid w:val="00220E5F"/>
    <w:rsid w:val="002212B5"/>
    <w:rsid w:val="00226668"/>
    <w:rsid w:val="00232622"/>
    <w:rsid w:val="00233809"/>
    <w:rsid w:val="00240046"/>
    <w:rsid w:val="0024797F"/>
    <w:rsid w:val="0025119E"/>
    <w:rsid w:val="00251269"/>
    <w:rsid w:val="00252EDB"/>
    <w:rsid w:val="002535C0"/>
    <w:rsid w:val="002579FE"/>
    <w:rsid w:val="00260552"/>
    <w:rsid w:val="0026311C"/>
    <w:rsid w:val="0026668C"/>
    <w:rsid w:val="00266AC1"/>
    <w:rsid w:val="0027178C"/>
    <w:rsid w:val="00271954"/>
    <w:rsid w:val="002719FA"/>
    <w:rsid w:val="00272668"/>
    <w:rsid w:val="00272805"/>
    <w:rsid w:val="0027330B"/>
    <w:rsid w:val="00274E67"/>
    <w:rsid w:val="002772B2"/>
    <w:rsid w:val="002803AD"/>
    <w:rsid w:val="00282052"/>
    <w:rsid w:val="002831A3"/>
    <w:rsid w:val="002847F9"/>
    <w:rsid w:val="0028519E"/>
    <w:rsid w:val="002856A5"/>
    <w:rsid w:val="002872ED"/>
    <w:rsid w:val="002905C2"/>
    <w:rsid w:val="00295AF2"/>
    <w:rsid w:val="00295C91"/>
    <w:rsid w:val="00297151"/>
    <w:rsid w:val="0029737B"/>
    <w:rsid w:val="002A6420"/>
    <w:rsid w:val="002B20E6"/>
    <w:rsid w:val="002B42A3"/>
    <w:rsid w:val="002C0CDD"/>
    <w:rsid w:val="002C38C4"/>
    <w:rsid w:val="002C46AA"/>
    <w:rsid w:val="002C6567"/>
    <w:rsid w:val="002D6775"/>
    <w:rsid w:val="002E1A1D"/>
    <w:rsid w:val="002E4081"/>
    <w:rsid w:val="002E4159"/>
    <w:rsid w:val="002E5B78"/>
    <w:rsid w:val="002F3AE3"/>
    <w:rsid w:val="0030464B"/>
    <w:rsid w:val="0030786C"/>
    <w:rsid w:val="003209E8"/>
    <w:rsid w:val="003233DE"/>
    <w:rsid w:val="0032466B"/>
    <w:rsid w:val="003330EB"/>
    <w:rsid w:val="003415FD"/>
    <w:rsid w:val="003429F0"/>
    <w:rsid w:val="0034365E"/>
    <w:rsid w:val="00343C4C"/>
    <w:rsid w:val="00345A82"/>
    <w:rsid w:val="0035097A"/>
    <w:rsid w:val="003540A4"/>
    <w:rsid w:val="00357BCC"/>
    <w:rsid w:val="00360E4E"/>
    <w:rsid w:val="00370AAA"/>
    <w:rsid w:val="00375F77"/>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3AD"/>
    <w:rsid w:val="003B5FF4"/>
    <w:rsid w:val="003C0FEC"/>
    <w:rsid w:val="003C2AC8"/>
    <w:rsid w:val="003D033A"/>
    <w:rsid w:val="003D17F9"/>
    <w:rsid w:val="003D2D88"/>
    <w:rsid w:val="003D41EA"/>
    <w:rsid w:val="003D4850"/>
    <w:rsid w:val="003D535A"/>
    <w:rsid w:val="003E5265"/>
    <w:rsid w:val="003F0955"/>
    <w:rsid w:val="003F5F4D"/>
    <w:rsid w:val="003F646F"/>
    <w:rsid w:val="003F7E1F"/>
    <w:rsid w:val="00400539"/>
    <w:rsid w:val="00400F00"/>
    <w:rsid w:val="00404097"/>
    <w:rsid w:val="00404F8B"/>
    <w:rsid w:val="00405256"/>
    <w:rsid w:val="00405ADD"/>
    <w:rsid w:val="00410031"/>
    <w:rsid w:val="00415C81"/>
    <w:rsid w:val="00430F29"/>
    <w:rsid w:val="00432378"/>
    <w:rsid w:val="004400E1"/>
    <w:rsid w:val="00440D65"/>
    <w:rsid w:val="004435E6"/>
    <w:rsid w:val="00443AE6"/>
    <w:rsid w:val="00447E31"/>
    <w:rsid w:val="00453923"/>
    <w:rsid w:val="00454B9B"/>
    <w:rsid w:val="00457858"/>
    <w:rsid w:val="00460B0B"/>
    <w:rsid w:val="00461023"/>
    <w:rsid w:val="00461BA3"/>
    <w:rsid w:val="00462FAC"/>
    <w:rsid w:val="00464631"/>
    <w:rsid w:val="00464B79"/>
    <w:rsid w:val="00467BBF"/>
    <w:rsid w:val="00470F16"/>
    <w:rsid w:val="0048593C"/>
    <w:rsid w:val="004867E2"/>
    <w:rsid w:val="004929A9"/>
    <w:rsid w:val="004A78D9"/>
    <w:rsid w:val="004B291E"/>
    <w:rsid w:val="004C1BCD"/>
    <w:rsid w:val="004C6BCF"/>
    <w:rsid w:val="004D3833"/>
    <w:rsid w:val="004D58BF"/>
    <w:rsid w:val="004E3222"/>
    <w:rsid w:val="004E4335"/>
    <w:rsid w:val="004E5226"/>
    <w:rsid w:val="004F13EE"/>
    <w:rsid w:val="004F2022"/>
    <w:rsid w:val="004F6BD4"/>
    <w:rsid w:val="004F7C05"/>
    <w:rsid w:val="00501C94"/>
    <w:rsid w:val="00506432"/>
    <w:rsid w:val="00506E82"/>
    <w:rsid w:val="0052051D"/>
    <w:rsid w:val="0052368B"/>
    <w:rsid w:val="005458B4"/>
    <w:rsid w:val="00545EE6"/>
    <w:rsid w:val="005514B2"/>
    <w:rsid w:val="005550E7"/>
    <w:rsid w:val="005564FB"/>
    <w:rsid w:val="005572C7"/>
    <w:rsid w:val="005650ED"/>
    <w:rsid w:val="00575754"/>
    <w:rsid w:val="00581FBA"/>
    <w:rsid w:val="005858A4"/>
    <w:rsid w:val="00591E20"/>
    <w:rsid w:val="00595408"/>
    <w:rsid w:val="00595413"/>
    <w:rsid w:val="00595E84"/>
    <w:rsid w:val="005A0C59"/>
    <w:rsid w:val="005A48EB"/>
    <w:rsid w:val="005A6CFB"/>
    <w:rsid w:val="005C5AEB"/>
    <w:rsid w:val="005D5F4E"/>
    <w:rsid w:val="005D7C9D"/>
    <w:rsid w:val="005E0A3F"/>
    <w:rsid w:val="005E1AF9"/>
    <w:rsid w:val="005E2851"/>
    <w:rsid w:val="005E2D76"/>
    <w:rsid w:val="005E6883"/>
    <w:rsid w:val="005E772F"/>
    <w:rsid w:val="005F1479"/>
    <w:rsid w:val="005F4ECA"/>
    <w:rsid w:val="006041BE"/>
    <w:rsid w:val="006043C7"/>
    <w:rsid w:val="00617A19"/>
    <w:rsid w:val="00624B52"/>
    <w:rsid w:val="00630794"/>
    <w:rsid w:val="00631DF4"/>
    <w:rsid w:val="00634175"/>
    <w:rsid w:val="0063574E"/>
    <w:rsid w:val="006408AC"/>
    <w:rsid w:val="00642F20"/>
    <w:rsid w:val="006511B6"/>
    <w:rsid w:val="00657FF8"/>
    <w:rsid w:val="00662D48"/>
    <w:rsid w:val="00670D99"/>
    <w:rsid w:val="00670E2B"/>
    <w:rsid w:val="00671AD6"/>
    <w:rsid w:val="006734BB"/>
    <w:rsid w:val="0067697A"/>
    <w:rsid w:val="006821EB"/>
    <w:rsid w:val="006B0F15"/>
    <w:rsid w:val="006B2286"/>
    <w:rsid w:val="006B56BB"/>
    <w:rsid w:val="006C085B"/>
    <w:rsid w:val="006C6D49"/>
    <w:rsid w:val="006C723D"/>
    <w:rsid w:val="006C77A8"/>
    <w:rsid w:val="006D4098"/>
    <w:rsid w:val="006D7681"/>
    <w:rsid w:val="006D7B2E"/>
    <w:rsid w:val="006E02EA"/>
    <w:rsid w:val="006E0968"/>
    <w:rsid w:val="006E2AF6"/>
    <w:rsid w:val="006F1ED3"/>
    <w:rsid w:val="006F5073"/>
    <w:rsid w:val="00701275"/>
    <w:rsid w:val="00707F56"/>
    <w:rsid w:val="007110EA"/>
    <w:rsid w:val="007128A8"/>
    <w:rsid w:val="00713558"/>
    <w:rsid w:val="00720D08"/>
    <w:rsid w:val="007263B9"/>
    <w:rsid w:val="007334F8"/>
    <w:rsid w:val="007339CD"/>
    <w:rsid w:val="007359D8"/>
    <w:rsid w:val="007362D4"/>
    <w:rsid w:val="00741933"/>
    <w:rsid w:val="00747E0C"/>
    <w:rsid w:val="00757969"/>
    <w:rsid w:val="0076672A"/>
    <w:rsid w:val="00775E45"/>
    <w:rsid w:val="00776E74"/>
    <w:rsid w:val="00785169"/>
    <w:rsid w:val="007954AB"/>
    <w:rsid w:val="007A14C5"/>
    <w:rsid w:val="007A4A10"/>
    <w:rsid w:val="007B1750"/>
    <w:rsid w:val="007B1760"/>
    <w:rsid w:val="007C1FDC"/>
    <w:rsid w:val="007C31DD"/>
    <w:rsid w:val="007C6D9C"/>
    <w:rsid w:val="007C7DDB"/>
    <w:rsid w:val="007D2CC7"/>
    <w:rsid w:val="007D673D"/>
    <w:rsid w:val="007E0068"/>
    <w:rsid w:val="007E0FB8"/>
    <w:rsid w:val="007E4D09"/>
    <w:rsid w:val="007F2220"/>
    <w:rsid w:val="007F4B3E"/>
    <w:rsid w:val="008036CE"/>
    <w:rsid w:val="008127AF"/>
    <w:rsid w:val="00812B46"/>
    <w:rsid w:val="00815700"/>
    <w:rsid w:val="0082246B"/>
    <w:rsid w:val="00824630"/>
    <w:rsid w:val="008264EB"/>
    <w:rsid w:val="00826B8F"/>
    <w:rsid w:val="00831D1F"/>
    <w:rsid w:val="00831E8A"/>
    <w:rsid w:val="00835C76"/>
    <w:rsid w:val="008376E2"/>
    <w:rsid w:val="0084109B"/>
    <w:rsid w:val="00843049"/>
    <w:rsid w:val="008437CA"/>
    <w:rsid w:val="00844AEF"/>
    <w:rsid w:val="0085209B"/>
    <w:rsid w:val="00856B66"/>
    <w:rsid w:val="008601AC"/>
    <w:rsid w:val="00861A5F"/>
    <w:rsid w:val="008644AD"/>
    <w:rsid w:val="00865735"/>
    <w:rsid w:val="00865DDB"/>
    <w:rsid w:val="00867538"/>
    <w:rsid w:val="00873D90"/>
    <w:rsid w:val="00873FC8"/>
    <w:rsid w:val="00883C23"/>
    <w:rsid w:val="00884C63"/>
    <w:rsid w:val="00885908"/>
    <w:rsid w:val="008864B7"/>
    <w:rsid w:val="008921B3"/>
    <w:rsid w:val="0089677E"/>
    <w:rsid w:val="008A7438"/>
    <w:rsid w:val="008B1334"/>
    <w:rsid w:val="008B25C7"/>
    <w:rsid w:val="008B4B64"/>
    <w:rsid w:val="008C0278"/>
    <w:rsid w:val="008C24E9"/>
    <w:rsid w:val="008D0533"/>
    <w:rsid w:val="008D42CB"/>
    <w:rsid w:val="008D48C9"/>
    <w:rsid w:val="008D6381"/>
    <w:rsid w:val="008E0C77"/>
    <w:rsid w:val="008E17B3"/>
    <w:rsid w:val="008E625F"/>
    <w:rsid w:val="008F264D"/>
    <w:rsid w:val="008F3BD6"/>
    <w:rsid w:val="009040E9"/>
    <w:rsid w:val="009074E1"/>
    <w:rsid w:val="009112F7"/>
    <w:rsid w:val="009122AF"/>
    <w:rsid w:val="00912D54"/>
    <w:rsid w:val="0091389F"/>
    <w:rsid w:val="009208F7"/>
    <w:rsid w:val="00921649"/>
    <w:rsid w:val="00922517"/>
    <w:rsid w:val="00922722"/>
    <w:rsid w:val="009261E6"/>
    <w:rsid w:val="009268E1"/>
    <w:rsid w:val="009271EE"/>
    <w:rsid w:val="00931A3F"/>
    <w:rsid w:val="009344AE"/>
    <w:rsid w:val="009344DE"/>
    <w:rsid w:val="00941C05"/>
    <w:rsid w:val="00945E7F"/>
    <w:rsid w:val="009557C1"/>
    <w:rsid w:val="00957FF5"/>
    <w:rsid w:val="00960D6E"/>
    <w:rsid w:val="0097437D"/>
    <w:rsid w:val="0097474F"/>
    <w:rsid w:val="00974B59"/>
    <w:rsid w:val="009824B1"/>
    <w:rsid w:val="0098340B"/>
    <w:rsid w:val="00986830"/>
    <w:rsid w:val="009924C3"/>
    <w:rsid w:val="00993102"/>
    <w:rsid w:val="00995539"/>
    <w:rsid w:val="009B1570"/>
    <w:rsid w:val="009C6F10"/>
    <w:rsid w:val="009C7E07"/>
    <w:rsid w:val="009D148F"/>
    <w:rsid w:val="009D3D70"/>
    <w:rsid w:val="009D6289"/>
    <w:rsid w:val="009E6F7E"/>
    <w:rsid w:val="009E7A57"/>
    <w:rsid w:val="009F4803"/>
    <w:rsid w:val="009F4F6A"/>
    <w:rsid w:val="009F69DC"/>
    <w:rsid w:val="00A13EB5"/>
    <w:rsid w:val="00A16E36"/>
    <w:rsid w:val="00A24961"/>
    <w:rsid w:val="00A24B10"/>
    <w:rsid w:val="00A277EF"/>
    <w:rsid w:val="00A30E9B"/>
    <w:rsid w:val="00A4512D"/>
    <w:rsid w:val="00A50244"/>
    <w:rsid w:val="00A547D4"/>
    <w:rsid w:val="00A627D7"/>
    <w:rsid w:val="00A656C7"/>
    <w:rsid w:val="00A705AF"/>
    <w:rsid w:val="00A712C4"/>
    <w:rsid w:val="00A719F6"/>
    <w:rsid w:val="00A72454"/>
    <w:rsid w:val="00A74DE7"/>
    <w:rsid w:val="00A77696"/>
    <w:rsid w:val="00A80557"/>
    <w:rsid w:val="00A81D33"/>
    <w:rsid w:val="00A8341C"/>
    <w:rsid w:val="00A930AE"/>
    <w:rsid w:val="00AA19A9"/>
    <w:rsid w:val="00AA1A95"/>
    <w:rsid w:val="00AA260F"/>
    <w:rsid w:val="00AA46C1"/>
    <w:rsid w:val="00AA66C1"/>
    <w:rsid w:val="00AA7A61"/>
    <w:rsid w:val="00AB1EE7"/>
    <w:rsid w:val="00AB4B37"/>
    <w:rsid w:val="00AB5762"/>
    <w:rsid w:val="00AC2679"/>
    <w:rsid w:val="00AC4BE4"/>
    <w:rsid w:val="00AD05E6"/>
    <w:rsid w:val="00AD0D3F"/>
    <w:rsid w:val="00AE1D7D"/>
    <w:rsid w:val="00AE2A8B"/>
    <w:rsid w:val="00AE3F64"/>
    <w:rsid w:val="00AE4968"/>
    <w:rsid w:val="00AF20D6"/>
    <w:rsid w:val="00AF2192"/>
    <w:rsid w:val="00AF6AE6"/>
    <w:rsid w:val="00AF7386"/>
    <w:rsid w:val="00AF7934"/>
    <w:rsid w:val="00B00B81"/>
    <w:rsid w:val="00B04580"/>
    <w:rsid w:val="00B04A8C"/>
    <w:rsid w:val="00B04B09"/>
    <w:rsid w:val="00B16A51"/>
    <w:rsid w:val="00B279FC"/>
    <w:rsid w:val="00B32222"/>
    <w:rsid w:val="00B3618D"/>
    <w:rsid w:val="00B36233"/>
    <w:rsid w:val="00B42851"/>
    <w:rsid w:val="00B42FF5"/>
    <w:rsid w:val="00B45350"/>
    <w:rsid w:val="00B45AC7"/>
    <w:rsid w:val="00B5372F"/>
    <w:rsid w:val="00B53987"/>
    <w:rsid w:val="00B61129"/>
    <w:rsid w:val="00B67E7F"/>
    <w:rsid w:val="00B724E1"/>
    <w:rsid w:val="00B76DB3"/>
    <w:rsid w:val="00B76FA8"/>
    <w:rsid w:val="00B80CB1"/>
    <w:rsid w:val="00B839B2"/>
    <w:rsid w:val="00B939BD"/>
    <w:rsid w:val="00B93C0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4EF"/>
    <w:rsid w:val="00BD0617"/>
    <w:rsid w:val="00BD0A9E"/>
    <w:rsid w:val="00BD1EC7"/>
    <w:rsid w:val="00BD2C9B"/>
    <w:rsid w:val="00BD2E9B"/>
    <w:rsid w:val="00BD54BF"/>
    <w:rsid w:val="00BD6829"/>
    <w:rsid w:val="00BD7FB2"/>
    <w:rsid w:val="00BE3479"/>
    <w:rsid w:val="00BE3ED5"/>
    <w:rsid w:val="00BF2828"/>
    <w:rsid w:val="00BF3AC3"/>
    <w:rsid w:val="00C00930"/>
    <w:rsid w:val="00C01A3A"/>
    <w:rsid w:val="00C060AD"/>
    <w:rsid w:val="00C113BF"/>
    <w:rsid w:val="00C118B7"/>
    <w:rsid w:val="00C1559F"/>
    <w:rsid w:val="00C15FBD"/>
    <w:rsid w:val="00C17274"/>
    <w:rsid w:val="00C2176E"/>
    <w:rsid w:val="00C230E8"/>
    <w:rsid w:val="00C23430"/>
    <w:rsid w:val="00C24017"/>
    <w:rsid w:val="00C274E1"/>
    <w:rsid w:val="00C27D67"/>
    <w:rsid w:val="00C31931"/>
    <w:rsid w:val="00C435AF"/>
    <w:rsid w:val="00C4631F"/>
    <w:rsid w:val="00C47CDE"/>
    <w:rsid w:val="00C47F41"/>
    <w:rsid w:val="00C50E16"/>
    <w:rsid w:val="00C55258"/>
    <w:rsid w:val="00C75FA3"/>
    <w:rsid w:val="00C82EEB"/>
    <w:rsid w:val="00C971DC"/>
    <w:rsid w:val="00CA16B7"/>
    <w:rsid w:val="00CA35D8"/>
    <w:rsid w:val="00CA62AE"/>
    <w:rsid w:val="00CB03B8"/>
    <w:rsid w:val="00CB5B1A"/>
    <w:rsid w:val="00CC220B"/>
    <w:rsid w:val="00CC5C43"/>
    <w:rsid w:val="00CD02AE"/>
    <w:rsid w:val="00CD2A4F"/>
    <w:rsid w:val="00CE03CA"/>
    <w:rsid w:val="00CE12EE"/>
    <w:rsid w:val="00CE22F1"/>
    <w:rsid w:val="00CE50F2"/>
    <w:rsid w:val="00CE6502"/>
    <w:rsid w:val="00CE74E5"/>
    <w:rsid w:val="00CF4434"/>
    <w:rsid w:val="00CF7D3C"/>
    <w:rsid w:val="00D01F09"/>
    <w:rsid w:val="00D02E3C"/>
    <w:rsid w:val="00D03527"/>
    <w:rsid w:val="00D06FE1"/>
    <w:rsid w:val="00D147EB"/>
    <w:rsid w:val="00D34667"/>
    <w:rsid w:val="00D401E1"/>
    <w:rsid w:val="00D408B4"/>
    <w:rsid w:val="00D42A59"/>
    <w:rsid w:val="00D43372"/>
    <w:rsid w:val="00D44330"/>
    <w:rsid w:val="00D524C8"/>
    <w:rsid w:val="00D605D2"/>
    <w:rsid w:val="00D70E24"/>
    <w:rsid w:val="00D72B61"/>
    <w:rsid w:val="00D83D1E"/>
    <w:rsid w:val="00D90CF2"/>
    <w:rsid w:val="00D916A0"/>
    <w:rsid w:val="00DA3D1D"/>
    <w:rsid w:val="00DB6286"/>
    <w:rsid w:val="00DB645F"/>
    <w:rsid w:val="00DB76E9"/>
    <w:rsid w:val="00DC0A67"/>
    <w:rsid w:val="00DC1D5E"/>
    <w:rsid w:val="00DC5220"/>
    <w:rsid w:val="00DD2061"/>
    <w:rsid w:val="00DD7DAB"/>
    <w:rsid w:val="00DE3355"/>
    <w:rsid w:val="00DF0C60"/>
    <w:rsid w:val="00DF486F"/>
    <w:rsid w:val="00DF51C4"/>
    <w:rsid w:val="00DF5B5B"/>
    <w:rsid w:val="00DF67DD"/>
    <w:rsid w:val="00DF7619"/>
    <w:rsid w:val="00E040FE"/>
    <w:rsid w:val="00E042D8"/>
    <w:rsid w:val="00E07EE7"/>
    <w:rsid w:val="00E1103B"/>
    <w:rsid w:val="00E17B44"/>
    <w:rsid w:val="00E20F27"/>
    <w:rsid w:val="00E22443"/>
    <w:rsid w:val="00E25B1F"/>
    <w:rsid w:val="00E27FEA"/>
    <w:rsid w:val="00E4086F"/>
    <w:rsid w:val="00E43B3C"/>
    <w:rsid w:val="00E4635E"/>
    <w:rsid w:val="00E50188"/>
    <w:rsid w:val="00E50BB3"/>
    <w:rsid w:val="00E515CB"/>
    <w:rsid w:val="00E52260"/>
    <w:rsid w:val="00E60D3E"/>
    <w:rsid w:val="00E639B6"/>
    <w:rsid w:val="00E6434B"/>
    <w:rsid w:val="00E6463D"/>
    <w:rsid w:val="00E71492"/>
    <w:rsid w:val="00E72E9B"/>
    <w:rsid w:val="00E850C3"/>
    <w:rsid w:val="00E87DF2"/>
    <w:rsid w:val="00E9462E"/>
    <w:rsid w:val="00EA0379"/>
    <w:rsid w:val="00EA470E"/>
    <w:rsid w:val="00EA47A7"/>
    <w:rsid w:val="00EA4E17"/>
    <w:rsid w:val="00EA57EB"/>
    <w:rsid w:val="00EB3226"/>
    <w:rsid w:val="00EC213A"/>
    <w:rsid w:val="00EC6B9E"/>
    <w:rsid w:val="00EC7744"/>
    <w:rsid w:val="00ED0DAD"/>
    <w:rsid w:val="00ED0F46"/>
    <w:rsid w:val="00ED2373"/>
    <w:rsid w:val="00ED24F9"/>
    <w:rsid w:val="00ED2E38"/>
    <w:rsid w:val="00ED65A3"/>
    <w:rsid w:val="00EE14E6"/>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715D2"/>
    <w:rsid w:val="00F7274F"/>
    <w:rsid w:val="00F74E84"/>
    <w:rsid w:val="00F76FA8"/>
    <w:rsid w:val="00F85AFE"/>
    <w:rsid w:val="00F9185D"/>
    <w:rsid w:val="00F93F08"/>
    <w:rsid w:val="00F94CED"/>
    <w:rsid w:val="00F97D52"/>
    <w:rsid w:val="00FA02BB"/>
    <w:rsid w:val="00FA2CEE"/>
    <w:rsid w:val="00FA318C"/>
    <w:rsid w:val="00FB6F92"/>
    <w:rsid w:val="00FC026E"/>
    <w:rsid w:val="00FC5124"/>
    <w:rsid w:val="00FC76F5"/>
    <w:rsid w:val="00FD4731"/>
    <w:rsid w:val="00FD6768"/>
    <w:rsid w:val="00FF0AB0"/>
    <w:rsid w:val="00FF28AC"/>
    <w:rsid w:val="00FF73CA"/>
    <w:rsid w:val="00FF777D"/>
    <w:rsid w:val="00FF7B01"/>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character" w:styleId="CommentReference">
    <w:name w:val="annotation reference"/>
    <w:basedOn w:val="DefaultParagraphFont"/>
    <w:semiHidden/>
    <w:unhideWhenUsed/>
    <w:rsid w:val="007128A8"/>
    <w:rPr>
      <w:sz w:val="16"/>
      <w:szCs w:val="16"/>
    </w:rPr>
  </w:style>
  <w:style w:type="paragraph" w:styleId="CommentSubject">
    <w:name w:val="annotation subject"/>
    <w:basedOn w:val="CommentText"/>
    <w:next w:val="CommentText"/>
    <w:link w:val="CommentSubjectChar"/>
    <w:semiHidden/>
    <w:unhideWhenUsed/>
    <w:rsid w:val="007128A8"/>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7128A8"/>
    <w:rPr>
      <w:rFonts w:ascii="Arial" w:eastAsiaTheme="minorEastAsia" w:hAnsi="Arial" w:cstheme="minorBidi"/>
      <w:b/>
      <w:bCs/>
      <w:color w:val="000000" w:themeColor="text1"/>
      <w:lang w:eastAsia="en-US"/>
    </w:rPr>
  </w:style>
  <w:style w:type="paragraph" w:styleId="Revision">
    <w:name w:val="Revision"/>
    <w:hidden/>
    <w:uiPriority w:val="99"/>
    <w:semiHidden/>
    <w:rsid w:val="00C274E1"/>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90172254">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1671-public" TargetMode="External"/><Relationship Id="rId13" Type="http://schemas.openxmlformats.org/officeDocument/2006/relationships/hyperlink" Target="mailto:askMBS@health.gov.au" TargetMode="External"/><Relationship Id="rId18" Type="http://schemas.openxmlformats.org/officeDocument/2006/relationships/hyperlink" Target="https://www.servicesaustralia.gov.au/organisations/health-professionals/news/al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mbsonline.gov.au/" TargetMode="External"/><Relationship Id="rId17" Type="http://schemas.openxmlformats.org/officeDocument/2006/relationships/hyperlink" Target="mailto:PHI@health.gov.au" TargetMode="External"/><Relationship Id="rId2" Type="http://schemas.openxmlformats.org/officeDocument/2006/relationships/numbering" Target="numbering.xml"/><Relationship Id="rId16" Type="http://schemas.openxmlformats.org/officeDocument/2006/relationships/hyperlink" Target="https://www.legislation.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alth.gov.au/topics/private-health-insurance/private-health-insurance-reforms" TargetMode="External"/><Relationship Id="rId23" Type="http://schemas.openxmlformats.org/officeDocument/2006/relationships/fontTable" Target="fontTable.xml"/><Relationship Id="rId10" Type="http://schemas.openxmlformats.org/officeDocument/2006/relationships/hyperlink" Target="http://www.msac.gov.au/" TargetMode="External"/><Relationship Id="rId19" Type="http://schemas.openxmlformats.org/officeDocument/2006/relationships/hyperlink" Target="http://www.mbsonline.gov.au/internet/mbsonline/publishing.nsf/Content/downloads" TargetMode="External"/><Relationship Id="rId4" Type="http://schemas.openxmlformats.org/officeDocument/2006/relationships/settings" Target="settings.xml"/><Relationship Id="rId9" Type="http://schemas.openxmlformats.org/officeDocument/2006/relationships/hyperlink" Target="http://www.msac.gov.au/internet/msac/publishing.nsf/Content/application-page" TargetMode="External"/><Relationship Id="rId14" Type="http://schemas.openxmlformats.org/officeDocument/2006/relationships/hyperlink" Target="https://www.privatehealth.gov.au/health_insurance/phichanges/index.ht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1385</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2023-11-22T00:58:00Z</dcterms:created>
  <dcterms:modified xsi:type="dcterms:W3CDTF">2023-11-27T05:00:00Z</dcterms:modified>
</cp:coreProperties>
</file>