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4E89AEC" w:rsidR="00BA2732" w:rsidRDefault="0016630F" w:rsidP="003D033A">
      <w:pPr>
        <w:pStyle w:val="Title"/>
      </w:pPr>
      <w:r>
        <w:t xml:space="preserve">New and amended items for </w:t>
      </w:r>
      <w:r w:rsidR="00C42CA6" w:rsidRPr="00C42CA6">
        <w:t xml:space="preserve">prostate specific antigen testing </w:t>
      </w:r>
    </w:p>
    <w:p w14:paraId="6EFD4B5B" w14:textId="79D3A8B0" w:rsidR="00064168" w:rsidRPr="00867595" w:rsidRDefault="00064168" w:rsidP="006F5073">
      <w:bookmarkStart w:id="0" w:name="_Hlk4568006"/>
      <w:r w:rsidRPr="00867595">
        <w:t xml:space="preserve">Last updated: </w:t>
      </w:r>
      <w:bookmarkStart w:id="1" w:name="_Hlk149144481"/>
      <w:r w:rsidR="006646CB">
        <w:t>22</w:t>
      </w:r>
      <w:r w:rsidR="001C062A">
        <w:t xml:space="preserve"> November</w:t>
      </w:r>
      <w:r w:rsidRPr="00867595">
        <w:t xml:space="preserve"> </w:t>
      </w:r>
      <w:bookmarkEnd w:id="1"/>
      <w:r w:rsidRPr="00867595">
        <w:t>20</w:t>
      </w:r>
      <w:r w:rsidR="00F45B58">
        <w:t>23</w:t>
      </w:r>
    </w:p>
    <w:p w14:paraId="0640D06F" w14:textId="60B3E88B" w:rsidR="00064168" w:rsidRPr="006F5073" w:rsidRDefault="00BA260D" w:rsidP="006F5073">
      <w:pPr>
        <w:pStyle w:val="ListBullet"/>
      </w:pPr>
      <w:bookmarkStart w:id="2" w:name="_Hlk535506978"/>
      <w:bookmarkEnd w:id="0"/>
      <w:r>
        <w:t xml:space="preserve">On </w:t>
      </w:r>
      <w:r w:rsidR="000C75CE">
        <w:t xml:space="preserve">1 November 2023, four </w:t>
      </w:r>
      <w:r w:rsidR="000C75CE" w:rsidRPr="00CB5964">
        <w:t>Medicare Benefits Schedule (MBS)</w:t>
      </w:r>
      <w:r w:rsidR="000C75CE">
        <w:t xml:space="preserve"> items for prostate specific antigen testing (PSA) </w:t>
      </w:r>
      <w:r>
        <w:t>were</w:t>
      </w:r>
      <w:r w:rsidR="000C75CE">
        <w:t xml:space="preserve"> amended to reflect the PSA guidelines endorsed by the </w:t>
      </w:r>
      <w:r w:rsidR="000C75CE" w:rsidRPr="00B528FD">
        <w:t>National Health and Medical Research Counc</w:t>
      </w:r>
      <w:r w:rsidR="000C75CE">
        <w:t xml:space="preserve">il (NHMRC). </w:t>
      </w:r>
    </w:p>
    <w:bookmarkEnd w:id="2"/>
    <w:p w14:paraId="7F88D4DD" w14:textId="3EA9DAA7" w:rsidR="00064168" w:rsidRDefault="000C75CE" w:rsidP="006F5073">
      <w:pPr>
        <w:pStyle w:val="ListBullet"/>
      </w:pPr>
      <w:r>
        <w:t xml:space="preserve">In addition, one new item for PSA </w:t>
      </w:r>
      <w:r w:rsidR="00A37D8F">
        <w:t xml:space="preserve">testing </w:t>
      </w:r>
      <w:r w:rsidR="00BA260D">
        <w:t>was</w:t>
      </w:r>
      <w:r>
        <w:t xml:space="preserve"> listed from 1 November 2023</w:t>
      </w:r>
      <w:r w:rsidR="008148A1">
        <w:t>.</w:t>
      </w:r>
    </w:p>
    <w:p w14:paraId="698A4EDE" w14:textId="0351CA27" w:rsidR="000C75CE" w:rsidRPr="006F5073" w:rsidRDefault="000C75CE" w:rsidP="006F5073">
      <w:pPr>
        <w:pStyle w:val="ListBullet"/>
      </w:pPr>
      <w:r>
        <w:t>These changes</w:t>
      </w:r>
      <w:r w:rsidR="0020242D">
        <w:t xml:space="preserve"> allow prostate cancer patients to</w:t>
      </w:r>
      <w:r w:rsidR="008148A1">
        <w:t xml:space="preserve"> access the most </w:t>
      </w:r>
      <w:r w:rsidR="008148A1" w:rsidRPr="008148A1">
        <w:t xml:space="preserve">suitable </w:t>
      </w:r>
      <w:r w:rsidR="008148A1" w:rsidRPr="00547E5F">
        <w:t>testing schedule</w:t>
      </w:r>
      <w:r w:rsidR="008148A1" w:rsidRPr="008148A1">
        <w:t>,</w:t>
      </w:r>
      <w:r w:rsidR="008148A1">
        <w:t xml:space="preserve"> depending on their risk level.</w:t>
      </w:r>
    </w:p>
    <w:p w14:paraId="44460BF5" w14:textId="77777777" w:rsidR="00064168" w:rsidRPr="00867595" w:rsidRDefault="00064168" w:rsidP="00064168">
      <w:pPr>
        <w:pStyle w:val="Heading2"/>
      </w:pPr>
      <w:r w:rsidRPr="00867595">
        <w:t>What are the changes?</w:t>
      </w:r>
    </w:p>
    <w:p w14:paraId="3C5432B4" w14:textId="3F95C948" w:rsidR="00E23D52" w:rsidRDefault="00064168" w:rsidP="00064168">
      <w:r w:rsidRPr="00867595">
        <w:rPr>
          <w:szCs w:val="22"/>
        </w:rPr>
        <w:t xml:space="preserve">Effective </w:t>
      </w:r>
      <w:r w:rsidR="006C7FF1">
        <w:rPr>
          <w:szCs w:val="22"/>
        </w:rPr>
        <w:t>1 November 2023</w:t>
      </w:r>
      <w:r w:rsidRPr="00867595">
        <w:rPr>
          <w:szCs w:val="22"/>
        </w:rPr>
        <w:t xml:space="preserve">, </w:t>
      </w:r>
      <w:r w:rsidR="00294354">
        <w:rPr>
          <w:szCs w:val="22"/>
        </w:rPr>
        <w:t xml:space="preserve">one new item </w:t>
      </w:r>
      <w:r w:rsidR="00A37D8F">
        <w:rPr>
          <w:szCs w:val="22"/>
        </w:rPr>
        <w:t xml:space="preserve">(item 66654) </w:t>
      </w:r>
      <w:r w:rsidR="008046E4">
        <w:rPr>
          <w:szCs w:val="22"/>
        </w:rPr>
        <w:t xml:space="preserve">and four amended items </w:t>
      </w:r>
      <w:r w:rsidR="00BA260D">
        <w:rPr>
          <w:szCs w:val="22"/>
        </w:rPr>
        <w:t>were</w:t>
      </w:r>
      <w:r w:rsidR="00294354">
        <w:rPr>
          <w:szCs w:val="22"/>
        </w:rPr>
        <w:t xml:space="preserve"> listed on the MBS </w:t>
      </w:r>
      <w:r w:rsidR="00294354" w:rsidRPr="00691954">
        <w:rPr>
          <w:szCs w:val="22"/>
        </w:rPr>
        <w:t xml:space="preserve">for testing </w:t>
      </w:r>
      <w:r w:rsidR="00294354">
        <w:rPr>
          <w:szCs w:val="22"/>
        </w:rPr>
        <w:t xml:space="preserve">high risk </w:t>
      </w:r>
      <w:r w:rsidR="00294354" w:rsidRPr="00691954">
        <w:rPr>
          <w:szCs w:val="22"/>
        </w:rPr>
        <w:t>patients with a first degree relative diagnosed with prostate cancer</w:t>
      </w:r>
      <w:r w:rsidR="00294354">
        <w:rPr>
          <w:szCs w:val="22"/>
        </w:rPr>
        <w:t xml:space="preserve">. </w:t>
      </w:r>
      <w:r w:rsidR="00E23D52" w:rsidRPr="00CD566D">
        <w:rPr>
          <w:b/>
          <w:bCs/>
        </w:rPr>
        <w:t>Attachment A</w:t>
      </w:r>
      <w:r w:rsidR="00E23D52">
        <w:t xml:space="preserve"> to this factsheet lists the new</w:t>
      </w:r>
      <w:r w:rsidR="003F77EE">
        <w:t xml:space="preserve"> and amended</w:t>
      </w:r>
      <w:r w:rsidR="00E23D52">
        <w:t xml:space="preserve"> item</w:t>
      </w:r>
      <w:r w:rsidR="003F77EE">
        <w:t>s</w:t>
      </w:r>
      <w:r w:rsidR="00E23D52">
        <w:t xml:space="preserve">. </w:t>
      </w:r>
    </w:p>
    <w:p w14:paraId="5461270D" w14:textId="4FF0AE95" w:rsidR="00290CAC" w:rsidRDefault="00294354" w:rsidP="00064168">
      <w:pPr>
        <w:rPr>
          <w:szCs w:val="22"/>
        </w:rPr>
      </w:pPr>
      <w:r>
        <w:rPr>
          <w:szCs w:val="22"/>
        </w:rPr>
        <w:t xml:space="preserve">In addition, existing prostate specific antigen testing items </w:t>
      </w:r>
      <w:r w:rsidR="00691954" w:rsidRPr="00691954">
        <w:rPr>
          <w:szCs w:val="22"/>
        </w:rPr>
        <w:t>66655, 66656, 66659 and 66660</w:t>
      </w:r>
      <w:r>
        <w:rPr>
          <w:szCs w:val="22"/>
        </w:rPr>
        <w:t xml:space="preserve"> </w:t>
      </w:r>
      <w:r w:rsidR="00A47DA0">
        <w:rPr>
          <w:szCs w:val="22"/>
        </w:rPr>
        <w:t>were</w:t>
      </w:r>
      <w:r>
        <w:rPr>
          <w:szCs w:val="22"/>
        </w:rPr>
        <w:t xml:space="preserve"> </w:t>
      </w:r>
      <w:r w:rsidR="002D3ED8">
        <w:rPr>
          <w:szCs w:val="22"/>
        </w:rPr>
        <w:t xml:space="preserve">updated </w:t>
      </w:r>
      <w:r>
        <w:rPr>
          <w:szCs w:val="22"/>
        </w:rPr>
        <w:t>to</w:t>
      </w:r>
      <w:r w:rsidR="00476017">
        <w:rPr>
          <w:szCs w:val="22"/>
        </w:rPr>
        <w:t xml:space="preserve"> reflect the </w:t>
      </w:r>
      <w:r w:rsidR="00476017" w:rsidRPr="00476017">
        <w:rPr>
          <w:szCs w:val="22"/>
        </w:rPr>
        <w:t>Prostate Cancer Foundation of Australia Guidelines on PSA Testing</w:t>
      </w:r>
      <w:r w:rsidR="0074363C">
        <w:rPr>
          <w:szCs w:val="22"/>
        </w:rPr>
        <w:t xml:space="preserve"> and the Royal College of Pathologists of Australasia</w:t>
      </w:r>
      <w:r w:rsidR="00CB7CAB">
        <w:rPr>
          <w:szCs w:val="22"/>
        </w:rPr>
        <w:t>’s</w:t>
      </w:r>
      <w:r w:rsidR="0074363C">
        <w:rPr>
          <w:szCs w:val="22"/>
        </w:rPr>
        <w:t xml:space="preserve"> (RCPA)</w:t>
      </w:r>
      <w:r w:rsidR="00CB7CAB">
        <w:rPr>
          <w:szCs w:val="22"/>
        </w:rPr>
        <w:t xml:space="preserve"> Position Statement</w:t>
      </w:r>
      <w:r w:rsidR="00476017">
        <w:rPr>
          <w:szCs w:val="22"/>
        </w:rPr>
        <w:t>.</w:t>
      </w:r>
      <w:r w:rsidR="00B528FD">
        <w:rPr>
          <w:szCs w:val="22"/>
        </w:rPr>
        <w:t xml:space="preserve"> The guidelines were endorsed by the </w:t>
      </w:r>
      <w:r w:rsidR="000C75CE">
        <w:rPr>
          <w:szCs w:val="22"/>
        </w:rPr>
        <w:t>NHMRC</w:t>
      </w:r>
      <w:r w:rsidR="00B528FD">
        <w:rPr>
          <w:szCs w:val="22"/>
        </w:rPr>
        <w:t xml:space="preserve">. </w:t>
      </w:r>
    </w:p>
    <w:p w14:paraId="434D56B2" w14:textId="5CEC5EAB" w:rsidR="00FF2E2E" w:rsidRDefault="00FF2E2E" w:rsidP="00FF2E2E">
      <w:r w:rsidRPr="00F21869">
        <w:rPr>
          <w:szCs w:val="22"/>
        </w:rPr>
        <w:t>For private health insurance purposes, the</w:t>
      </w:r>
      <w:r>
        <w:rPr>
          <w:szCs w:val="22"/>
        </w:rPr>
        <w:t>se</w:t>
      </w:r>
      <w:r w:rsidRPr="00F21869">
        <w:rPr>
          <w:szCs w:val="22"/>
        </w:rPr>
        <w:t xml:space="preserve"> items</w:t>
      </w:r>
      <w:r>
        <w:t xml:space="preserve"> are listed under the following clinical category and procedure type:</w:t>
      </w:r>
    </w:p>
    <w:p w14:paraId="0903CEC6" w14:textId="3148B866" w:rsidR="00FF2E2E" w:rsidRDefault="00FF2E2E" w:rsidP="00FF2E2E">
      <w:pPr>
        <w:pStyle w:val="ListParagraph"/>
        <w:numPr>
          <w:ilvl w:val="0"/>
          <w:numId w:val="28"/>
        </w:numPr>
        <w:spacing w:before="0" w:after="60" w:line="280" w:lineRule="exact"/>
      </w:pPr>
      <w:r>
        <w:t>New item</w:t>
      </w:r>
      <w:r w:rsidR="00595F99">
        <w:t xml:space="preserve"> 66654 </w:t>
      </w:r>
      <w:r>
        <w:t xml:space="preserve">and amended items </w:t>
      </w:r>
      <w:r w:rsidR="004E1F33" w:rsidRPr="00691954">
        <w:rPr>
          <w:szCs w:val="22"/>
        </w:rPr>
        <w:t>66655, 66656, 66659 and 66660</w:t>
      </w:r>
      <w:r>
        <w:t>:</w:t>
      </w:r>
    </w:p>
    <w:p w14:paraId="48CC8B7C" w14:textId="77777777" w:rsidR="00290CAC" w:rsidRPr="00290CAC" w:rsidRDefault="00290CAC" w:rsidP="00290CAC">
      <w:pPr>
        <w:rPr>
          <w:szCs w:val="22"/>
        </w:rPr>
      </w:pPr>
      <w:r w:rsidRPr="00290CAC">
        <w:rPr>
          <w:szCs w:val="22"/>
        </w:rPr>
        <w:t>Clinical category: Support List (pathology)</w:t>
      </w:r>
    </w:p>
    <w:p w14:paraId="4E459E9A" w14:textId="04864F25" w:rsidR="00064168" w:rsidRPr="00867595" w:rsidRDefault="00290CAC" w:rsidP="00064168">
      <w:pPr>
        <w:rPr>
          <w:szCs w:val="22"/>
        </w:rPr>
      </w:pPr>
      <w:r w:rsidRPr="00290CAC">
        <w:rPr>
          <w:szCs w:val="22"/>
        </w:rPr>
        <w:t>Procedure type: Type C</w:t>
      </w:r>
      <w:r w:rsidR="00C42CA6">
        <w:rPr>
          <w:szCs w:val="22"/>
        </w:rPr>
        <w:t xml:space="preserve"> </w:t>
      </w:r>
    </w:p>
    <w:p w14:paraId="42BD5171" w14:textId="77777777" w:rsidR="00064168" w:rsidRDefault="00064168" w:rsidP="00064168">
      <w:pPr>
        <w:pStyle w:val="Heading2"/>
      </w:pPr>
      <w:r>
        <w:t>Why are the changes being made?</w:t>
      </w:r>
    </w:p>
    <w:p w14:paraId="144C3AE2" w14:textId="5C549368" w:rsidR="00064168" w:rsidRDefault="00064168" w:rsidP="00064168">
      <w:pPr>
        <w:rPr>
          <w:szCs w:val="22"/>
        </w:rPr>
      </w:pPr>
      <w:bookmarkStart w:id="3" w:name="_Hlk535386664"/>
      <w:r w:rsidRPr="00867595">
        <w:rPr>
          <w:szCs w:val="22"/>
        </w:rPr>
        <w:t xml:space="preserve">The </w:t>
      </w:r>
      <w:r w:rsidR="00B46303">
        <w:rPr>
          <w:szCs w:val="22"/>
        </w:rPr>
        <w:t xml:space="preserve">changes were </w:t>
      </w:r>
      <w:r w:rsidRPr="00867595">
        <w:rPr>
          <w:szCs w:val="22"/>
        </w:rPr>
        <w:t xml:space="preserve">recommended by the </w:t>
      </w:r>
      <w:r w:rsidR="00B46303">
        <w:rPr>
          <w:szCs w:val="22"/>
        </w:rPr>
        <w:t xml:space="preserve">Executive Committee of the </w:t>
      </w:r>
      <w:r w:rsidRPr="00867595">
        <w:rPr>
          <w:szCs w:val="22"/>
        </w:rPr>
        <w:t xml:space="preserve">Medical Services Advisory Committee (MSAC) in </w:t>
      </w:r>
      <w:r w:rsidR="00CB065B">
        <w:rPr>
          <w:szCs w:val="22"/>
        </w:rPr>
        <w:t>August 2022</w:t>
      </w:r>
      <w:r w:rsidR="00455D93">
        <w:rPr>
          <w:szCs w:val="22"/>
        </w:rPr>
        <w:t xml:space="preserve"> in response to </w:t>
      </w:r>
      <w:r w:rsidR="00D539FB">
        <w:rPr>
          <w:szCs w:val="22"/>
        </w:rPr>
        <w:t xml:space="preserve">the </w:t>
      </w:r>
      <w:r w:rsidR="00AF6DEE" w:rsidRPr="00476017">
        <w:rPr>
          <w:szCs w:val="22"/>
        </w:rPr>
        <w:t>Prostate Cancer Foundation of Australia Guidelines on PSA Testing</w:t>
      </w:r>
      <w:r w:rsidR="00AF6DEE">
        <w:rPr>
          <w:szCs w:val="22"/>
        </w:rPr>
        <w:t xml:space="preserve"> and the Royal College of Pathologists of Australasia’s (RCPA) Position Statement. </w:t>
      </w:r>
    </w:p>
    <w:bookmarkEnd w:id="3"/>
    <w:p w14:paraId="4B2559AC" w14:textId="3C4EAFEB" w:rsidR="00064168" w:rsidRDefault="00064168" w:rsidP="00064168">
      <w:pPr>
        <w:pStyle w:val="Heading2"/>
      </w:pPr>
      <w:r>
        <w:t xml:space="preserve">What does this mean for </w:t>
      </w:r>
      <w:r w:rsidR="00B32BB8">
        <w:t xml:space="preserve">requestors and </w:t>
      </w:r>
      <w:r>
        <w:t>providers</w:t>
      </w:r>
      <w:r w:rsidR="00B32BB8">
        <w:t>?</w:t>
      </w:r>
    </w:p>
    <w:p w14:paraId="72EDF1F3" w14:textId="7E9F6B63" w:rsidR="00064168" w:rsidRDefault="00D43092" w:rsidP="00064168">
      <w:pPr>
        <w:rPr>
          <w:szCs w:val="22"/>
        </w:rPr>
      </w:pPr>
      <w:r>
        <w:rPr>
          <w:szCs w:val="22"/>
        </w:rPr>
        <w:t xml:space="preserve">Specialists and other treating medical practitioners who treat patients with prostate cancer </w:t>
      </w:r>
      <w:r w:rsidR="0088760E">
        <w:rPr>
          <w:szCs w:val="22"/>
        </w:rPr>
        <w:t>can now</w:t>
      </w:r>
      <w:r>
        <w:rPr>
          <w:szCs w:val="22"/>
        </w:rPr>
        <w:t xml:space="preserve"> request PSA testing </w:t>
      </w:r>
      <w:r w:rsidR="00D56191">
        <w:rPr>
          <w:szCs w:val="22"/>
        </w:rPr>
        <w:t>to</w:t>
      </w:r>
      <w:r>
        <w:rPr>
          <w:szCs w:val="22"/>
        </w:rPr>
        <w:t xml:space="preserve"> monitor high-risk patients.</w:t>
      </w:r>
    </w:p>
    <w:p w14:paraId="66D649D6" w14:textId="77777777" w:rsidR="00D43092" w:rsidRPr="00867595" w:rsidRDefault="00D43092" w:rsidP="00064168">
      <w:pPr>
        <w:rPr>
          <w:szCs w:val="22"/>
        </w:rPr>
      </w:pPr>
      <w:r w:rsidRPr="005F1479">
        <w:rPr>
          <w:szCs w:val="22"/>
        </w:rPr>
        <w:lastRenderedPageBreak/>
        <w:t>To be eligible for Medicare benefits, laboratories providing this service must be accredited according to the pathology accreditation standards specified in the</w:t>
      </w:r>
      <w:r w:rsidRPr="005F1479">
        <w:rPr>
          <w:i/>
          <w:iCs/>
          <w:szCs w:val="22"/>
        </w:rPr>
        <w:t xml:space="preserve"> </w:t>
      </w:r>
      <w:hyperlink r:id="rId8" w:history="1">
        <w:r w:rsidRPr="005F1479">
          <w:rPr>
            <w:rStyle w:val="Hyperlink"/>
            <w:i/>
            <w:iCs/>
            <w:szCs w:val="22"/>
          </w:rPr>
          <w:t>Health Insurance (Accredited Pathology Laboratories-Approval) Principles 2017</w:t>
        </w:r>
      </w:hyperlink>
      <w:r w:rsidRPr="005F1479">
        <w:rPr>
          <w:szCs w:val="22"/>
        </w:rPr>
        <w:t>.</w:t>
      </w:r>
      <w:r w:rsidR="0089747A">
        <w:rPr>
          <w:szCs w:val="22"/>
        </w:rPr>
        <w:t xml:space="preserve"> </w:t>
      </w:r>
    </w:p>
    <w:p w14:paraId="1E8D9456" w14:textId="0FFD04A8" w:rsidR="00064168" w:rsidRPr="00B1226E" w:rsidRDefault="00064168" w:rsidP="00B1226E">
      <w:pPr>
        <w:pStyle w:val="Heading2"/>
      </w:pPr>
      <w:r>
        <w:t>How will these changes affect patients</w:t>
      </w:r>
      <w:r w:rsidRPr="001A7FB7">
        <w:t>?</w:t>
      </w:r>
    </w:p>
    <w:p w14:paraId="7BD2AA3C" w14:textId="59920271" w:rsidR="00064168" w:rsidRPr="006F5073" w:rsidRDefault="00064168" w:rsidP="006F5073">
      <w:r w:rsidRPr="006F5073">
        <w:t>The changes will help doctors refer patients for the most suitable test for them</w:t>
      </w:r>
      <w:r w:rsidR="00B1226E">
        <w:t xml:space="preserve"> depending on </w:t>
      </w:r>
      <w:r w:rsidR="00034AE4">
        <w:t>risk level</w:t>
      </w:r>
      <w:r w:rsidR="000C75CE">
        <w:t>, leading to better health outcomes</w:t>
      </w:r>
      <w:r w:rsidRPr="006F5073">
        <w:t>.</w:t>
      </w:r>
    </w:p>
    <w:p w14:paraId="5BD9BE80" w14:textId="77777777" w:rsidR="00064168" w:rsidRDefault="00064168" w:rsidP="00064168">
      <w:pPr>
        <w:pStyle w:val="Heading2"/>
      </w:pPr>
      <w:r w:rsidRPr="001A7FB7">
        <w:t>Who was consulted on the changes?</w:t>
      </w:r>
    </w:p>
    <w:p w14:paraId="7ADE080F" w14:textId="7E462FED" w:rsidR="00064168" w:rsidRPr="00867595" w:rsidRDefault="00073BAE" w:rsidP="00073BAE">
      <w:pPr>
        <w:rPr>
          <w:szCs w:val="22"/>
        </w:rPr>
      </w:pPr>
      <w:r>
        <w:rPr>
          <w:szCs w:val="22"/>
        </w:rPr>
        <w:t xml:space="preserve">The Department consulted the </w:t>
      </w:r>
      <w:r w:rsidRPr="00073BAE">
        <w:rPr>
          <w:szCs w:val="22"/>
        </w:rPr>
        <w:t>Public Pathology Australia (PPA) and Australian Pathology (AP)</w:t>
      </w:r>
      <w:r>
        <w:rPr>
          <w:szCs w:val="22"/>
        </w:rPr>
        <w:t xml:space="preserve"> and RCPA. </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25B335D1" w:rsidR="00064168" w:rsidRDefault="00525748" w:rsidP="00525748">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9"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0"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AE06E33" w:rsidR="00064168" w:rsidRDefault="00064168" w:rsidP="00064168">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643B09A0" w14:textId="320A4E9E" w:rsidR="00CB5ED0" w:rsidRDefault="00CB5ED0" w:rsidP="00CB5ED0">
      <w:pPr>
        <w:tabs>
          <w:tab w:val="left" w:pos="5597"/>
        </w:tabs>
        <w:rPr>
          <w:szCs w:val="22"/>
        </w:rPr>
      </w:pPr>
      <w:r>
        <w:rPr>
          <w:szCs w:val="22"/>
        </w:rPr>
        <w:br w:type="page"/>
      </w:r>
    </w:p>
    <w:p w14:paraId="57304A3D" w14:textId="77777777" w:rsidR="00F00516" w:rsidRDefault="00E23D52" w:rsidP="00083B35">
      <w:pPr>
        <w:pStyle w:val="Heading2"/>
      </w:pPr>
      <w:r>
        <w:lastRenderedPageBreak/>
        <w:t xml:space="preserve">Attachment A: </w:t>
      </w:r>
    </w:p>
    <w:p w14:paraId="05B53512" w14:textId="3DE361EB" w:rsidR="009549BF" w:rsidRPr="009549BF" w:rsidRDefault="00F00516" w:rsidP="00083B35">
      <w:pPr>
        <w:pStyle w:val="Heading2"/>
      </w:pPr>
      <w:r>
        <w:t>N</w:t>
      </w:r>
      <w:r w:rsidR="00EA2588">
        <w:t xml:space="preserve">ew </w:t>
      </w:r>
      <w:r w:rsidR="00BE3ED5" w:rsidRPr="007A32E7">
        <w:t>item descriptors (</w:t>
      </w:r>
      <w:r w:rsidR="00297C28">
        <w:t>commenced</w:t>
      </w:r>
      <w:r w:rsidR="00BE3ED5" w:rsidRPr="007A32E7">
        <w:t xml:space="preserve"> </w:t>
      </w:r>
      <w:r w:rsidR="0020242D">
        <w:t>1</w:t>
      </w:r>
      <w:r w:rsidR="00BE3ED5" w:rsidRPr="007A32E7">
        <w:t xml:space="preserve"> </w:t>
      </w:r>
      <w:r w:rsidR="0020242D">
        <w:t>November</w:t>
      </w:r>
      <w:r w:rsidR="00BE3ED5" w:rsidRPr="007A32E7">
        <w:t xml:space="preserve"> 20</w:t>
      </w:r>
      <w:r w:rsidR="0020242D">
        <w:t>23</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633BA415" w:rsidR="00BE3ED5" w:rsidRDefault="008437CA" w:rsidP="000F29A4">
            <w:pPr>
              <w:rPr>
                <w:b w:val="0"/>
                <w:bCs w:val="0"/>
                <w:lang w:eastAsia="en-AU"/>
              </w:rPr>
            </w:pPr>
            <w:bookmarkStart w:id="5" w:name="_Hlk118987208"/>
            <w:r>
              <w:rPr>
                <w:lang w:eastAsia="en-AU"/>
              </w:rPr>
              <w:t>Category</w:t>
            </w:r>
            <w:r w:rsidR="009549BF">
              <w:rPr>
                <w:lang w:eastAsia="en-AU"/>
              </w:rPr>
              <w:t xml:space="preserve"> 6</w:t>
            </w:r>
            <w:r w:rsidR="00967587">
              <w:rPr>
                <w:lang w:eastAsia="en-AU"/>
              </w:rPr>
              <w:t xml:space="preserve"> –</w:t>
            </w:r>
            <w:r w:rsidR="009549BF">
              <w:rPr>
                <w:lang w:eastAsia="en-AU"/>
              </w:rPr>
              <w:t xml:space="preserve"> P</w:t>
            </w:r>
            <w:r w:rsidR="00226DB6">
              <w:rPr>
                <w:lang w:eastAsia="en-AU"/>
              </w:rPr>
              <w:t>athol</w:t>
            </w:r>
            <w:r w:rsidR="00C82FFB">
              <w:rPr>
                <w:lang w:eastAsia="en-AU"/>
              </w:rPr>
              <w:t>ogy</w:t>
            </w:r>
            <w:r w:rsidR="009549BF">
              <w:rPr>
                <w:lang w:eastAsia="en-AU"/>
              </w:rPr>
              <w:t xml:space="preserve"> S</w:t>
            </w:r>
            <w:r w:rsidR="00C82FFB">
              <w:rPr>
                <w:lang w:eastAsia="en-AU"/>
              </w:rPr>
              <w:t>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4D98D9C8" w:rsidR="00BE3ED5" w:rsidRDefault="008437CA" w:rsidP="000F29A4">
            <w:pPr>
              <w:rPr>
                <w:b w:val="0"/>
                <w:bCs w:val="0"/>
                <w:lang w:eastAsia="en-AU"/>
              </w:rPr>
            </w:pPr>
            <w:r>
              <w:rPr>
                <w:lang w:eastAsia="en-AU"/>
              </w:rPr>
              <w:t>Group</w:t>
            </w:r>
            <w:r w:rsidR="009549BF">
              <w:rPr>
                <w:lang w:eastAsia="en-AU"/>
              </w:rPr>
              <w:t xml:space="preserve"> P2</w:t>
            </w:r>
            <w:r w:rsidR="00967587">
              <w:rPr>
                <w:lang w:eastAsia="en-AU"/>
              </w:rPr>
              <w:t xml:space="preserve"> –</w:t>
            </w:r>
            <w:r w:rsidR="009549BF">
              <w:rPr>
                <w:lang w:eastAsia="en-AU"/>
              </w:rPr>
              <w:t xml:space="preserve"> Chemical</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68C9ED78" w:rsidR="00642F20" w:rsidRPr="00642F20" w:rsidRDefault="009549BF" w:rsidP="00642F20">
            <w:pPr>
              <w:rPr>
                <w:b w:val="0"/>
                <w:bCs w:val="0"/>
              </w:rPr>
            </w:pPr>
            <w:r w:rsidRPr="009549BF">
              <w:rPr>
                <w:b w:val="0"/>
                <w:bCs w:val="0"/>
              </w:rPr>
              <w:t>66654</w:t>
            </w:r>
          </w:p>
          <w:p w14:paraId="0EC031AC" w14:textId="6ED77245" w:rsidR="009549BF" w:rsidRPr="00A37D8F" w:rsidRDefault="009549BF" w:rsidP="007C2F1F">
            <w:pPr>
              <w:pStyle w:val="ListBullet"/>
              <w:numPr>
                <w:ilvl w:val="0"/>
                <w:numId w:val="0"/>
              </w:numPr>
              <w:ind w:left="360" w:hanging="360"/>
              <w:rPr>
                <w:b w:val="0"/>
                <w:bCs w:val="0"/>
              </w:rPr>
            </w:pPr>
            <w:r w:rsidRPr="00A37D8F">
              <w:rPr>
                <w:b w:val="0"/>
                <w:bCs w:val="0"/>
              </w:rPr>
              <w:t>Prostate specific antigen – quantitation in the monitoring of high-risk patients</w:t>
            </w:r>
          </w:p>
          <w:p w14:paraId="091F2589" w14:textId="77777777" w:rsidR="00642F20" w:rsidRDefault="009549BF" w:rsidP="009549BF">
            <w:pPr>
              <w:pStyle w:val="ListBullet"/>
              <w:numPr>
                <w:ilvl w:val="0"/>
                <w:numId w:val="0"/>
              </w:numPr>
              <w:ind w:left="360" w:hanging="360"/>
            </w:pPr>
            <w:r w:rsidRPr="009549BF">
              <w:rPr>
                <w:b w:val="0"/>
                <w:bCs w:val="0"/>
              </w:rPr>
              <w:t xml:space="preserve">For any </w:t>
            </w:r>
            <w:proofErr w:type="gramStart"/>
            <w:r w:rsidRPr="009549BF">
              <w:rPr>
                <w:b w:val="0"/>
                <w:bCs w:val="0"/>
              </w:rPr>
              <w:t>particular patient</w:t>
            </w:r>
            <w:proofErr w:type="gramEnd"/>
            <w:r w:rsidRPr="009549BF">
              <w:rPr>
                <w:b w:val="0"/>
                <w:bCs w:val="0"/>
              </w:rPr>
              <w:t>, applicable not more than once in 11 months</w:t>
            </w:r>
          </w:p>
          <w:p w14:paraId="199C78B4" w14:textId="77777777" w:rsidR="009549BF" w:rsidRPr="009549BF" w:rsidRDefault="009549BF" w:rsidP="009549BF">
            <w:pPr>
              <w:pStyle w:val="ListBullet"/>
              <w:numPr>
                <w:ilvl w:val="0"/>
                <w:numId w:val="0"/>
              </w:numPr>
              <w:rPr>
                <w:b w:val="0"/>
                <w:bCs w:val="0"/>
              </w:rPr>
            </w:pPr>
          </w:p>
          <w:p w14:paraId="7B9D71DE" w14:textId="6400BEAF" w:rsidR="009549BF" w:rsidRPr="009549BF" w:rsidRDefault="009549BF" w:rsidP="009549BF">
            <w:pPr>
              <w:pStyle w:val="ListBullet"/>
              <w:numPr>
                <w:ilvl w:val="0"/>
                <w:numId w:val="0"/>
              </w:numPr>
              <w:ind w:left="360" w:hanging="360"/>
              <w:rPr>
                <w:b w:val="0"/>
                <w:bCs w:val="0"/>
              </w:rPr>
            </w:pPr>
            <w:r w:rsidRPr="009549BF">
              <w:rPr>
                <w:b w:val="0"/>
                <w:bCs w:val="0"/>
              </w:rPr>
              <w:t>MBS Fee: $</w:t>
            </w:r>
            <w:r w:rsidR="00916058">
              <w:rPr>
                <w:b w:val="0"/>
                <w:bCs w:val="0"/>
              </w:rPr>
              <w:t>20.15</w:t>
            </w:r>
            <w:r w:rsidRPr="009549BF">
              <w:rPr>
                <w:b w:val="0"/>
                <w:bCs w:val="0"/>
              </w:rPr>
              <w:tab/>
            </w:r>
          </w:p>
          <w:p w14:paraId="2BDF063F" w14:textId="1300B280" w:rsidR="009549BF" w:rsidRPr="00AA6575" w:rsidRDefault="009549BF" w:rsidP="009549BF">
            <w:pPr>
              <w:pStyle w:val="ListBullet"/>
              <w:numPr>
                <w:ilvl w:val="0"/>
                <w:numId w:val="0"/>
              </w:numPr>
              <w:ind w:left="360" w:hanging="360"/>
            </w:pPr>
            <w:r w:rsidRPr="009549BF">
              <w:rPr>
                <w:b w:val="0"/>
                <w:bCs w:val="0"/>
              </w:rPr>
              <w:t>Benefit: 75% = $</w:t>
            </w:r>
            <w:r w:rsidR="00916058">
              <w:rPr>
                <w:b w:val="0"/>
                <w:bCs w:val="0"/>
              </w:rPr>
              <w:t>15.15</w:t>
            </w:r>
            <w:r w:rsidRPr="009549BF">
              <w:rPr>
                <w:b w:val="0"/>
                <w:bCs w:val="0"/>
              </w:rPr>
              <w:t xml:space="preserve">    85% = $1</w:t>
            </w:r>
            <w:r w:rsidR="00916058">
              <w:rPr>
                <w:b w:val="0"/>
                <w:bCs w:val="0"/>
              </w:rPr>
              <w:t>7.15</w:t>
            </w:r>
          </w:p>
        </w:tc>
      </w:tr>
      <w:bookmarkEnd w:id="5"/>
    </w:tbl>
    <w:p w14:paraId="508B4C47" w14:textId="6D5FDC9E" w:rsidR="00BE3ED5" w:rsidRPr="009549BF" w:rsidRDefault="00BE3ED5" w:rsidP="00BE3ED5"/>
    <w:p w14:paraId="0F1BF806" w14:textId="2C2162C5" w:rsidR="004B79C4" w:rsidRDefault="004B79C4" w:rsidP="004B79C4">
      <w:pPr>
        <w:pStyle w:val="Heading2"/>
      </w:pPr>
      <w:r w:rsidRPr="007A32E7">
        <w:t>Amended item descriptors (</w:t>
      </w:r>
      <w:r>
        <w:t>commenced 1</w:t>
      </w:r>
      <w:r w:rsidRPr="007A32E7">
        <w:t xml:space="preserve"> </w:t>
      </w:r>
      <w:r>
        <w:t>November</w:t>
      </w:r>
      <w:r w:rsidRPr="007A32E7">
        <w:t xml:space="preserve"> 20</w:t>
      </w:r>
      <w:r>
        <w:t>23</w:t>
      </w:r>
      <w:r w:rsidRPr="007A32E7">
        <w:t>)</w:t>
      </w:r>
    </w:p>
    <w:tbl>
      <w:tblPr>
        <w:tblStyle w:val="GridTable4-Accent2"/>
        <w:tblW w:w="0" w:type="auto"/>
        <w:tblLook w:val="04A0" w:firstRow="1" w:lastRow="0" w:firstColumn="1" w:lastColumn="0" w:noHBand="0" w:noVBand="1"/>
      </w:tblPr>
      <w:tblGrid>
        <w:gridCol w:w="9060"/>
      </w:tblGrid>
      <w:tr w:rsidR="000536E4" w14:paraId="7DD7DF76" w14:textId="77777777" w:rsidTr="00830A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0B1535D" w14:textId="6FF1E4C9" w:rsidR="000536E4" w:rsidRDefault="000536E4" w:rsidP="00830AAB">
            <w:pPr>
              <w:rPr>
                <w:b w:val="0"/>
                <w:bCs w:val="0"/>
                <w:lang w:eastAsia="en-AU"/>
              </w:rPr>
            </w:pPr>
            <w:r>
              <w:rPr>
                <w:lang w:eastAsia="en-AU"/>
              </w:rPr>
              <w:t>Category 6</w:t>
            </w:r>
            <w:r w:rsidR="00967587">
              <w:rPr>
                <w:lang w:eastAsia="en-AU"/>
              </w:rPr>
              <w:t xml:space="preserve"> –</w:t>
            </w:r>
            <w:r>
              <w:rPr>
                <w:lang w:eastAsia="en-AU"/>
              </w:rPr>
              <w:t xml:space="preserve"> P</w:t>
            </w:r>
            <w:r w:rsidR="00C82FFB">
              <w:rPr>
                <w:lang w:eastAsia="en-AU"/>
              </w:rPr>
              <w:t>athology</w:t>
            </w:r>
            <w:r>
              <w:rPr>
                <w:lang w:eastAsia="en-AU"/>
              </w:rPr>
              <w:t xml:space="preserve"> S</w:t>
            </w:r>
            <w:r w:rsidR="00C82FFB">
              <w:rPr>
                <w:lang w:eastAsia="en-AU"/>
              </w:rPr>
              <w:t>ervices</w:t>
            </w:r>
          </w:p>
        </w:tc>
      </w:tr>
      <w:tr w:rsidR="000536E4" w14:paraId="1369E19D" w14:textId="77777777" w:rsidTr="00830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DA4B969" w14:textId="542ECD65" w:rsidR="000536E4" w:rsidRDefault="000536E4" w:rsidP="00830AAB">
            <w:pPr>
              <w:rPr>
                <w:b w:val="0"/>
                <w:bCs w:val="0"/>
                <w:lang w:eastAsia="en-AU"/>
              </w:rPr>
            </w:pPr>
            <w:r>
              <w:rPr>
                <w:lang w:eastAsia="en-AU"/>
              </w:rPr>
              <w:t>Group P2</w:t>
            </w:r>
            <w:r w:rsidR="00967587">
              <w:rPr>
                <w:lang w:eastAsia="en-AU"/>
              </w:rPr>
              <w:t xml:space="preserve"> –</w:t>
            </w:r>
            <w:r>
              <w:rPr>
                <w:lang w:eastAsia="en-AU"/>
              </w:rPr>
              <w:t xml:space="preserve"> Chemical</w:t>
            </w:r>
          </w:p>
        </w:tc>
      </w:tr>
      <w:tr w:rsidR="000536E4" w14:paraId="7DBF96DA" w14:textId="77777777" w:rsidTr="00830AAB">
        <w:tc>
          <w:tcPr>
            <w:cnfStyle w:val="001000000000" w:firstRow="0" w:lastRow="0" w:firstColumn="1" w:lastColumn="0" w:oddVBand="0" w:evenVBand="0" w:oddHBand="0" w:evenHBand="0" w:firstRowFirstColumn="0" w:firstRowLastColumn="0" w:lastRowFirstColumn="0" w:lastRowLastColumn="0"/>
            <w:tcW w:w="9060" w:type="dxa"/>
            <w:hideMark/>
          </w:tcPr>
          <w:p w14:paraId="60011029" w14:textId="5871091D" w:rsidR="000536E4" w:rsidRPr="00642F20" w:rsidRDefault="000536E4" w:rsidP="00830AAB">
            <w:pPr>
              <w:rPr>
                <w:b w:val="0"/>
                <w:bCs w:val="0"/>
              </w:rPr>
            </w:pPr>
            <w:r w:rsidRPr="009549BF">
              <w:rPr>
                <w:b w:val="0"/>
                <w:bCs w:val="0"/>
              </w:rPr>
              <w:t>6665</w:t>
            </w:r>
            <w:r>
              <w:rPr>
                <w:b w:val="0"/>
                <w:bCs w:val="0"/>
              </w:rPr>
              <w:t>5</w:t>
            </w:r>
          </w:p>
          <w:p w14:paraId="7CF0772C" w14:textId="02509A6F" w:rsidR="000536E4" w:rsidRPr="00A37D8F" w:rsidRDefault="000536E4" w:rsidP="000536E4">
            <w:pPr>
              <w:pStyle w:val="ListBullet"/>
              <w:numPr>
                <w:ilvl w:val="0"/>
                <w:numId w:val="0"/>
              </w:numPr>
              <w:rPr>
                <w:b w:val="0"/>
                <w:bCs w:val="0"/>
              </w:rPr>
            </w:pPr>
            <w:r w:rsidRPr="00A37D8F">
              <w:rPr>
                <w:b w:val="0"/>
                <w:bCs w:val="0"/>
              </w:rPr>
              <w:t>Prostate specific antigen</w:t>
            </w:r>
            <w:r w:rsidR="00AA6B07" w:rsidRPr="00A37D8F">
              <w:rPr>
                <w:b w:val="0"/>
                <w:bCs w:val="0"/>
              </w:rPr>
              <w:t xml:space="preserve"> - </w:t>
            </w:r>
            <w:r w:rsidRPr="00A37D8F">
              <w:rPr>
                <w:b w:val="0"/>
                <w:bCs w:val="0"/>
              </w:rPr>
              <w:t>quantitation</w:t>
            </w:r>
          </w:p>
          <w:p w14:paraId="2C694A95" w14:textId="7CA86DAA" w:rsidR="001673E8" w:rsidRPr="001A35AE" w:rsidRDefault="000536E4" w:rsidP="001673E8">
            <w:pPr>
              <w:pStyle w:val="ListBullet"/>
              <w:numPr>
                <w:ilvl w:val="0"/>
                <w:numId w:val="0"/>
              </w:numPr>
              <w:ind w:left="360" w:hanging="360"/>
            </w:pPr>
            <w:r w:rsidRPr="001A35AE">
              <w:rPr>
                <w:b w:val="0"/>
                <w:bCs w:val="0"/>
              </w:rPr>
              <w:t xml:space="preserve">For any </w:t>
            </w:r>
            <w:proofErr w:type="gramStart"/>
            <w:r w:rsidRPr="001A35AE">
              <w:rPr>
                <w:b w:val="0"/>
                <w:bCs w:val="0"/>
              </w:rPr>
              <w:t>particular patient</w:t>
            </w:r>
            <w:proofErr w:type="gramEnd"/>
            <w:r w:rsidRPr="001A35AE">
              <w:rPr>
                <w:b w:val="0"/>
                <w:bCs w:val="0"/>
              </w:rPr>
              <w:t>, applicable not more than once in 23 months</w:t>
            </w:r>
          </w:p>
          <w:p w14:paraId="64840E76" w14:textId="77777777" w:rsidR="001673E8" w:rsidRPr="001A35AE" w:rsidRDefault="001673E8" w:rsidP="001673E8">
            <w:pPr>
              <w:pStyle w:val="ListBullet"/>
              <w:numPr>
                <w:ilvl w:val="0"/>
                <w:numId w:val="0"/>
              </w:numPr>
              <w:ind w:left="360" w:hanging="360"/>
              <w:rPr>
                <w:b w:val="0"/>
                <w:bCs w:val="0"/>
              </w:rPr>
            </w:pPr>
          </w:p>
          <w:p w14:paraId="6348DE0B" w14:textId="77777777" w:rsidR="000536E4" w:rsidRPr="009549BF" w:rsidRDefault="000536E4" w:rsidP="00830AAB">
            <w:pPr>
              <w:pStyle w:val="ListBullet"/>
              <w:numPr>
                <w:ilvl w:val="0"/>
                <w:numId w:val="0"/>
              </w:numPr>
              <w:ind w:left="360" w:hanging="360"/>
              <w:rPr>
                <w:b w:val="0"/>
                <w:bCs w:val="0"/>
              </w:rPr>
            </w:pPr>
            <w:r w:rsidRPr="009549BF">
              <w:rPr>
                <w:b w:val="0"/>
                <w:bCs w:val="0"/>
              </w:rPr>
              <w:t>MBS Fee: $</w:t>
            </w:r>
            <w:r>
              <w:rPr>
                <w:b w:val="0"/>
                <w:bCs w:val="0"/>
              </w:rPr>
              <w:t>20.15</w:t>
            </w:r>
            <w:r w:rsidRPr="009549BF">
              <w:rPr>
                <w:b w:val="0"/>
                <w:bCs w:val="0"/>
              </w:rPr>
              <w:tab/>
            </w:r>
          </w:p>
          <w:p w14:paraId="7D7B497F" w14:textId="77777777" w:rsidR="000536E4" w:rsidRPr="00AA6575" w:rsidRDefault="000536E4" w:rsidP="00830AAB">
            <w:pPr>
              <w:pStyle w:val="ListBullet"/>
              <w:numPr>
                <w:ilvl w:val="0"/>
                <w:numId w:val="0"/>
              </w:numPr>
              <w:ind w:left="360" w:hanging="360"/>
            </w:pPr>
            <w:r w:rsidRPr="009549BF">
              <w:rPr>
                <w:b w:val="0"/>
                <w:bCs w:val="0"/>
              </w:rPr>
              <w:t>Benefit: 75% = $</w:t>
            </w:r>
            <w:r>
              <w:rPr>
                <w:b w:val="0"/>
                <w:bCs w:val="0"/>
              </w:rPr>
              <w:t>15.15</w:t>
            </w:r>
            <w:r w:rsidRPr="009549BF">
              <w:rPr>
                <w:b w:val="0"/>
                <w:bCs w:val="0"/>
              </w:rPr>
              <w:t xml:space="preserve">    85% = $1</w:t>
            </w:r>
            <w:r>
              <w:rPr>
                <w:b w:val="0"/>
                <w:bCs w:val="0"/>
              </w:rPr>
              <w:t>7.15</w:t>
            </w:r>
          </w:p>
        </w:tc>
      </w:tr>
    </w:tbl>
    <w:p w14:paraId="586E0B38" w14:textId="77777777" w:rsidR="000536E4" w:rsidRPr="009549BF" w:rsidRDefault="000536E4" w:rsidP="009549BF"/>
    <w:tbl>
      <w:tblPr>
        <w:tblStyle w:val="GridTable4-Accent2"/>
        <w:tblW w:w="0" w:type="auto"/>
        <w:tblLook w:val="04A0" w:firstRow="1" w:lastRow="0" w:firstColumn="1" w:lastColumn="0" w:noHBand="0" w:noVBand="1"/>
      </w:tblPr>
      <w:tblGrid>
        <w:gridCol w:w="9060"/>
      </w:tblGrid>
      <w:tr w:rsidR="009549BF" w14:paraId="0B267CE5" w14:textId="77777777" w:rsidTr="00830A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C5F32A4" w14:textId="6100B273" w:rsidR="009549BF" w:rsidRDefault="009549BF" w:rsidP="00830AAB">
            <w:pPr>
              <w:rPr>
                <w:b w:val="0"/>
                <w:bCs w:val="0"/>
                <w:lang w:eastAsia="en-AU"/>
              </w:rPr>
            </w:pPr>
            <w:r>
              <w:rPr>
                <w:lang w:eastAsia="en-AU"/>
              </w:rPr>
              <w:t>Category 6</w:t>
            </w:r>
            <w:r w:rsidR="00967587">
              <w:rPr>
                <w:lang w:eastAsia="en-AU"/>
              </w:rPr>
              <w:t xml:space="preserve"> –</w:t>
            </w:r>
            <w:r>
              <w:rPr>
                <w:lang w:eastAsia="en-AU"/>
              </w:rPr>
              <w:t xml:space="preserve"> </w:t>
            </w:r>
            <w:r w:rsidR="005E3E02">
              <w:rPr>
                <w:lang w:eastAsia="en-AU"/>
              </w:rPr>
              <w:t>Pathology Services</w:t>
            </w:r>
          </w:p>
        </w:tc>
      </w:tr>
      <w:tr w:rsidR="009549BF" w14:paraId="27620198" w14:textId="77777777" w:rsidTr="00830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E922353" w14:textId="362D872A" w:rsidR="009549BF" w:rsidRDefault="009549BF" w:rsidP="00830AAB">
            <w:pPr>
              <w:rPr>
                <w:b w:val="0"/>
                <w:bCs w:val="0"/>
                <w:lang w:eastAsia="en-AU"/>
              </w:rPr>
            </w:pPr>
            <w:r>
              <w:rPr>
                <w:lang w:eastAsia="en-AU"/>
              </w:rPr>
              <w:t>Group P2</w:t>
            </w:r>
            <w:r w:rsidR="00967587">
              <w:rPr>
                <w:lang w:eastAsia="en-AU"/>
              </w:rPr>
              <w:t xml:space="preserve"> –</w:t>
            </w:r>
            <w:r>
              <w:rPr>
                <w:lang w:eastAsia="en-AU"/>
              </w:rPr>
              <w:t xml:space="preserve"> Chemical</w:t>
            </w:r>
          </w:p>
        </w:tc>
      </w:tr>
      <w:tr w:rsidR="009549BF" w14:paraId="27EDE94C" w14:textId="77777777" w:rsidTr="009549BF">
        <w:tc>
          <w:tcPr>
            <w:cnfStyle w:val="001000000000" w:firstRow="0" w:lastRow="0" w:firstColumn="1" w:lastColumn="0" w:oddVBand="0" w:evenVBand="0" w:oddHBand="0" w:evenHBand="0" w:firstRowFirstColumn="0" w:firstRowLastColumn="0" w:lastRowFirstColumn="0" w:lastRowLastColumn="0"/>
            <w:tcW w:w="9060" w:type="dxa"/>
          </w:tcPr>
          <w:p w14:paraId="36FEE3B6" w14:textId="54774C65" w:rsidR="00916058" w:rsidRDefault="00916058" w:rsidP="00916058">
            <w:pPr>
              <w:pStyle w:val="ListBullet"/>
              <w:numPr>
                <w:ilvl w:val="0"/>
                <w:numId w:val="0"/>
              </w:numPr>
              <w:ind w:left="360" w:hanging="360"/>
            </w:pPr>
            <w:r w:rsidRPr="00916058">
              <w:rPr>
                <w:b w:val="0"/>
                <w:bCs w:val="0"/>
              </w:rPr>
              <w:t>6665</w:t>
            </w:r>
            <w:r>
              <w:rPr>
                <w:b w:val="0"/>
                <w:bCs w:val="0"/>
              </w:rPr>
              <w:t>6</w:t>
            </w:r>
          </w:p>
          <w:p w14:paraId="1353AB34" w14:textId="45F2350A" w:rsidR="00916058" w:rsidRPr="001A35AE" w:rsidRDefault="00916058" w:rsidP="00916058">
            <w:pPr>
              <w:pStyle w:val="ListBullet"/>
              <w:numPr>
                <w:ilvl w:val="0"/>
                <w:numId w:val="0"/>
              </w:numPr>
            </w:pPr>
            <w:r w:rsidRPr="00916058">
              <w:rPr>
                <w:b w:val="0"/>
                <w:bCs w:val="0"/>
              </w:rPr>
              <w:t xml:space="preserve">Prostate specific antigen (PSA) quantitation in the monitoring of previously diagnosed prostatic disease (including </w:t>
            </w:r>
            <w:r w:rsidRPr="001A35AE">
              <w:rPr>
                <w:b w:val="0"/>
                <w:bCs w:val="0"/>
              </w:rPr>
              <w:t>prostate cancer, prostatitis or a premalignant condition such as atypical small acinar proliferation)</w:t>
            </w:r>
          </w:p>
          <w:p w14:paraId="23670596" w14:textId="77777777" w:rsidR="00916058" w:rsidRPr="001A35AE" w:rsidRDefault="00916058" w:rsidP="00916058">
            <w:pPr>
              <w:pStyle w:val="ListBullet"/>
              <w:numPr>
                <w:ilvl w:val="0"/>
                <w:numId w:val="0"/>
              </w:numPr>
              <w:rPr>
                <w:b w:val="0"/>
                <w:bCs w:val="0"/>
              </w:rPr>
            </w:pPr>
          </w:p>
          <w:p w14:paraId="06A9F712" w14:textId="77777777" w:rsidR="00916058" w:rsidRPr="009549BF" w:rsidRDefault="00916058" w:rsidP="00916058">
            <w:pPr>
              <w:pStyle w:val="ListBullet"/>
              <w:numPr>
                <w:ilvl w:val="0"/>
                <w:numId w:val="0"/>
              </w:numPr>
              <w:ind w:left="360" w:hanging="360"/>
              <w:rPr>
                <w:b w:val="0"/>
                <w:bCs w:val="0"/>
              </w:rPr>
            </w:pPr>
            <w:r w:rsidRPr="009549BF">
              <w:rPr>
                <w:b w:val="0"/>
                <w:bCs w:val="0"/>
              </w:rPr>
              <w:lastRenderedPageBreak/>
              <w:t>MBS Fee: $</w:t>
            </w:r>
            <w:r>
              <w:rPr>
                <w:b w:val="0"/>
                <w:bCs w:val="0"/>
              </w:rPr>
              <w:t>20.15</w:t>
            </w:r>
            <w:r w:rsidRPr="009549BF">
              <w:rPr>
                <w:b w:val="0"/>
                <w:bCs w:val="0"/>
              </w:rPr>
              <w:tab/>
            </w:r>
          </w:p>
          <w:p w14:paraId="5986EAE3" w14:textId="4178158D" w:rsidR="00916058" w:rsidRPr="00AA6575" w:rsidRDefault="00916058" w:rsidP="00916058">
            <w:pPr>
              <w:pStyle w:val="ListBullet"/>
              <w:numPr>
                <w:ilvl w:val="0"/>
                <w:numId w:val="0"/>
              </w:numPr>
            </w:pPr>
            <w:r w:rsidRPr="009549BF">
              <w:rPr>
                <w:b w:val="0"/>
                <w:bCs w:val="0"/>
              </w:rPr>
              <w:t>Benefit: 75% = $</w:t>
            </w:r>
            <w:r>
              <w:rPr>
                <w:b w:val="0"/>
                <w:bCs w:val="0"/>
              </w:rPr>
              <w:t>15.15</w:t>
            </w:r>
            <w:r w:rsidRPr="009549BF">
              <w:rPr>
                <w:b w:val="0"/>
                <w:bCs w:val="0"/>
              </w:rPr>
              <w:t xml:space="preserve">    85% = $1</w:t>
            </w:r>
            <w:r>
              <w:rPr>
                <w:b w:val="0"/>
                <w:bCs w:val="0"/>
              </w:rPr>
              <w:t>7.15</w:t>
            </w:r>
          </w:p>
        </w:tc>
      </w:tr>
      <w:tr w:rsidR="00916058" w14:paraId="6BA3B4C7" w14:textId="77777777" w:rsidTr="00830AAB">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0B78631" w14:textId="09C76DBF" w:rsidR="00916058" w:rsidRDefault="008E1051" w:rsidP="00830AAB">
            <w:pPr>
              <w:rPr>
                <w:b w:val="0"/>
                <w:bCs w:val="0"/>
                <w:lang w:eastAsia="en-AU"/>
              </w:rPr>
            </w:pPr>
            <w:r>
              <w:rPr>
                <w:lang w:eastAsia="en-AU"/>
              </w:rPr>
              <w:lastRenderedPageBreak/>
              <w:t>Group P2 – Chemical</w:t>
            </w:r>
          </w:p>
        </w:tc>
      </w:tr>
      <w:tr w:rsidR="00916058" w14:paraId="2105A08B" w14:textId="77777777" w:rsidTr="00830AAB">
        <w:tc>
          <w:tcPr>
            <w:cnfStyle w:val="001000000000" w:firstRow="0" w:lastRow="0" w:firstColumn="1" w:lastColumn="0" w:oddVBand="0" w:evenVBand="0" w:oddHBand="0" w:evenHBand="0" w:firstRowFirstColumn="0" w:firstRowLastColumn="0" w:lastRowFirstColumn="0" w:lastRowLastColumn="0"/>
            <w:tcW w:w="9060" w:type="dxa"/>
          </w:tcPr>
          <w:p w14:paraId="1CC74591" w14:textId="66947073" w:rsidR="00916058" w:rsidRPr="00A37D8F" w:rsidRDefault="00916058" w:rsidP="00830AAB">
            <w:pPr>
              <w:pStyle w:val="ListBullet"/>
              <w:numPr>
                <w:ilvl w:val="0"/>
                <w:numId w:val="0"/>
              </w:numPr>
              <w:ind w:left="360" w:hanging="360"/>
              <w:rPr>
                <w:b w:val="0"/>
                <w:bCs w:val="0"/>
              </w:rPr>
            </w:pPr>
            <w:r w:rsidRPr="00A37D8F">
              <w:rPr>
                <w:b w:val="0"/>
                <w:bCs w:val="0"/>
              </w:rPr>
              <w:t>66659</w:t>
            </w:r>
          </w:p>
          <w:p w14:paraId="47951D06" w14:textId="236C437B" w:rsidR="00916058" w:rsidRPr="00D52307" w:rsidRDefault="00916058" w:rsidP="00916058">
            <w:pPr>
              <w:pStyle w:val="ListBullet"/>
              <w:numPr>
                <w:ilvl w:val="0"/>
                <w:numId w:val="0"/>
              </w:numPr>
              <w:rPr>
                <w:b w:val="0"/>
                <w:bCs w:val="0"/>
              </w:rPr>
            </w:pPr>
            <w:r w:rsidRPr="00A37D8F">
              <w:rPr>
                <w:b w:val="0"/>
                <w:bCs w:val="0"/>
              </w:rPr>
              <w:t xml:space="preserve">Prostate specific </w:t>
            </w:r>
            <w:r w:rsidRPr="00D52307">
              <w:rPr>
                <w:b w:val="0"/>
                <w:bCs w:val="0"/>
              </w:rPr>
              <w:t>antigen (PSA), quantitation of 2 or more fractions of PSA and any derived index, including, if performed, a test described in item 66656, in the follow up of a PSA result under item 66654 or 66655 that lies at:</w:t>
            </w:r>
          </w:p>
          <w:p w14:paraId="3E8CAC34" w14:textId="7EB9E9E2" w:rsidR="00916058" w:rsidRPr="00D52307" w:rsidRDefault="00916058" w:rsidP="00916058">
            <w:pPr>
              <w:pStyle w:val="ListBullet"/>
              <w:numPr>
                <w:ilvl w:val="0"/>
                <w:numId w:val="0"/>
              </w:numPr>
              <w:rPr>
                <w:b w:val="0"/>
                <w:bCs w:val="0"/>
              </w:rPr>
            </w:pPr>
            <w:r w:rsidRPr="00D52307">
              <w:rPr>
                <w:b w:val="0"/>
                <w:bCs w:val="0"/>
              </w:rPr>
              <w:t>(a) more than 2.0 ug/L but less than or equal to 5.5 ug/L for patients with a family history of prostate cancer; or</w:t>
            </w:r>
          </w:p>
          <w:p w14:paraId="30F1B2B9" w14:textId="2F161F42" w:rsidR="00916058" w:rsidRPr="00D52307" w:rsidRDefault="00916058" w:rsidP="00916058">
            <w:pPr>
              <w:pStyle w:val="ListBullet"/>
              <w:numPr>
                <w:ilvl w:val="0"/>
                <w:numId w:val="0"/>
              </w:numPr>
              <w:rPr>
                <w:b w:val="0"/>
                <w:bCs w:val="0"/>
              </w:rPr>
            </w:pPr>
            <w:r w:rsidRPr="00D52307">
              <w:rPr>
                <w:b w:val="0"/>
                <w:bCs w:val="0"/>
              </w:rPr>
              <w:t>(b) more than 3.0 ug/L but less than or equal to 5.5 ug/L for patients who are at least 50 years of age but under 70 years of age; or</w:t>
            </w:r>
          </w:p>
          <w:p w14:paraId="1C1CDA15" w14:textId="23F3B75C" w:rsidR="00916058" w:rsidRPr="00D52307" w:rsidRDefault="00916058" w:rsidP="007C2F1F">
            <w:pPr>
              <w:pStyle w:val="ListBullet"/>
              <w:numPr>
                <w:ilvl w:val="0"/>
                <w:numId w:val="0"/>
              </w:numPr>
              <w:rPr>
                <w:b w:val="0"/>
                <w:bCs w:val="0"/>
              </w:rPr>
            </w:pPr>
            <w:r w:rsidRPr="00D52307">
              <w:rPr>
                <w:b w:val="0"/>
                <w:bCs w:val="0"/>
              </w:rPr>
              <w:t>(c) more than 5.5 ug/L but less than or equal to 10.0 ug/L for patients who are at least 70 years of age</w:t>
            </w:r>
          </w:p>
          <w:p w14:paraId="27FBC61C" w14:textId="19E71A05" w:rsidR="00916058" w:rsidRPr="00D52307" w:rsidRDefault="00916058" w:rsidP="00916058">
            <w:pPr>
              <w:pStyle w:val="ListBullet"/>
              <w:numPr>
                <w:ilvl w:val="0"/>
                <w:numId w:val="0"/>
              </w:numPr>
              <w:ind w:left="360" w:hanging="360"/>
              <w:rPr>
                <w:b w:val="0"/>
                <w:bCs w:val="0"/>
              </w:rPr>
            </w:pPr>
            <w:r w:rsidRPr="00D52307">
              <w:rPr>
                <w:b w:val="0"/>
                <w:bCs w:val="0"/>
              </w:rPr>
              <w:t xml:space="preserve">For any </w:t>
            </w:r>
            <w:proofErr w:type="gramStart"/>
            <w:r w:rsidRPr="00D52307">
              <w:rPr>
                <w:b w:val="0"/>
                <w:bCs w:val="0"/>
              </w:rPr>
              <w:t>particular patient</w:t>
            </w:r>
            <w:proofErr w:type="gramEnd"/>
            <w:r w:rsidRPr="00D52307">
              <w:rPr>
                <w:b w:val="0"/>
                <w:bCs w:val="0"/>
              </w:rPr>
              <w:t>, applicable not more than once in 11 months</w:t>
            </w:r>
          </w:p>
          <w:p w14:paraId="26866C28" w14:textId="77777777" w:rsidR="007C2F1F" w:rsidRPr="00A37D8F" w:rsidRDefault="007C2F1F" w:rsidP="00830AAB">
            <w:pPr>
              <w:pStyle w:val="ListBullet"/>
              <w:numPr>
                <w:ilvl w:val="0"/>
                <w:numId w:val="0"/>
              </w:numPr>
              <w:ind w:left="360" w:hanging="360"/>
              <w:rPr>
                <w:b w:val="0"/>
                <w:bCs w:val="0"/>
              </w:rPr>
            </w:pPr>
          </w:p>
          <w:p w14:paraId="00EBF452" w14:textId="2A94E7DF" w:rsidR="00916058" w:rsidRPr="00A37D8F" w:rsidRDefault="00916058" w:rsidP="00830AAB">
            <w:pPr>
              <w:pStyle w:val="ListBullet"/>
              <w:numPr>
                <w:ilvl w:val="0"/>
                <w:numId w:val="0"/>
              </w:numPr>
              <w:ind w:left="360" w:hanging="360"/>
              <w:rPr>
                <w:b w:val="0"/>
                <w:bCs w:val="0"/>
              </w:rPr>
            </w:pPr>
            <w:r w:rsidRPr="00A37D8F">
              <w:rPr>
                <w:b w:val="0"/>
                <w:bCs w:val="0"/>
              </w:rPr>
              <w:t>MBS Fee: $</w:t>
            </w:r>
            <w:r w:rsidR="007C2F1F" w:rsidRPr="00A37D8F">
              <w:rPr>
                <w:b w:val="0"/>
                <w:bCs w:val="0"/>
              </w:rPr>
              <w:t>37.30</w:t>
            </w:r>
            <w:r w:rsidRPr="00A37D8F">
              <w:rPr>
                <w:b w:val="0"/>
                <w:bCs w:val="0"/>
              </w:rPr>
              <w:tab/>
            </w:r>
          </w:p>
          <w:p w14:paraId="7708A096" w14:textId="7EE5FC95" w:rsidR="00916058" w:rsidRPr="00A37D8F" w:rsidRDefault="00916058" w:rsidP="00830AAB">
            <w:pPr>
              <w:pStyle w:val="ListBullet"/>
              <w:numPr>
                <w:ilvl w:val="0"/>
                <w:numId w:val="0"/>
              </w:numPr>
              <w:rPr>
                <w:b w:val="0"/>
                <w:bCs w:val="0"/>
              </w:rPr>
            </w:pPr>
            <w:r w:rsidRPr="00A37D8F">
              <w:rPr>
                <w:b w:val="0"/>
                <w:bCs w:val="0"/>
              </w:rPr>
              <w:t>Benefit: 75% = $</w:t>
            </w:r>
            <w:r w:rsidR="007C2F1F" w:rsidRPr="00A37D8F">
              <w:rPr>
                <w:b w:val="0"/>
                <w:bCs w:val="0"/>
              </w:rPr>
              <w:t>28.00</w:t>
            </w:r>
            <w:r w:rsidRPr="00A37D8F">
              <w:rPr>
                <w:b w:val="0"/>
                <w:bCs w:val="0"/>
              </w:rPr>
              <w:t xml:space="preserve">    85% = $</w:t>
            </w:r>
            <w:r w:rsidR="007C2F1F" w:rsidRPr="00A37D8F">
              <w:rPr>
                <w:b w:val="0"/>
                <w:bCs w:val="0"/>
              </w:rPr>
              <w:t>31.75</w:t>
            </w:r>
          </w:p>
        </w:tc>
      </w:tr>
    </w:tbl>
    <w:p w14:paraId="2DEF5A20" w14:textId="52614B1A" w:rsidR="00916058" w:rsidRDefault="00916058" w:rsidP="00BE3ED5"/>
    <w:tbl>
      <w:tblPr>
        <w:tblStyle w:val="GridTable4-Accent2"/>
        <w:tblW w:w="0" w:type="auto"/>
        <w:tblLook w:val="04A0" w:firstRow="1" w:lastRow="0" w:firstColumn="1" w:lastColumn="0" w:noHBand="0" w:noVBand="1"/>
      </w:tblPr>
      <w:tblGrid>
        <w:gridCol w:w="9060"/>
      </w:tblGrid>
      <w:tr w:rsidR="005B6B0B" w14:paraId="3C6D1524" w14:textId="77777777" w:rsidTr="00830A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62AA0F1" w14:textId="126955B5" w:rsidR="005B6B0B" w:rsidRDefault="005B6B0B" w:rsidP="00830AAB">
            <w:pPr>
              <w:rPr>
                <w:b w:val="0"/>
                <w:bCs w:val="0"/>
                <w:lang w:eastAsia="en-AU"/>
              </w:rPr>
            </w:pPr>
            <w:r>
              <w:rPr>
                <w:lang w:eastAsia="en-AU"/>
              </w:rPr>
              <w:t>Category 6</w:t>
            </w:r>
            <w:r w:rsidR="00967587">
              <w:rPr>
                <w:lang w:eastAsia="en-AU"/>
              </w:rPr>
              <w:t xml:space="preserve"> –</w:t>
            </w:r>
            <w:r>
              <w:rPr>
                <w:lang w:eastAsia="en-AU"/>
              </w:rPr>
              <w:t xml:space="preserve"> </w:t>
            </w:r>
            <w:r w:rsidR="005E3E02">
              <w:rPr>
                <w:lang w:eastAsia="en-AU"/>
              </w:rPr>
              <w:t>Pathology Services</w:t>
            </w:r>
          </w:p>
        </w:tc>
      </w:tr>
      <w:tr w:rsidR="005B6B0B" w14:paraId="4D1C55AB" w14:textId="77777777" w:rsidTr="00830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FD0ECE1" w14:textId="4C2FCBCB" w:rsidR="005B6B0B" w:rsidRDefault="005B6B0B" w:rsidP="00830AAB">
            <w:pPr>
              <w:rPr>
                <w:b w:val="0"/>
                <w:bCs w:val="0"/>
                <w:lang w:eastAsia="en-AU"/>
              </w:rPr>
            </w:pPr>
            <w:r>
              <w:rPr>
                <w:lang w:eastAsia="en-AU"/>
              </w:rPr>
              <w:t>Group P2</w:t>
            </w:r>
            <w:r w:rsidR="00AF2E87">
              <w:rPr>
                <w:lang w:eastAsia="en-AU"/>
              </w:rPr>
              <w:t xml:space="preserve"> –</w:t>
            </w:r>
            <w:r>
              <w:rPr>
                <w:lang w:eastAsia="en-AU"/>
              </w:rPr>
              <w:t xml:space="preserve"> Chemical</w:t>
            </w:r>
          </w:p>
        </w:tc>
      </w:tr>
      <w:tr w:rsidR="005B6B0B" w14:paraId="5D43EC61" w14:textId="77777777" w:rsidTr="00830AAB">
        <w:tc>
          <w:tcPr>
            <w:cnfStyle w:val="001000000000" w:firstRow="0" w:lastRow="0" w:firstColumn="1" w:lastColumn="0" w:oddVBand="0" w:evenVBand="0" w:oddHBand="0" w:evenHBand="0" w:firstRowFirstColumn="0" w:firstRowLastColumn="0" w:lastRowFirstColumn="0" w:lastRowLastColumn="0"/>
            <w:tcW w:w="9060" w:type="dxa"/>
          </w:tcPr>
          <w:p w14:paraId="530F6A78" w14:textId="65852F5C" w:rsidR="005B6B0B" w:rsidRDefault="005B6B0B" w:rsidP="00830AAB">
            <w:pPr>
              <w:pStyle w:val="ListBullet"/>
              <w:numPr>
                <w:ilvl w:val="0"/>
                <w:numId w:val="0"/>
              </w:numPr>
              <w:ind w:left="360" w:hanging="360"/>
            </w:pPr>
            <w:r w:rsidRPr="00916058">
              <w:rPr>
                <w:b w:val="0"/>
                <w:bCs w:val="0"/>
              </w:rPr>
              <w:t>666</w:t>
            </w:r>
            <w:r>
              <w:rPr>
                <w:b w:val="0"/>
                <w:bCs w:val="0"/>
              </w:rPr>
              <w:t>60</w:t>
            </w:r>
          </w:p>
          <w:p w14:paraId="49A39D99" w14:textId="1BFD69DA" w:rsidR="005B6B0B" w:rsidRPr="00D52307" w:rsidRDefault="005B6B0B" w:rsidP="005B6B0B">
            <w:pPr>
              <w:pStyle w:val="ListBullet"/>
              <w:numPr>
                <w:ilvl w:val="0"/>
                <w:numId w:val="0"/>
              </w:numPr>
              <w:rPr>
                <w:b w:val="0"/>
                <w:bCs w:val="0"/>
              </w:rPr>
            </w:pPr>
            <w:r w:rsidRPr="00D52307">
              <w:rPr>
                <w:b w:val="0"/>
                <w:bCs w:val="0"/>
              </w:rPr>
              <w:t>Prostate specific antigen (PSA), quantitation of 2 or more fractions of PSA and any derived index, in the monitoring of previously diagnosed prostatic disease, including</w:t>
            </w:r>
            <w:r w:rsidR="00C36A97" w:rsidRPr="00D52307">
              <w:rPr>
                <w:b w:val="0"/>
                <w:bCs w:val="0"/>
              </w:rPr>
              <w:t xml:space="preserve">, </w:t>
            </w:r>
            <w:r w:rsidRPr="00D52307">
              <w:rPr>
                <w:b w:val="0"/>
                <w:bCs w:val="0"/>
              </w:rPr>
              <w:t>if performed, a test described in item 66656,</w:t>
            </w:r>
            <w:r w:rsidR="00C36A97" w:rsidRPr="00D52307">
              <w:rPr>
                <w:b w:val="0"/>
                <w:bCs w:val="0"/>
              </w:rPr>
              <w:t xml:space="preserve"> </w:t>
            </w:r>
            <w:r w:rsidRPr="00D52307">
              <w:rPr>
                <w:b w:val="0"/>
                <w:bCs w:val="0"/>
              </w:rPr>
              <w:t>if the current PSA level lies at:</w:t>
            </w:r>
          </w:p>
          <w:p w14:paraId="03D22A42" w14:textId="77777777" w:rsidR="005B6B0B" w:rsidRPr="00D52307" w:rsidRDefault="005B6B0B" w:rsidP="005B6B0B">
            <w:pPr>
              <w:pStyle w:val="ListBullet"/>
              <w:numPr>
                <w:ilvl w:val="0"/>
                <w:numId w:val="0"/>
              </w:numPr>
              <w:rPr>
                <w:b w:val="0"/>
                <w:bCs w:val="0"/>
              </w:rPr>
            </w:pPr>
            <w:r w:rsidRPr="00D52307">
              <w:rPr>
                <w:b w:val="0"/>
                <w:bCs w:val="0"/>
              </w:rPr>
              <w:t>(a) more than 2.0 ug/L but less than or equal to 5.5 ug/L for patients with a family history of prostate cancer; or</w:t>
            </w:r>
          </w:p>
          <w:p w14:paraId="4C0145F8" w14:textId="77777777" w:rsidR="005B6B0B" w:rsidRPr="00D52307" w:rsidRDefault="005B6B0B" w:rsidP="005B6B0B">
            <w:pPr>
              <w:pStyle w:val="ListBullet"/>
              <w:numPr>
                <w:ilvl w:val="0"/>
                <w:numId w:val="0"/>
              </w:numPr>
              <w:rPr>
                <w:b w:val="0"/>
                <w:bCs w:val="0"/>
              </w:rPr>
            </w:pPr>
            <w:r w:rsidRPr="00D52307">
              <w:rPr>
                <w:b w:val="0"/>
                <w:bCs w:val="0"/>
              </w:rPr>
              <w:t>(b) more than 3.0 ug/L but less than or equal to 5.5 ug/L for patients who are at least 50 years of age but under 70 years of age; or</w:t>
            </w:r>
          </w:p>
          <w:p w14:paraId="5B710484" w14:textId="42A4B340" w:rsidR="005B6B0B" w:rsidRPr="00D52307" w:rsidRDefault="005B6B0B" w:rsidP="005B6B0B">
            <w:pPr>
              <w:pStyle w:val="ListBullet"/>
              <w:numPr>
                <w:ilvl w:val="0"/>
                <w:numId w:val="0"/>
              </w:numPr>
            </w:pPr>
            <w:r w:rsidRPr="00D52307">
              <w:rPr>
                <w:b w:val="0"/>
                <w:bCs w:val="0"/>
              </w:rPr>
              <w:t>(c) more than 5.5 ug/L but less than or equal to 10.0 ug/L for patients who are at least 70 years of age</w:t>
            </w:r>
          </w:p>
          <w:p w14:paraId="11746646" w14:textId="19C7356A" w:rsidR="005B6B0B" w:rsidRPr="00D52307" w:rsidRDefault="005B6B0B" w:rsidP="005B6B0B">
            <w:pPr>
              <w:pStyle w:val="ListBullet"/>
              <w:numPr>
                <w:ilvl w:val="0"/>
                <w:numId w:val="0"/>
              </w:numPr>
              <w:rPr>
                <w:b w:val="0"/>
                <w:bCs w:val="0"/>
              </w:rPr>
            </w:pPr>
            <w:r w:rsidRPr="00D52307">
              <w:rPr>
                <w:b w:val="0"/>
                <w:bCs w:val="0"/>
              </w:rPr>
              <w:t xml:space="preserve">For any </w:t>
            </w:r>
            <w:proofErr w:type="gramStart"/>
            <w:r w:rsidRPr="00D52307">
              <w:rPr>
                <w:b w:val="0"/>
                <w:bCs w:val="0"/>
              </w:rPr>
              <w:t>particular patient</w:t>
            </w:r>
            <w:proofErr w:type="gramEnd"/>
            <w:r w:rsidRPr="00D52307">
              <w:rPr>
                <w:b w:val="0"/>
                <w:bCs w:val="0"/>
              </w:rPr>
              <w:t>, applicable not more than 4 times in 11 months</w:t>
            </w:r>
          </w:p>
          <w:p w14:paraId="39843564" w14:textId="77777777" w:rsidR="005B6B0B" w:rsidRPr="00916058" w:rsidRDefault="005B6B0B" w:rsidP="00830AAB">
            <w:pPr>
              <w:pStyle w:val="ListBullet"/>
              <w:numPr>
                <w:ilvl w:val="0"/>
                <w:numId w:val="0"/>
              </w:numPr>
              <w:rPr>
                <w:b w:val="0"/>
                <w:bCs w:val="0"/>
              </w:rPr>
            </w:pPr>
          </w:p>
          <w:p w14:paraId="20010C61" w14:textId="2CF4E85F" w:rsidR="005B6B0B" w:rsidRPr="009549BF" w:rsidRDefault="005B6B0B" w:rsidP="00830AAB">
            <w:pPr>
              <w:pStyle w:val="ListBullet"/>
              <w:numPr>
                <w:ilvl w:val="0"/>
                <w:numId w:val="0"/>
              </w:numPr>
              <w:ind w:left="360" w:hanging="360"/>
              <w:rPr>
                <w:b w:val="0"/>
                <w:bCs w:val="0"/>
              </w:rPr>
            </w:pPr>
            <w:r w:rsidRPr="009549BF">
              <w:rPr>
                <w:b w:val="0"/>
                <w:bCs w:val="0"/>
              </w:rPr>
              <w:t>MBS Fee: $</w:t>
            </w:r>
            <w:r w:rsidR="0033070A">
              <w:rPr>
                <w:b w:val="0"/>
                <w:bCs w:val="0"/>
              </w:rPr>
              <w:t>37</w:t>
            </w:r>
            <w:r>
              <w:rPr>
                <w:b w:val="0"/>
                <w:bCs w:val="0"/>
              </w:rPr>
              <w:t>.</w:t>
            </w:r>
            <w:r w:rsidR="0033070A">
              <w:rPr>
                <w:b w:val="0"/>
                <w:bCs w:val="0"/>
              </w:rPr>
              <w:t>30</w:t>
            </w:r>
            <w:r w:rsidRPr="009549BF">
              <w:rPr>
                <w:b w:val="0"/>
                <w:bCs w:val="0"/>
              </w:rPr>
              <w:tab/>
            </w:r>
          </w:p>
          <w:p w14:paraId="6344B0EA" w14:textId="5171C0C4" w:rsidR="005B6B0B" w:rsidRPr="00AA6575" w:rsidRDefault="005B6B0B" w:rsidP="00830AAB">
            <w:pPr>
              <w:pStyle w:val="ListBullet"/>
              <w:numPr>
                <w:ilvl w:val="0"/>
                <w:numId w:val="0"/>
              </w:numPr>
            </w:pPr>
            <w:r w:rsidRPr="009549BF">
              <w:rPr>
                <w:b w:val="0"/>
                <w:bCs w:val="0"/>
              </w:rPr>
              <w:t>Benefit: 75% = $</w:t>
            </w:r>
            <w:r w:rsidR="0033070A">
              <w:rPr>
                <w:b w:val="0"/>
                <w:bCs w:val="0"/>
              </w:rPr>
              <w:t>28</w:t>
            </w:r>
            <w:r>
              <w:rPr>
                <w:b w:val="0"/>
                <w:bCs w:val="0"/>
              </w:rPr>
              <w:t>.</w:t>
            </w:r>
            <w:r w:rsidR="0033070A">
              <w:rPr>
                <w:b w:val="0"/>
                <w:bCs w:val="0"/>
              </w:rPr>
              <w:t>00</w:t>
            </w:r>
            <w:r w:rsidRPr="009549BF">
              <w:rPr>
                <w:b w:val="0"/>
                <w:bCs w:val="0"/>
              </w:rPr>
              <w:t xml:space="preserve">    85% = $</w:t>
            </w:r>
            <w:r w:rsidR="0033070A">
              <w:rPr>
                <w:b w:val="0"/>
                <w:bCs w:val="0"/>
              </w:rPr>
              <w:t>31</w:t>
            </w:r>
            <w:r>
              <w:rPr>
                <w:b w:val="0"/>
                <w:bCs w:val="0"/>
              </w:rPr>
              <w:t>.</w:t>
            </w:r>
            <w:r w:rsidR="0033070A">
              <w:rPr>
                <w:b w:val="0"/>
                <w:bCs w:val="0"/>
              </w:rPr>
              <w:t>75</w:t>
            </w:r>
          </w:p>
        </w:tc>
      </w:tr>
    </w:tbl>
    <w:p w14:paraId="798AF73D" w14:textId="633BD459" w:rsidR="00916058" w:rsidRDefault="00916058" w:rsidP="00BE3ED5"/>
    <w:p w14:paraId="094E3779" w14:textId="77777777" w:rsidR="00916058" w:rsidRDefault="00916058"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4C90" w14:textId="77777777" w:rsidR="00A67E13" w:rsidRDefault="00A67E13" w:rsidP="006B56BB">
      <w:r>
        <w:separator/>
      </w:r>
    </w:p>
    <w:p w14:paraId="51940F52" w14:textId="77777777" w:rsidR="00A67E13" w:rsidRDefault="00A67E13"/>
  </w:endnote>
  <w:endnote w:type="continuationSeparator" w:id="0">
    <w:p w14:paraId="3DA2DAF3" w14:textId="77777777" w:rsidR="00A67E13" w:rsidRDefault="00A67E13" w:rsidP="006B56BB">
      <w:r>
        <w:continuationSeparator/>
      </w:r>
    </w:p>
    <w:p w14:paraId="2BB6845B" w14:textId="77777777" w:rsidR="00A67E13" w:rsidRDefault="00A67E13"/>
  </w:endnote>
  <w:endnote w:type="continuationNotice" w:id="1">
    <w:p w14:paraId="6BF007A7" w14:textId="77777777" w:rsidR="00A67E13" w:rsidRDefault="00A67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08D4" w14:textId="77777777" w:rsidR="006646CB" w:rsidRDefault="00664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B988AB6" w:rsidR="00F51321" w:rsidRDefault="00F344AE" w:rsidP="00F51321">
    <w:pPr>
      <w:pStyle w:val="Footer"/>
      <w:tabs>
        <w:tab w:val="clear" w:pos="9026"/>
        <w:tab w:val="right" w:pos="10466"/>
      </w:tabs>
    </w:pPr>
    <w:r w:rsidRPr="00F344AE">
      <w:rPr>
        <w:b/>
      </w:rPr>
      <w:t>New and amended items for prostate specific antigen testing</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5B12145F" w:rsidR="00F51321" w:rsidRPr="009B32BA" w:rsidRDefault="00F51321" w:rsidP="00F51321">
    <w:pPr>
      <w:pStyle w:val="Footer"/>
      <w:jc w:val="left"/>
      <w:rPr>
        <w:szCs w:val="18"/>
      </w:rPr>
    </w:pPr>
    <w:r w:rsidRPr="00870B05">
      <w:t>Last updated</w:t>
    </w:r>
    <w:r>
      <w:t xml:space="preserve"> – </w:t>
    </w:r>
    <w:r w:rsidR="006646CB">
      <w:t>22</w:t>
    </w:r>
    <w:r w:rsidR="001C062A">
      <w:t xml:space="preserve"> November</w:t>
    </w:r>
    <w:r>
      <w:t xml:space="preserve"> 20</w:t>
    </w:r>
    <w:r w:rsidR="00B76FDD">
      <w:t>23</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939C78C" w:rsidR="00064168" w:rsidRDefault="00F344AE" w:rsidP="00064168">
    <w:pPr>
      <w:pStyle w:val="Footer"/>
      <w:tabs>
        <w:tab w:val="clear" w:pos="9026"/>
        <w:tab w:val="right" w:pos="10466"/>
      </w:tabs>
    </w:pPr>
    <w:r w:rsidRPr="00F344AE">
      <w:rPr>
        <w:b/>
      </w:rPr>
      <w:t>New and amended items for prostate specific antigen testing</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2A1B65AF" w:rsidR="00064168" w:rsidRPr="009B32BA" w:rsidRDefault="00064168" w:rsidP="00064168">
    <w:pPr>
      <w:pStyle w:val="Footer"/>
      <w:jc w:val="left"/>
      <w:rPr>
        <w:szCs w:val="18"/>
      </w:rPr>
    </w:pPr>
    <w:r w:rsidRPr="00870B05">
      <w:t>Last updated</w:t>
    </w:r>
    <w:r>
      <w:t xml:space="preserve"> – </w:t>
    </w:r>
    <w:r w:rsidR="006646CB">
      <w:t>22</w:t>
    </w:r>
    <w:r w:rsidR="001C062A">
      <w:t xml:space="preserve"> November</w:t>
    </w:r>
    <w:r w:rsidR="00E77906" w:rsidRPr="00E77906">
      <w:t xml:space="preserve"> </w:t>
    </w:r>
    <w:r>
      <w:t>20</w:t>
    </w:r>
    <w:r w:rsidR="00F45B58">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DBC5" w14:textId="77777777" w:rsidR="00A67E13" w:rsidRDefault="00A67E13" w:rsidP="006B56BB">
      <w:r>
        <w:separator/>
      </w:r>
    </w:p>
    <w:p w14:paraId="25F50915" w14:textId="77777777" w:rsidR="00A67E13" w:rsidRDefault="00A67E13"/>
  </w:footnote>
  <w:footnote w:type="continuationSeparator" w:id="0">
    <w:p w14:paraId="38A9C59B" w14:textId="77777777" w:rsidR="00A67E13" w:rsidRDefault="00A67E13" w:rsidP="006B56BB">
      <w:r>
        <w:continuationSeparator/>
      </w:r>
    </w:p>
    <w:p w14:paraId="640EABD0" w14:textId="77777777" w:rsidR="00A67E13" w:rsidRDefault="00A67E13"/>
  </w:footnote>
  <w:footnote w:type="continuationNotice" w:id="1">
    <w:p w14:paraId="011615FC" w14:textId="77777777" w:rsidR="00A67E13" w:rsidRDefault="00A67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F45A" w14:textId="77777777" w:rsidR="006646CB" w:rsidRDefault="00664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1272" w14:textId="77777777" w:rsidR="006646CB" w:rsidRDefault="00664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02071898">
    <w:abstractNumId w:val="7"/>
  </w:num>
  <w:num w:numId="2" w16cid:durableId="628557173">
    <w:abstractNumId w:val="17"/>
  </w:num>
  <w:num w:numId="3" w16cid:durableId="4283121">
    <w:abstractNumId w:val="19"/>
  </w:num>
  <w:num w:numId="4" w16cid:durableId="232662000">
    <w:abstractNumId w:val="8"/>
  </w:num>
  <w:num w:numId="5" w16cid:durableId="528836916">
    <w:abstractNumId w:val="8"/>
    <w:lvlOverride w:ilvl="0">
      <w:startOverride w:val="1"/>
    </w:lvlOverride>
  </w:num>
  <w:num w:numId="6" w16cid:durableId="533419467">
    <w:abstractNumId w:val="9"/>
  </w:num>
  <w:num w:numId="7" w16cid:durableId="1060128413">
    <w:abstractNumId w:val="15"/>
  </w:num>
  <w:num w:numId="8" w16cid:durableId="911693050">
    <w:abstractNumId w:val="18"/>
  </w:num>
  <w:num w:numId="9" w16cid:durableId="2076656600">
    <w:abstractNumId w:val="5"/>
  </w:num>
  <w:num w:numId="10" w16cid:durableId="61608165">
    <w:abstractNumId w:val="4"/>
  </w:num>
  <w:num w:numId="11" w16cid:durableId="738795157">
    <w:abstractNumId w:val="3"/>
  </w:num>
  <w:num w:numId="12" w16cid:durableId="1401439888">
    <w:abstractNumId w:val="2"/>
  </w:num>
  <w:num w:numId="13" w16cid:durableId="886070961">
    <w:abstractNumId w:val="6"/>
  </w:num>
  <w:num w:numId="14" w16cid:durableId="1386640839">
    <w:abstractNumId w:val="1"/>
  </w:num>
  <w:num w:numId="15" w16cid:durableId="512762390">
    <w:abstractNumId w:val="0"/>
  </w:num>
  <w:num w:numId="16" w16cid:durableId="305934503">
    <w:abstractNumId w:val="20"/>
  </w:num>
  <w:num w:numId="17" w16cid:durableId="1087070598">
    <w:abstractNumId w:val="10"/>
  </w:num>
  <w:num w:numId="18" w16cid:durableId="263995797">
    <w:abstractNumId w:val="12"/>
  </w:num>
  <w:num w:numId="19" w16cid:durableId="473640053">
    <w:abstractNumId w:val="14"/>
  </w:num>
  <w:num w:numId="20" w16cid:durableId="1294360679">
    <w:abstractNumId w:val="10"/>
  </w:num>
  <w:num w:numId="21" w16cid:durableId="1607349511">
    <w:abstractNumId w:val="14"/>
  </w:num>
  <w:num w:numId="22" w16cid:durableId="1674797718">
    <w:abstractNumId w:val="20"/>
  </w:num>
  <w:num w:numId="23" w16cid:durableId="619647188">
    <w:abstractNumId w:val="17"/>
  </w:num>
  <w:num w:numId="24" w16cid:durableId="2017148042">
    <w:abstractNumId w:val="19"/>
  </w:num>
  <w:num w:numId="25" w16cid:durableId="752236304">
    <w:abstractNumId w:val="8"/>
  </w:num>
  <w:num w:numId="26" w16cid:durableId="72823735">
    <w:abstractNumId w:val="16"/>
  </w:num>
  <w:num w:numId="27" w16cid:durableId="1514295328">
    <w:abstractNumId w:val="11"/>
  </w:num>
  <w:num w:numId="28" w16cid:durableId="1256204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5FA"/>
    <w:rsid w:val="00003743"/>
    <w:rsid w:val="000047B4"/>
    <w:rsid w:val="00005712"/>
    <w:rsid w:val="00007FD8"/>
    <w:rsid w:val="000117F8"/>
    <w:rsid w:val="0001460F"/>
    <w:rsid w:val="00022629"/>
    <w:rsid w:val="00024DFE"/>
    <w:rsid w:val="00026139"/>
    <w:rsid w:val="00027601"/>
    <w:rsid w:val="00031934"/>
    <w:rsid w:val="00033321"/>
    <w:rsid w:val="000338E5"/>
    <w:rsid w:val="00033ECC"/>
    <w:rsid w:val="0003422F"/>
    <w:rsid w:val="00034AE4"/>
    <w:rsid w:val="00042278"/>
    <w:rsid w:val="00046FF0"/>
    <w:rsid w:val="00050176"/>
    <w:rsid w:val="00050342"/>
    <w:rsid w:val="000536E4"/>
    <w:rsid w:val="00064168"/>
    <w:rsid w:val="00067456"/>
    <w:rsid w:val="00071506"/>
    <w:rsid w:val="0007154F"/>
    <w:rsid w:val="00073BAE"/>
    <w:rsid w:val="00080BAC"/>
    <w:rsid w:val="00081AB1"/>
    <w:rsid w:val="00083B35"/>
    <w:rsid w:val="00090316"/>
    <w:rsid w:val="00093981"/>
    <w:rsid w:val="000B067A"/>
    <w:rsid w:val="000B1540"/>
    <w:rsid w:val="000B1E53"/>
    <w:rsid w:val="000B33FD"/>
    <w:rsid w:val="000B4ABA"/>
    <w:rsid w:val="000C3767"/>
    <w:rsid w:val="000C4B16"/>
    <w:rsid w:val="000C50C3"/>
    <w:rsid w:val="000C5E14"/>
    <w:rsid w:val="000C75CE"/>
    <w:rsid w:val="000D21F6"/>
    <w:rsid w:val="000D4500"/>
    <w:rsid w:val="000D7AEA"/>
    <w:rsid w:val="000E2C66"/>
    <w:rsid w:val="000F123C"/>
    <w:rsid w:val="000F2FED"/>
    <w:rsid w:val="000F3B1F"/>
    <w:rsid w:val="000F43A4"/>
    <w:rsid w:val="000F45F2"/>
    <w:rsid w:val="000F5F2A"/>
    <w:rsid w:val="0010616D"/>
    <w:rsid w:val="00110478"/>
    <w:rsid w:val="0011711B"/>
    <w:rsid w:val="00117F8A"/>
    <w:rsid w:val="00121B9B"/>
    <w:rsid w:val="00122ADC"/>
    <w:rsid w:val="001245EF"/>
    <w:rsid w:val="00130F59"/>
    <w:rsid w:val="00133EC0"/>
    <w:rsid w:val="00141CE5"/>
    <w:rsid w:val="00144908"/>
    <w:rsid w:val="0015393F"/>
    <w:rsid w:val="00156D96"/>
    <w:rsid w:val="001571C7"/>
    <w:rsid w:val="00161094"/>
    <w:rsid w:val="0016630F"/>
    <w:rsid w:val="001673E8"/>
    <w:rsid w:val="00173109"/>
    <w:rsid w:val="0017665C"/>
    <w:rsid w:val="00177AD2"/>
    <w:rsid w:val="00180765"/>
    <w:rsid w:val="001815A8"/>
    <w:rsid w:val="001840FA"/>
    <w:rsid w:val="00190079"/>
    <w:rsid w:val="0019622E"/>
    <w:rsid w:val="001966A7"/>
    <w:rsid w:val="001A35AE"/>
    <w:rsid w:val="001A4627"/>
    <w:rsid w:val="001A4979"/>
    <w:rsid w:val="001B15D3"/>
    <w:rsid w:val="001B3443"/>
    <w:rsid w:val="001C0326"/>
    <w:rsid w:val="001C062A"/>
    <w:rsid w:val="001C192F"/>
    <w:rsid w:val="001C3C42"/>
    <w:rsid w:val="001C6492"/>
    <w:rsid w:val="001D7869"/>
    <w:rsid w:val="0020242D"/>
    <w:rsid w:val="002026CD"/>
    <w:rsid w:val="002027CD"/>
    <w:rsid w:val="002033FC"/>
    <w:rsid w:val="002044BB"/>
    <w:rsid w:val="00210B09"/>
    <w:rsid w:val="00210C9E"/>
    <w:rsid w:val="00211840"/>
    <w:rsid w:val="00220E5F"/>
    <w:rsid w:val="002212B5"/>
    <w:rsid w:val="00226668"/>
    <w:rsid w:val="00226DB6"/>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0CAC"/>
    <w:rsid w:val="00294354"/>
    <w:rsid w:val="00295AF2"/>
    <w:rsid w:val="00295C91"/>
    <w:rsid w:val="00297151"/>
    <w:rsid w:val="00297C28"/>
    <w:rsid w:val="002A01A5"/>
    <w:rsid w:val="002B20E6"/>
    <w:rsid w:val="002B42A3"/>
    <w:rsid w:val="002C0CDD"/>
    <w:rsid w:val="002C38C4"/>
    <w:rsid w:val="002C46AA"/>
    <w:rsid w:val="002D34A6"/>
    <w:rsid w:val="002D3ED8"/>
    <w:rsid w:val="002E1A1D"/>
    <w:rsid w:val="002E4081"/>
    <w:rsid w:val="002E5B78"/>
    <w:rsid w:val="002E79CF"/>
    <w:rsid w:val="002F3AE3"/>
    <w:rsid w:val="0030464B"/>
    <w:rsid w:val="00304B4E"/>
    <w:rsid w:val="0030786C"/>
    <w:rsid w:val="003233DE"/>
    <w:rsid w:val="0032466B"/>
    <w:rsid w:val="0033070A"/>
    <w:rsid w:val="003330EB"/>
    <w:rsid w:val="003415FD"/>
    <w:rsid w:val="003429F0"/>
    <w:rsid w:val="00345A82"/>
    <w:rsid w:val="0035097A"/>
    <w:rsid w:val="003540A4"/>
    <w:rsid w:val="00357BCC"/>
    <w:rsid w:val="00360E4E"/>
    <w:rsid w:val="0036635F"/>
    <w:rsid w:val="00370AAA"/>
    <w:rsid w:val="00372FAA"/>
    <w:rsid w:val="00375F77"/>
    <w:rsid w:val="00381BBE"/>
    <w:rsid w:val="00382903"/>
    <w:rsid w:val="003846FF"/>
    <w:rsid w:val="003857D4"/>
    <w:rsid w:val="00385AD4"/>
    <w:rsid w:val="00385C01"/>
    <w:rsid w:val="00387924"/>
    <w:rsid w:val="00390BF3"/>
    <w:rsid w:val="0039384D"/>
    <w:rsid w:val="00395C23"/>
    <w:rsid w:val="003A2E4F"/>
    <w:rsid w:val="003A4438"/>
    <w:rsid w:val="003A5013"/>
    <w:rsid w:val="003A5078"/>
    <w:rsid w:val="003A62DD"/>
    <w:rsid w:val="003A775A"/>
    <w:rsid w:val="003B213A"/>
    <w:rsid w:val="003B43AD"/>
    <w:rsid w:val="003C0FEC"/>
    <w:rsid w:val="003C14F8"/>
    <w:rsid w:val="003C2AC8"/>
    <w:rsid w:val="003D033A"/>
    <w:rsid w:val="003D17F9"/>
    <w:rsid w:val="003D2D88"/>
    <w:rsid w:val="003D41EA"/>
    <w:rsid w:val="003D4850"/>
    <w:rsid w:val="003D535A"/>
    <w:rsid w:val="003E5265"/>
    <w:rsid w:val="003F0955"/>
    <w:rsid w:val="003F53D3"/>
    <w:rsid w:val="003F5F4D"/>
    <w:rsid w:val="003F646F"/>
    <w:rsid w:val="003F77EE"/>
    <w:rsid w:val="00400F00"/>
    <w:rsid w:val="00404F8B"/>
    <w:rsid w:val="00405256"/>
    <w:rsid w:val="00405ADD"/>
    <w:rsid w:val="00410031"/>
    <w:rsid w:val="00415C81"/>
    <w:rsid w:val="00432378"/>
    <w:rsid w:val="00440D65"/>
    <w:rsid w:val="004435E6"/>
    <w:rsid w:val="00447E31"/>
    <w:rsid w:val="00450451"/>
    <w:rsid w:val="004534C7"/>
    <w:rsid w:val="00453923"/>
    <w:rsid w:val="00454B9B"/>
    <w:rsid w:val="00455D93"/>
    <w:rsid w:val="00457858"/>
    <w:rsid w:val="00460B0B"/>
    <w:rsid w:val="00461023"/>
    <w:rsid w:val="00462FAC"/>
    <w:rsid w:val="00464631"/>
    <w:rsid w:val="00464B79"/>
    <w:rsid w:val="00467BBF"/>
    <w:rsid w:val="00472966"/>
    <w:rsid w:val="00476017"/>
    <w:rsid w:val="0047623D"/>
    <w:rsid w:val="0048353C"/>
    <w:rsid w:val="0048593C"/>
    <w:rsid w:val="004867E2"/>
    <w:rsid w:val="004929A9"/>
    <w:rsid w:val="00493EB7"/>
    <w:rsid w:val="0049689A"/>
    <w:rsid w:val="004A78D9"/>
    <w:rsid w:val="004B79C4"/>
    <w:rsid w:val="004C1BCD"/>
    <w:rsid w:val="004C6BCF"/>
    <w:rsid w:val="004D58BF"/>
    <w:rsid w:val="004E1F33"/>
    <w:rsid w:val="004E4335"/>
    <w:rsid w:val="004E5226"/>
    <w:rsid w:val="004F13EE"/>
    <w:rsid w:val="004F2022"/>
    <w:rsid w:val="004F7C05"/>
    <w:rsid w:val="00501C94"/>
    <w:rsid w:val="00506432"/>
    <w:rsid w:val="00506E82"/>
    <w:rsid w:val="0052051D"/>
    <w:rsid w:val="00525748"/>
    <w:rsid w:val="00532982"/>
    <w:rsid w:val="00545EE6"/>
    <w:rsid w:val="00547E5F"/>
    <w:rsid w:val="005550E7"/>
    <w:rsid w:val="005564FB"/>
    <w:rsid w:val="005572C7"/>
    <w:rsid w:val="005650ED"/>
    <w:rsid w:val="00575754"/>
    <w:rsid w:val="00581FBA"/>
    <w:rsid w:val="005858A4"/>
    <w:rsid w:val="00586B8E"/>
    <w:rsid w:val="00591E20"/>
    <w:rsid w:val="00595408"/>
    <w:rsid w:val="00595E84"/>
    <w:rsid w:val="00595F99"/>
    <w:rsid w:val="005A0C59"/>
    <w:rsid w:val="005A48EB"/>
    <w:rsid w:val="005A6CFB"/>
    <w:rsid w:val="005B6B0B"/>
    <w:rsid w:val="005C5AEB"/>
    <w:rsid w:val="005D5F4E"/>
    <w:rsid w:val="005D6BC5"/>
    <w:rsid w:val="005E0A3F"/>
    <w:rsid w:val="005E1AF9"/>
    <w:rsid w:val="005E2D76"/>
    <w:rsid w:val="005E3E02"/>
    <w:rsid w:val="005E6883"/>
    <w:rsid w:val="005E772F"/>
    <w:rsid w:val="005F4ECA"/>
    <w:rsid w:val="006041BE"/>
    <w:rsid w:val="006043C7"/>
    <w:rsid w:val="00611575"/>
    <w:rsid w:val="00624B52"/>
    <w:rsid w:val="00630794"/>
    <w:rsid w:val="00631DF4"/>
    <w:rsid w:val="00634175"/>
    <w:rsid w:val="0063574E"/>
    <w:rsid w:val="006408AC"/>
    <w:rsid w:val="00642F20"/>
    <w:rsid w:val="006511B6"/>
    <w:rsid w:val="00657FF8"/>
    <w:rsid w:val="006646CB"/>
    <w:rsid w:val="00670D99"/>
    <w:rsid w:val="00670E2B"/>
    <w:rsid w:val="006734BB"/>
    <w:rsid w:val="0067697A"/>
    <w:rsid w:val="006821EB"/>
    <w:rsid w:val="00685025"/>
    <w:rsid w:val="00691954"/>
    <w:rsid w:val="006B2286"/>
    <w:rsid w:val="006B56BB"/>
    <w:rsid w:val="006C085B"/>
    <w:rsid w:val="006C77A8"/>
    <w:rsid w:val="006C7FF1"/>
    <w:rsid w:val="006D4098"/>
    <w:rsid w:val="006D7681"/>
    <w:rsid w:val="006D7B2E"/>
    <w:rsid w:val="006E02EA"/>
    <w:rsid w:val="006E0968"/>
    <w:rsid w:val="006E2AF6"/>
    <w:rsid w:val="006F5073"/>
    <w:rsid w:val="00701275"/>
    <w:rsid w:val="00707F56"/>
    <w:rsid w:val="00713558"/>
    <w:rsid w:val="00720D08"/>
    <w:rsid w:val="00722C03"/>
    <w:rsid w:val="007263B9"/>
    <w:rsid w:val="007334F8"/>
    <w:rsid w:val="007339CD"/>
    <w:rsid w:val="007359D8"/>
    <w:rsid w:val="007362D4"/>
    <w:rsid w:val="0074363C"/>
    <w:rsid w:val="0076672A"/>
    <w:rsid w:val="00775E45"/>
    <w:rsid w:val="00776E74"/>
    <w:rsid w:val="00785169"/>
    <w:rsid w:val="007851BE"/>
    <w:rsid w:val="007954AB"/>
    <w:rsid w:val="007A032B"/>
    <w:rsid w:val="007A14C5"/>
    <w:rsid w:val="007A1E64"/>
    <w:rsid w:val="007A4A10"/>
    <w:rsid w:val="007B1750"/>
    <w:rsid w:val="007B1760"/>
    <w:rsid w:val="007B7E85"/>
    <w:rsid w:val="007C1FDC"/>
    <w:rsid w:val="007C2F1F"/>
    <w:rsid w:val="007C31DD"/>
    <w:rsid w:val="007C6D9C"/>
    <w:rsid w:val="007C7DDB"/>
    <w:rsid w:val="007D2CC7"/>
    <w:rsid w:val="007D673D"/>
    <w:rsid w:val="007E0068"/>
    <w:rsid w:val="007E0FB8"/>
    <w:rsid w:val="007E4D09"/>
    <w:rsid w:val="007F2220"/>
    <w:rsid w:val="007F4B3E"/>
    <w:rsid w:val="008046E4"/>
    <w:rsid w:val="008127AF"/>
    <w:rsid w:val="00812B46"/>
    <w:rsid w:val="008148A1"/>
    <w:rsid w:val="00815700"/>
    <w:rsid w:val="0082246B"/>
    <w:rsid w:val="008264EB"/>
    <w:rsid w:val="00826B8F"/>
    <w:rsid w:val="00831E8A"/>
    <w:rsid w:val="00835C76"/>
    <w:rsid w:val="008376E2"/>
    <w:rsid w:val="00843049"/>
    <w:rsid w:val="008437CA"/>
    <w:rsid w:val="00845C84"/>
    <w:rsid w:val="0085209B"/>
    <w:rsid w:val="00856B66"/>
    <w:rsid w:val="008601AC"/>
    <w:rsid w:val="00861A5F"/>
    <w:rsid w:val="008644AD"/>
    <w:rsid w:val="00865735"/>
    <w:rsid w:val="00865DDB"/>
    <w:rsid w:val="00867538"/>
    <w:rsid w:val="00870184"/>
    <w:rsid w:val="00871C88"/>
    <w:rsid w:val="00873D90"/>
    <w:rsid w:val="00873FC8"/>
    <w:rsid w:val="00884C63"/>
    <w:rsid w:val="00885908"/>
    <w:rsid w:val="008864B7"/>
    <w:rsid w:val="00887503"/>
    <w:rsid w:val="0088760E"/>
    <w:rsid w:val="0089677E"/>
    <w:rsid w:val="0089747A"/>
    <w:rsid w:val="008A54B9"/>
    <w:rsid w:val="008A7438"/>
    <w:rsid w:val="008B1334"/>
    <w:rsid w:val="008B25C7"/>
    <w:rsid w:val="008B301A"/>
    <w:rsid w:val="008C0278"/>
    <w:rsid w:val="008C24E9"/>
    <w:rsid w:val="008D0533"/>
    <w:rsid w:val="008D15C4"/>
    <w:rsid w:val="008D375C"/>
    <w:rsid w:val="008D42CB"/>
    <w:rsid w:val="008D48C9"/>
    <w:rsid w:val="008D6381"/>
    <w:rsid w:val="008E0C77"/>
    <w:rsid w:val="008E1051"/>
    <w:rsid w:val="008E625F"/>
    <w:rsid w:val="008F264D"/>
    <w:rsid w:val="009040E9"/>
    <w:rsid w:val="009074E1"/>
    <w:rsid w:val="009112F7"/>
    <w:rsid w:val="009122AF"/>
    <w:rsid w:val="00912D54"/>
    <w:rsid w:val="0091302F"/>
    <w:rsid w:val="0091389F"/>
    <w:rsid w:val="00916058"/>
    <w:rsid w:val="009208F7"/>
    <w:rsid w:val="00921649"/>
    <w:rsid w:val="00922517"/>
    <w:rsid w:val="0092262D"/>
    <w:rsid w:val="00922722"/>
    <w:rsid w:val="009261E6"/>
    <w:rsid w:val="009268E1"/>
    <w:rsid w:val="009271EE"/>
    <w:rsid w:val="009344AE"/>
    <w:rsid w:val="009344DE"/>
    <w:rsid w:val="00943398"/>
    <w:rsid w:val="00945E7F"/>
    <w:rsid w:val="009533CB"/>
    <w:rsid w:val="009549BF"/>
    <w:rsid w:val="009557C1"/>
    <w:rsid w:val="009564F3"/>
    <w:rsid w:val="00960D6E"/>
    <w:rsid w:val="00967587"/>
    <w:rsid w:val="00967EE4"/>
    <w:rsid w:val="00974B59"/>
    <w:rsid w:val="0098340B"/>
    <w:rsid w:val="00986830"/>
    <w:rsid w:val="009924C3"/>
    <w:rsid w:val="00993102"/>
    <w:rsid w:val="009B1570"/>
    <w:rsid w:val="009C0DEE"/>
    <w:rsid w:val="009C6F10"/>
    <w:rsid w:val="009D0084"/>
    <w:rsid w:val="009D148F"/>
    <w:rsid w:val="009D1A72"/>
    <w:rsid w:val="009D3D70"/>
    <w:rsid w:val="009E6F7E"/>
    <w:rsid w:val="009E7A57"/>
    <w:rsid w:val="009F01E0"/>
    <w:rsid w:val="009F4803"/>
    <w:rsid w:val="009F4F6A"/>
    <w:rsid w:val="00A05ECC"/>
    <w:rsid w:val="00A13EB5"/>
    <w:rsid w:val="00A16E36"/>
    <w:rsid w:val="00A24961"/>
    <w:rsid w:val="00A24B10"/>
    <w:rsid w:val="00A277EF"/>
    <w:rsid w:val="00A30E9B"/>
    <w:rsid w:val="00A365EA"/>
    <w:rsid w:val="00A37D8F"/>
    <w:rsid w:val="00A4512D"/>
    <w:rsid w:val="00A47DA0"/>
    <w:rsid w:val="00A50244"/>
    <w:rsid w:val="00A53326"/>
    <w:rsid w:val="00A627D7"/>
    <w:rsid w:val="00A656C7"/>
    <w:rsid w:val="00A67E13"/>
    <w:rsid w:val="00A705AF"/>
    <w:rsid w:val="00A719F6"/>
    <w:rsid w:val="00A72454"/>
    <w:rsid w:val="00A77696"/>
    <w:rsid w:val="00A80557"/>
    <w:rsid w:val="00A81D33"/>
    <w:rsid w:val="00A8341C"/>
    <w:rsid w:val="00A839AC"/>
    <w:rsid w:val="00A930AE"/>
    <w:rsid w:val="00AA1A95"/>
    <w:rsid w:val="00AA260F"/>
    <w:rsid w:val="00AA4D32"/>
    <w:rsid w:val="00AA6B07"/>
    <w:rsid w:val="00AB1EE7"/>
    <w:rsid w:val="00AB4B37"/>
    <w:rsid w:val="00AB5762"/>
    <w:rsid w:val="00AB7B6F"/>
    <w:rsid w:val="00AC2679"/>
    <w:rsid w:val="00AC4BE4"/>
    <w:rsid w:val="00AD05E6"/>
    <w:rsid w:val="00AD0D3F"/>
    <w:rsid w:val="00AE1D7D"/>
    <w:rsid w:val="00AE2A8B"/>
    <w:rsid w:val="00AE3F64"/>
    <w:rsid w:val="00AF2E87"/>
    <w:rsid w:val="00AF6DEE"/>
    <w:rsid w:val="00AF7386"/>
    <w:rsid w:val="00AF7934"/>
    <w:rsid w:val="00B00B81"/>
    <w:rsid w:val="00B04580"/>
    <w:rsid w:val="00B04B09"/>
    <w:rsid w:val="00B074E9"/>
    <w:rsid w:val="00B1226E"/>
    <w:rsid w:val="00B16A51"/>
    <w:rsid w:val="00B17E45"/>
    <w:rsid w:val="00B32222"/>
    <w:rsid w:val="00B32BB8"/>
    <w:rsid w:val="00B3618D"/>
    <w:rsid w:val="00B36233"/>
    <w:rsid w:val="00B42851"/>
    <w:rsid w:val="00B45350"/>
    <w:rsid w:val="00B45AC7"/>
    <w:rsid w:val="00B46303"/>
    <w:rsid w:val="00B528FD"/>
    <w:rsid w:val="00B5372F"/>
    <w:rsid w:val="00B53987"/>
    <w:rsid w:val="00B56279"/>
    <w:rsid w:val="00B61129"/>
    <w:rsid w:val="00B67E7F"/>
    <w:rsid w:val="00B76DB3"/>
    <w:rsid w:val="00B76FDD"/>
    <w:rsid w:val="00B839B2"/>
    <w:rsid w:val="00B9018B"/>
    <w:rsid w:val="00B94252"/>
    <w:rsid w:val="00B9715A"/>
    <w:rsid w:val="00BA14BE"/>
    <w:rsid w:val="00BA260D"/>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BF1E42"/>
    <w:rsid w:val="00C00930"/>
    <w:rsid w:val="00C00AF3"/>
    <w:rsid w:val="00C060AD"/>
    <w:rsid w:val="00C065BD"/>
    <w:rsid w:val="00C113BF"/>
    <w:rsid w:val="00C2176E"/>
    <w:rsid w:val="00C23430"/>
    <w:rsid w:val="00C27D67"/>
    <w:rsid w:val="00C36A97"/>
    <w:rsid w:val="00C42CA6"/>
    <w:rsid w:val="00C435AF"/>
    <w:rsid w:val="00C4631F"/>
    <w:rsid w:val="00C47CDE"/>
    <w:rsid w:val="00C50E16"/>
    <w:rsid w:val="00C53E45"/>
    <w:rsid w:val="00C55258"/>
    <w:rsid w:val="00C55619"/>
    <w:rsid w:val="00C75FA3"/>
    <w:rsid w:val="00C82EEB"/>
    <w:rsid w:val="00C82FFB"/>
    <w:rsid w:val="00C84CCF"/>
    <w:rsid w:val="00C971DC"/>
    <w:rsid w:val="00CA16B7"/>
    <w:rsid w:val="00CA62AE"/>
    <w:rsid w:val="00CB03B8"/>
    <w:rsid w:val="00CB065B"/>
    <w:rsid w:val="00CB5B1A"/>
    <w:rsid w:val="00CB5ED0"/>
    <w:rsid w:val="00CB7CAB"/>
    <w:rsid w:val="00CC220B"/>
    <w:rsid w:val="00CC5144"/>
    <w:rsid w:val="00CC5C43"/>
    <w:rsid w:val="00CD02AE"/>
    <w:rsid w:val="00CD2A4F"/>
    <w:rsid w:val="00CE03CA"/>
    <w:rsid w:val="00CE22F1"/>
    <w:rsid w:val="00CE50F2"/>
    <w:rsid w:val="00CE6502"/>
    <w:rsid w:val="00CF7D3C"/>
    <w:rsid w:val="00D01F09"/>
    <w:rsid w:val="00D03527"/>
    <w:rsid w:val="00D10A29"/>
    <w:rsid w:val="00D147EB"/>
    <w:rsid w:val="00D2034F"/>
    <w:rsid w:val="00D34667"/>
    <w:rsid w:val="00D401E1"/>
    <w:rsid w:val="00D408B4"/>
    <w:rsid w:val="00D43092"/>
    <w:rsid w:val="00D44330"/>
    <w:rsid w:val="00D52307"/>
    <w:rsid w:val="00D524C8"/>
    <w:rsid w:val="00D539FB"/>
    <w:rsid w:val="00D56191"/>
    <w:rsid w:val="00D606C9"/>
    <w:rsid w:val="00D70E24"/>
    <w:rsid w:val="00D72B61"/>
    <w:rsid w:val="00D91513"/>
    <w:rsid w:val="00DA2A7B"/>
    <w:rsid w:val="00DA3D1D"/>
    <w:rsid w:val="00DB6286"/>
    <w:rsid w:val="00DB645F"/>
    <w:rsid w:val="00DB76E9"/>
    <w:rsid w:val="00DC0A67"/>
    <w:rsid w:val="00DC1D5E"/>
    <w:rsid w:val="00DC2FE1"/>
    <w:rsid w:val="00DC5220"/>
    <w:rsid w:val="00DD2061"/>
    <w:rsid w:val="00DD7DAB"/>
    <w:rsid w:val="00DE3355"/>
    <w:rsid w:val="00DF0C60"/>
    <w:rsid w:val="00DF486F"/>
    <w:rsid w:val="00DF5B5B"/>
    <w:rsid w:val="00DF7619"/>
    <w:rsid w:val="00E042D8"/>
    <w:rsid w:val="00E07EE7"/>
    <w:rsid w:val="00E1103B"/>
    <w:rsid w:val="00E16B7B"/>
    <w:rsid w:val="00E17B44"/>
    <w:rsid w:val="00E20F27"/>
    <w:rsid w:val="00E22443"/>
    <w:rsid w:val="00E23D52"/>
    <w:rsid w:val="00E24B61"/>
    <w:rsid w:val="00E25B1F"/>
    <w:rsid w:val="00E27FEA"/>
    <w:rsid w:val="00E4086F"/>
    <w:rsid w:val="00E43B3C"/>
    <w:rsid w:val="00E50188"/>
    <w:rsid w:val="00E50BB3"/>
    <w:rsid w:val="00E515CB"/>
    <w:rsid w:val="00E52260"/>
    <w:rsid w:val="00E639B6"/>
    <w:rsid w:val="00E6434B"/>
    <w:rsid w:val="00E6463D"/>
    <w:rsid w:val="00E71492"/>
    <w:rsid w:val="00E72E9B"/>
    <w:rsid w:val="00E77906"/>
    <w:rsid w:val="00E850C3"/>
    <w:rsid w:val="00E87DF2"/>
    <w:rsid w:val="00E90421"/>
    <w:rsid w:val="00E9462E"/>
    <w:rsid w:val="00EA2588"/>
    <w:rsid w:val="00EA4641"/>
    <w:rsid w:val="00EA470E"/>
    <w:rsid w:val="00EA47A7"/>
    <w:rsid w:val="00EA4C99"/>
    <w:rsid w:val="00EA57EB"/>
    <w:rsid w:val="00EB3226"/>
    <w:rsid w:val="00EC213A"/>
    <w:rsid w:val="00EC7744"/>
    <w:rsid w:val="00ED0DAD"/>
    <w:rsid w:val="00ED0F46"/>
    <w:rsid w:val="00ED2373"/>
    <w:rsid w:val="00ED24F9"/>
    <w:rsid w:val="00ED2E38"/>
    <w:rsid w:val="00EE3E8A"/>
    <w:rsid w:val="00EF58B8"/>
    <w:rsid w:val="00EF6ECA"/>
    <w:rsid w:val="00F00516"/>
    <w:rsid w:val="00F024E1"/>
    <w:rsid w:val="00F06C10"/>
    <w:rsid w:val="00F078BD"/>
    <w:rsid w:val="00F1096F"/>
    <w:rsid w:val="00F12589"/>
    <w:rsid w:val="00F12595"/>
    <w:rsid w:val="00F134D9"/>
    <w:rsid w:val="00F1403D"/>
    <w:rsid w:val="00F1463F"/>
    <w:rsid w:val="00F1763F"/>
    <w:rsid w:val="00F17836"/>
    <w:rsid w:val="00F21302"/>
    <w:rsid w:val="00F2430D"/>
    <w:rsid w:val="00F321DE"/>
    <w:rsid w:val="00F33777"/>
    <w:rsid w:val="00F340CE"/>
    <w:rsid w:val="00F344AE"/>
    <w:rsid w:val="00F35DA3"/>
    <w:rsid w:val="00F40648"/>
    <w:rsid w:val="00F45B58"/>
    <w:rsid w:val="00F47DA2"/>
    <w:rsid w:val="00F5083C"/>
    <w:rsid w:val="00F51321"/>
    <w:rsid w:val="00F519FC"/>
    <w:rsid w:val="00F62068"/>
    <w:rsid w:val="00F6239D"/>
    <w:rsid w:val="00F715D2"/>
    <w:rsid w:val="00F7274F"/>
    <w:rsid w:val="00F74E84"/>
    <w:rsid w:val="00F7530F"/>
    <w:rsid w:val="00F76FA8"/>
    <w:rsid w:val="00F85AFE"/>
    <w:rsid w:val="00F93F08"/>
    <w:rsid w:val="00F94CED"/>
    <w:rsid w:val="00FA02BB"/>
    <w:rsid w:val="00FA2CEE"/>
    <w:rsid w:val="00FA318C"/>
    <w:rsid w:val="00FA321C"/>
    <w:rsid w:val="00FB6F92"/>
    <w:rsid w:val="00FC026E"/>
    <w:rsid w:val="00FC5124"/>
    <w:rsid w:val="00FD4731"/>
    <w:rsid w:val="00FD6768"/>
    <w:rsid w:val="00FF0AB0"/>
    <w:rsid w:val="00FF28AC"/>
    <w:rsid w:val="00FF2E2E"/>
    <w:rsid w:val="00FF549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15393F"/>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9689A"/>
    <w:rPr>
      <w:sz w:val="16"/>
      <w:szCs w:val="16"/>
    </w:rPr>
  </w:style>
  <w:style w:type="paragraph" w:styleId="CommentSubject">
    <w:name w:val="annotation subject"/>
    <w:basedOn w:val="CommentText"/>
    <w:next w:val="CommentText"/>
    <w:link w:val="CommentSubjectChar"/>
    <w:semiHidden/>
    <w:unhideWhenUsed/>
    <w:rsid w:val="0049689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9689A"/>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FF2E2E"/>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FF2E2E"/>
    <w:pPr>
      <w:ind w:left="720"/>
      <w:contextualSpacing/>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46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599734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5317268">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17L01291"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www.mbsonline.gov.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2023-11-22T01:08:00Z</dcterms:created>
  <dcterms:modified xsi:type="dcterms:W3CDTF">2023-11-27T04:58:00Z</dcterms:modified>
</cp:coreProperties>
</file>