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3F34547E" w:rsidR="00AB53A4" w:rsidRDefault="00C66AD1" w:rsidP="00AB53A4">
      <w:pPr>
        <w:pStyle w:val="Heading1"/>
      </w:pPr>
      <w:r>
        <w:t xml:space="preserve">New </w:t>
      </w:r>
      <w:r w:rsidR="00514B67">
        <w:t xml:space="preserve">Diagnostic Imaging </w:t>
      </w:r>
      <w:r>
        <w:t xml:space="preserve">Medicare Benefits Schedule (MBS) items 61563 and 61564 </w:t>
      </w:r>
    </w:p>
    <w:p w14:paraId="3AC47A81" w14:textId="798DD94F" w:rsidR="000A6D90" w:rsidRPr="00AB53A4" w:rsidRDefault="00907B4A" w:rsidP="00AB53A4">
      <w:bookmarkStart w:id="0" w:name="_Hlk4568006"/>
      <w:r>
        <w:t xml:space="preserve">Last updated: </w:t>
      </w:r>
      <w:r w:rsidR="0026333B">
        <w:t>24 June 2022</w:t>
      </w:r>
    </w:p>
    <w:bookmarkEnd w:id="0"/>
    <w:p w14:paraId="4589C7E3" w14:textId="5EF7B16F" w:rsidR="00B06B77" w:rsidRPr="00FF3EEF" w:rsidRDefault="00C1214D" w:rsidP="00B06B77">
      <w:pPr>
        <w:pStyle w:val="ListParagraph"/>
      </w:pPr>
      <w:r w:rsidRPr="00FF3EEF">
        <w:t>From 1 July 2022, t</w:t>
      </w:r>
      <w:r w:rsidR="00B06B77" w:rsidRPr="00FF3EEF">
        <w:t xml:space="preserve">wo new items will be introduced for prostate-specific membrane antigen (PSMA) positron emission tomography (PET) study for patients </w:t>
      </w:r>
      <w:r w:rsidR="001C032D">
        <w:t xml:space="preserve">with </w:t>
      </w:r>
      <w:r w:rsidR="00B06B77" w:rsidRPr="00FF3EEF">
        <w:t>prostate cancer.</w:t>
      </w:r>
    </w:p>
    <w:p w14:paraId="112C9D34" w14:textId="2CBF6822" w:rsidR="00FF3EEF" w:rsidRPr="00FF3EEF" w:rsidRDefault="00FF3EEF" w:rsidP="00B06B77">
      <w:pPr>
        <w:pStyle w:val="ListParagraph"/>
      </w:pPr>
      <w:r w:rsidRPr="00FF3EEF">
        <w:t xml:space="preserve">These items will allow for a PSMA PET study for the initial staging of intermediate to high-risk </w:t>
      </w:r>
      <w:r w:rsidR="001C032D">
        <w:t xml:space="preserve">patients with </w:t>
      </w:r>
      <w:r w:rsidRPr="00FF3EEF">
        <w:t>prostate cancer and for the restaging of</w:t>
      </w:r>
      <w:r w:rsidR="001C032D">
        <w:t xml:space="preserve"> patients with</w:t>
      </w:r>
      <w:r w:rsidRPr="00FF3EEF">
        <w:t xml:space="preserve"> recurrent prostate cancer. </w:t>
      </w:r>
    </w:p>
    <w:p w14:paraId="79478C6C" w14:textId="62FB5904" w:rsidR="00FF3EEF" w:rsidRPr="00FF3EEF" w:rsidRDefault="00FF3EEF" w:rsidP="00B06B77">
      <w:pPr>
        <w:pStyle w:val="ListParagraph"/>
      </w:pPr>
      <w:r w:rsidRPr="00FF3EEF">
        <w:t>These items will assist patients with prostate cancer to receive the most appropriate treatment pathway.</w:t>
      </w:r>
    </w:p>
    <w:p w14:paraId="177AE678" w14:textId="77777777" w:rsidR="0017279A" w:rsidRDefault="00B26B7B" w:rsidP="00AB53A4">
      <w:pPr>
        <w:sectPr w:rsidR="0017279A" w:rsidSect="00D3629F">
          <w:headerReference w:type="default" r:id="rId8"/>
          <w:footerReference w:type="default" r:id="rId9"/>
          <w:type w:val="continuous"/>
          <w:pgSz w:w="11906" w:h="16838" w:code="9"/>
          <w:pgMar w:top="3260" w:right="720" w:bottom="720" w:left="720" w:header="709" w:footer="709" w:gutter="0"/>
          <w:cols w:space="708"/>
          <w:docGrid w:linePitch="360"/>
        </w:sectPr>
      </w:pPr>
      <w:bookmarkStart w:id="1" w:name="_Hlk95389784"/>
      <w:r>
        <w:rPr>
          <w:rStyle w:val="BookTitle"/>
        </w:rPr>
        <w:pict w14:anchorId="2C04DCAC">
          <v:rect id="_x0000_i1026" style="width:500.25pt;height:1.35pt" o:hrpct="990" o:hralign="center" o:hrstd="t" o:hr="t" fillcolor="#a0a0a0" stroked="f"/>
        </w:pict>
      </w:r>
      <w:bookmarkEnd w:id="1"/>
    </w:p>
    <w:p w14:paraId="60E849F5" w14:textId="77777777" w:rsidR="00F074CE" w:rsidRPr="00AB53A4" w:rsidRDefault="00F074CE" w:rsidP="00AB53A4">
      <w:pPr>
        <w:pStyle w:val="Heading2"/>
      </w:pPr>
      <w:bookmarkStart w:id="2" w:name="_Hlk95382499"/>
      <w:r w:rsidRPr="00AB53A4">
        <w:t>What are the changes</w:t>
      </w:r>
      <w:bookmarkEnd w:id="2"/>
      <w:r w:rsidR="002A3C7C" w:rsidRPr="00AB53A4">
        <w:t>?</w:t>
      </w:r>
    </w:p>
    <w:p w14:paraId="4A6A16F7" w14:textId="402CAB7D" w:rsidR="00BD1C20" w:rsidRDefault="005B45B4" w:rsidP="00B23A4C">
      <w:r w:rsidRPr="003C109B">
        <w:t>In the 2021-22 Budget the Government announced</w:t>
      </w:r>
      <w:r>
        <w:t xml:space="preserve"> that f</w:t>
      </w:r>
      <w:r w:rsidR="009E66EE">
        <w:t xml:space="preserve">rom </w:t>
      </w:r>
      <w:r w:rsidR="000A6D90">
        <w:t xml:space="preserve">1 July 2022 two new PSMA PET </w:t>
      </w:r>
      <w:r>
        <w:t xml:space="preserve">scans </w:t>
      </w:r>
      <w:r w:rsidR="000A6D90">
        <w:t>for patients with prostate</w:t>
      </w:r>
      <w:r w:rsidR="006339E6">
        <w:t xml:space="preserve"> cancer</w:t>
      </w:r>
      <w:r w:rsidR="0008127F">
        <w:t xml:space="preserve"> will </w:t>
      </w:r>
      <w:r>
        <w:t>commence</w:t>
      </w:r>
      <w:r w:rsidR="006339E6">
        <w:t>:</w:t>
      </w:r>
    </w:p>
    <w:p w14:paraId="029F2C2B" w14:textId="77DE9A05" w:rsidR="00FF3EEF" w:rsidRPr="00FF3EEF" w:rsidRDefault="00FF3EEF" w:rsidP="0008127F">
      <w:pPr>
        <w:spacing w:after="0"/>
        <w:rPr>
          <w:b/>
          <w:bCs/>
        </w:rPr>
      </w:pPr>
      <w:r w:rsidRPr="00FF3EEF">
        <w:rPr>
          <w:b/>
          <w:bCs/>
        </w:rPr>
        <w:t>Item 61563</w:t>
      </w:r>
    </w:p>
    <w:p w14:paraId="6746D7FB" w14:textId="77777777" w:rsidR="0008127F" w:rsidRDefault="006339E6" w:rsidP="0008127F">
      <w:pPr>
        <w:pStyle w:val="ListParagraph"/>
        <w:spacing w:after="0"/>
      </w:pPr>
      <w:r>
        <w:t>W</w:t>
      </w:r>
      <w:r w:rsidRPr="006339E6">
        <w:t xml:space="preserve">hole body </w:t>
      </w:r>
      <w:r>
        <w:t xml:space="preserve">PSMA </w:t>
      </w:r>
      <w:r w:rsidRPr="006339E6">
        <w:t>PET study performed for the initial staging of intermediate to high</w:t>
      </w:r>
      <w:r w:rsidRPr="006339E6">
        <w:noBreakHyphen/>
        <w:t>risk prostate adenocarcinoma, for a previously untreated patient who is considered suitable for locoregional therapy with curative intent</w:t>
      </w:r>
      <w:r>
        <w:t xml:space="preserve">. </w:t>
      </w:r>
    </w:p>
    <w:p w14:paraId="4718F9D5" w14:textId="5C307A8F" w:rsidR="0008127F" w:rsidRDefault="006339E6" w:rsidP="0008127F">
      <w:pPr>
        <w:pStyle w:val="ListParagraph"/>
        <w:spacing w:after="0"/>
      </w:pPr>
      <w:r>
        <w:t>Medicare benefits are payable for a maximum of on</w:t>
      </w:r>
      <w:r w:rsidR="0008127F">
        <w:t>e service in the patient’s</w:t>
      </w:r>
      <w:r>
        <w:t xml:space="preserve"> lifetime. </w:t>
      </w:r>
    </w:p>
    <w:p w14:paraId="19D41523" w14:textId="77777777" w:rsidR="0008127F" w:rsidRDefault="0008127F" w:rsidP="0008127F">
      <w:pPr>
        <w:spacing w:after="0"/>
        <w:rPr>
          <w:b/>
          <w:bCs/>
        </w:rPr>
      </w:pPr>
    </w:p>
    <w:p w14:paraId="7E376D87" w14:textId="783BA997" w:rsidR="0008127F" w:rsidRPr="0008127F" w:rsidRDefault="0008127F" w:rsidP="0008127F">
      <w:pPr>
        <w:spacing w:after="0"/>
        <w:rPr>
          <w:b/>
          <w:bCs/>
        </w:rPr>
      </w:pPr>
      <w:r>
        <w:rPr>
          <w:b/>
          <w:bCs/>
        </w:rPr>
        <w:t>Item 61564</w:t>
      </w:r>
    </w:p>
    <w:p w14:paraId="1D8E7D96" w14:textId="77777777" w:rsidR="0008127F" w:rsidRPr="00260849" w:rsidRDefault="006339E6" w:rsidP="006339E6">
      <w:pPr>
        <w:pStyle w:val="ListParagraph"/>
      </w:pPr>
      <w:r w:rsidRPr="00260849">
        <w:t>Whole body PSMA PET study performed for the restaging of recurrent prostate adenocarcinoma, for a patient who has undergone prior locoregional therapy and is considered suitable for further locoregional therapy to determine appropriate therapeutic pathways and timing of treatment initiation.</w:t>
      </w:r>
    </w:p>
    <w:p w14:paraId="03F225ED" w14:textId="799EE85F" w:rsidR="0008127F" w:rsidRPr="00260849" w:rsidRDefault="0008127F" w:rsidP="0008127F">
      <w:pPr>
        <w:pStyle w:val="ListParagraph"/>
      </w:pPr>
      <w:r w:rsidRPr="00260849">
        <w:t xml:space="preserve">This item can be claimed by patients with a prostate specific antigen (PSA) increase of 2ng/ml above the nadir after radiation therapy; or failure of PSA levels to fall to undetectable levels; or rising PSA serum after a radical prostatectomy. </w:t>
      </w:r>
    </w:p>
    <w:p w14:paraId="58DF031B" w14:textId="480A6B3D" w:rsidR="006339E6" w:rsidRPr="00260849" w:rsidRDefault="006339E6" w:rsidP="00260849">
      <w:pPr>
        <w:pStyle w:val="ListParagraph"/>
        <w:spacing w:after="0"/>
      </w:pPr>
      <w:r w:rsidRPr="00260849">
        <w:t xml:space="preserve">Medicare benefits are payable for a maximum of </w:t>
      </w:r>
      <w:r w:rsidR="0008127F" w:rsidRPr="00260849">
        <w:t>two services in the patient’s</w:t>
      </w:r>
      <w:r w:rsidRPr="00260849">
        <w:t xml:space="preserve"> lifetime. </w:t>
      </w:r>
    </w:p>
    <w:p w14:paraId="52C0E1A5" w14:textId="143F26D3" w:rsidR="00260849" w:rsidRDefault="00260849" w:rsidP="00260849">
      <w:pPr>
        <w:spacing w:after="0"/>
      </w:pPr>
    </w:p>
    <w:p w14:paraId="037F19BD" w14:textId="77777777" w:rsidR="0049529A" w:rsidRPr="00EE67E3" w:rsidRDefault="0049529A" w:rsidP="0049529A">
      <w:pPr>
        <w:spacing w:after="0"/>
      </w:pPr>
      <w:r w:rsidRPr="00EE67E3">
        <w:t xml:space="preserve">Whole body PSMA PET study items 61563 and 61564 </w:t>
      </w:r>
      <w:r w:rsidRPr="00035A52">
        <w:rPr>
          <w:rFonts w:eastAsia="Times New Roman"/>
          <w:b/>
          <w:bCs/>
          <w:i/>
          <w:iCs/>
        </w:rPr>
        <w:t>are not</w:t>
      </w:r>
      <w:r>
        <w:rPr>
          <w:rFonts w:eastAsia="Times New Roman"/>
        </w:rPr>
        <w:t xml:space="preserve"> to be </w:t>
      </w:r>
      <w:r w:rsidRPr="00EE67E3">
        <w:t>used for surveillance nor for assessment of patients with suspected (as opposed to confirmed) prostate adenocarcinoma or disease recurrence.</w:t>
      </w:r>
    </w:p>
    <w:p w14:paraId="5347C5E1" w14:textId="77777777" w:rsidR="0049529A" w:rsidRDefault="0049529A" w:rsidP="00260849">
      <w:pPr>
        <w:spacing w:after="0"/>
      </w:pPr>
    </w:p>
    <w:p w14:paraId="4D714FAF" w14:textId="20A93D8D" w:rsidR="00260849" w:rsidRPr="0049529A" w:rsidRDefault="006514AA" w:rsidP="0049529A">
      <w:pPr>
        <w:spacing w:after="0"/>
        <w:rPr>
          <w:rFonts w:asciiTheme="minorHAnsi" w:eastAsiaTheme="minorHAnsi" w:hAnsiTheme="minorHAnsi"/>
          <w:szCs w:val="22"/>
        </w:rPr>
      </w:pPr>
      <w:r w:rsidRPr="006514AA">
        <w:t xml:space="preserve">Diagnostic CT items should not be co-claimed with a </w:t>
      </w:r>
      <w:proofErr w:type="gramStart"/>
      <w:r w:rsidRPr="006514AA">
        <w:t>whole body</w:t>
      </w:r>
      <w:proofErr w:type="gramEnd"/>
      <w:r w:rsidRPr="006514AA">
        <w:t xml:space="preserve"> PET scan unless the service is clinically relevant and an appropriate request has been received. Diagnostic CT items cannot be claimed with a PET item where the purpose of the CT is for attenuation correction or anatomical correlation. CT attenuation </w:t>
      </w:r>
      <w:r>
        <w:t>i</w:t>
      </w:r>
      <w:r w:rsidRPr="006514AA">
        <w:t>tem 61505 is the correct item to be claimed in these circumstances. Item 61505 cannot be co-claimed with a diagnostic CT item</w:t>
      </w:r>
      <w:r>
        <w:t xml:space="preserve">. </w:t>
      </w:r>
      <w:r w:rsidR="00855538">
        <w:rPr>
          <w:szCs w:val="20"/>
        </w:rPr>
        <w:t xml:space="preserve">Further information is at </w:t>
      </w:r>
      <w:r w:rsidR="00855538" w:rsidRPr="00855538">
        <w:rPr>
          <w:b/>
          <w:bCs/>
          <w:szCs w:val="20"/>
        </w:rPr>
        <w:t>Attachment A</w:t>
      </w:r>
      <w:r w:rsidR="00855538">
        <w:rPr>
          <w:szCs w:val="20"/>
        </w:rPr>
        <w:t xml:space="preserve">. </w:t>
      </w:r>
      <w:r w:rsidR="00260849">
        <w:rPr>
          <w:szCs w:val="20"/>
        </w:rPr>
        <w:br w:type="page"/>
      </w:r>
    </w:p>
    <w:p w14:paraId="7152D8A3" w14:textId="77777777" w:rsidR="00135417" w:rsidRDefault="00135417" w:rsidP="00AB53A4">
      <w:pPr>
        <w:pStyle w:val="Heading2"/>
      </w:pPr>
      <w:r>
        <w:lastRenderedPageBreak/>
        <w:t xml:space="preserve">Why </w:t>
      </w:r>
      <w:r w:rsidR="009F52D4">
        <w:t>are the changes being made</w:t>
      </w:r>
      <w:r>
        <w:t>?</w:t>
      </w:r>
    </w:p>
    <w:p w14:paraId="196D712F" w14:textId="778CDD01" w:rsidR="00552A7A" w:rsidRPr="00855538" w:rsidRDefault="001E6F63" w:rsidP="00855538">
      <w:bookmarkStart w:id="3" w:name="_Hlk535386664"/>
      <w:r w:rsidRPr="00CE1541">
        <w:t>The listing of th</w:t>
      </w:r>
      <w:r w:rsidR="000B7C6C">
        <w:t>ese</w:t>
      </w:r>
      <w:r w:rsidRPr="00CE1541">
        <w:t xml:space="preserve"> service</w:t>
      </w:r>
      <w:r w:rsidR="000B7C6C">
        <w:t>s</w:t>
      </w:r>
      <w:r w:rsidRPr="00CE1541">
        <w:t xml:space="preserve"> was recommended by the Medical Services Advisory Committee (MSAC) in</w:t>
      </w:r>
      <w:r w:rsidR="000B7C6C">
        <w:t> July 2021</w:t>
      </w:r>
      <w:r w:rsidRPr="00CE1541">
        <w:t xml:space="preserve">. Further details about MSAC </w:t>
      </w:r>
      <w:r w:rsidR="0059641E">
        <w:t>a</w:t>
      </w:r>
      <w:r w:rsidRPr="00CE1541">
        <w:t>pplication</w:t>
      </w:r>
      <w:r w:rsidR="00FE50B6">
        <w:t>s</w:t>
      </w:r>
      <w:r w:rsidRPr="00CE1541">
        <w:t xml:space="preserve"> can be found </w:t>
      </w:r>
      <w:r w:rsidR="00FE50B6">
        <w:t>under</w:t>
      </w:r>
      <w:r w:rsidR="0059641E">
        <w:t xml:space="preserve"> </w:t>
      </w:r>
      <w:hyperlink r:id="rId10" w:history="1">
        <w:r w:rsidR="0059641E" w:rsidRPr="00FE50B6">
          <w:rPr>
            <w:rStyle w:val="Hyperlink"/>
          </w:rPr>
          <w:t>MSAC Applications</w:t>
        </w:r>
      </w:hyperlink>
      <w:r w:rsidR="0059641E">
        <w:t xml:space="preserve"> </w:t>
      </w:r>
      <w:r w:rsidR="00FE50B6">
        <w:t>on</w:t>
      </w:r>
      <w:r w:rsidR="0059641E">
        <w:t xml:space="preserve"> the </w:t>
      </w:r>
      <w:hyperlink r:id="rId11" w:history="1">
        <w:r w:rsidR="000757DE" w:rsidRPr="000757DE">
          <w:rPr>
            <w:rStyle w:val="Hyperlink"/>
          </w:rPr>
          <w:t>MSAC website (Medical Services Advisory Committee).</w:t>
        </w:r>
        <w:bookmarkEnd w:id="3"/>
      </w:hyperlink>
    </w:p>
    <w:p w14:paraId="4AA530A5" w14:textId="6FB8A3B6" w:rsidR="00425089" w:rsidRDefault="00425089" w:rsidP="00AB53A4">
      <w:pPr>
        <w:pStyle w:val="Heading2"/>
      </w:pPr>
      <w:r>
        <w:t xml:space="preserve">What does this mean for </w:t>
      </w:r>
      <w:r w:rsidR="000B7C6C">
        <w:t>requesters and providers of diagnostic imaging services</w:t>
      </w:r>
      <w:r>
        <w:t>?</w:t>
      </w:r>
    </w:p>
    <w:p w14:paraId="7563E351" w14:textId="54BD4339" w:rsidR="000B7C6C" w:rsidRPr="000B7C6C" w:rsidRDefault="000B7C6C" w:rsidP="000B7C6C">
      <w:r>
        <w:t>Requesters of diagnostic imaging services will benefit from having access to two new PSMA PET items for the initial staging and re-staging of patients with prostate cancer. Providers of diagnostic imaging services will need to familiarise themselves with the new PSMA PET items so that they can correctly bill these items.</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701678A6" w14:textId="54F3095F" w:rsidR="000B7C6C" w:rsidRDefault="00BD546A" w:rsidP="000B7C6C">
      <w:pPr>
        <w:pStyle w:val="CommentText"/>
        <w:rPr>
          <w:rFonts w:cs="Arial"/>
          <w:color w:val="222222"/>
        </w:rPr>
      </w:pPr>
      <w:r>
        <w:rPr>
          <w:rFonts w:cs="Arial"/>
          <w:color w:val="222222"/>
        </w:rPr>
        <w:t xml:space="preserve">Patients with </w:t>
      </w:r>
      <w:r w:rsidR="003F333A">
        <w:rPr>
          <w:rFonts w:cs="Arial"/>
          <w:color w:val="222222"/>
        </w:rPr>
        <w:t>intermediate to high</w:t>
      </w:r>
      <w:r w:rsidR="001C032D">
        <w:rPr>
          <w:rFonts w:cs="Arial"/>
          <w:color w:val="222222"/>
        </w:rPr>
        <w:t>-</w:t>
      </w:r>
      <w:r w:rsidR="003F333A">
        <w:rPr>
          <w:rFonts w:cs="Arial"/>
          <w:color w:val="222222"/>
        </w:rPr>
        <w:t xml:space="preserve">risk </w:t>
      </w:r>
      <w:r>
        <w:rPr>
          <w:rFonts w:cs="Arial"/>
          <w:color w:val="222222"/>
        </w:rPr>
        <w:t>prostate cancer will receive Medicare rebates for PSMA PET services that are clinically appropriate</w:t>
      </w:r>
      <w:r w:rsidR="00552A7A">
        <w:rPr>
          <w:rFonts w:cs="Arial"/>
          <w:color w:val="222222"/>
        </w:rPr>
        <w:t xml:space="preserve"> and</w:t>
      </w:r>
      <w:r>
        <w:rPr>
          <w:rFonts w:cs="Arial"/>
          <w:color w:val="222222"/>
        </w:rPr>
        <w:t xml:space="preserve"> reflect modern clinical practice</w:t>
      </w:r>
      <w:r w:rsidR="00552A7A">
        <w:rPr>
          <w:rFonts w:cs="Arial"/>
          <w:color w:val="222222"/>
        </w:rPr>
        <w:t>, leading to improved health outcomes</w:t>
      </w:r>
      <w:r>
        <w:rPr>
          <w:rFonts w:cs="Arial"/>
          <w:color w:val="222222"/>
        </w:rPr>
        <w:t xml:space="preserve">. </w:t>
      </w:r>
    </w:p>
    <w:p w14:paraId="022C14E5" w14:textId="2F523F92" w:rsidR="00552A7A" w:rsidRDefault="00595BBD" w:rsidP="00AB53A4">
      <w:pPr>
        <w:pStyle w:val="Heading2"/>
      </w:pPr>
      <w:r w:rsidRPr="001A7FB7">
        <w:t>Who was consulted on the changes?</w:t>
      </w:r>
    </w:p>
    <w:p w14:paraId="015D8621" w14:textId="20E0EF31" w:rsidR="00552A7A" w:rsidRDefault="00552A7A" w:rsidP="00552A7A">
      <w:r>
        <w:t>Consultation occurred with the following organisations</w:t>
      </w:r>
      <w:r w:rsidR="001C032D">
        <w:t>:</w:t>
      </w:r>
    </w:p>
    <w:p w14:paraId="58E8A7EF" w14:textId="6597B87E" w:rsidR="00552A7A" w:rsidRDefault="00552A7A" w:rsidP="00552A7A">
      <w:pPr>
        <w:pStyle w:val="ListParagraph"/>
        <w:numPr>
          <w:ilvl w:val="0"/>
          <w:numId w:val="21"/>
        </w:numPr>
      </w:pPr>
      <w:r>
        <w:t>Royal Australian and New Zealand College of Radiologists</w:t>
      </w:r>
    </w:p>
    <w:p w14:paraId="04520C8D" w14:textId="25160D03" w:rsidR="00552A7A" w:rsidRDefault="00552A7A" w:rsidP="00552A7A">
      <w:pPr>
        <w:pStyle w:val="ListParagraph"/>
        <w:numPr>
          <w:ilvl w:val="0"/>
          <w:numId w:val="21"/>
        </w:numPr>
      </w:pPr>
      <w:r>
        <w:t>Australian Diagnostic Imaging Association</w:t>
      </w:r>
    </w:p>
    <w:p w14:paraId="59FDEEED" w14:textId="7DC3D4D5" w:rsidR="00035A52" w:rsidRDefault="00035A52" w:rsidP="00552A7A">
      <w:pPr>
        <w:pStyle w:val="ListParagraph"/>
        <w:numPr>
          <w:ilvl w:val="0"/>
          <w:numId w:val="21"/>
        </w:numPr>
      </w:pPr>
      <w:r w:rsidRPr="00035A52">
        <w:rPr>
          <w:bCs/>
        </w:rPr>
        <w:t>Australasian Association of Nuclear Medicine Specialists</w:t>
      </w:r>
    </w:p>
    <w:p w14:paraId="51A4A669" w14:textId="7044F0A2" w:rsidR="00552A7A" w:rsidRPr="001C032D" w:rsidRDefault="00552A7A" w:rsidP="001C032D">
      <w:pPr>
        <w:pStyle w:val="ListParagraph"/>
        <w:numPr>
          <w:ilvl w:val="0"/>
          <w:numId w:val="21"/>
        </w:numPr>
      </w:pPr>
      <w:r>
        <w:t>Consumers Health Forum</w:t>
      </w:r>
    </w:p>
    <w:p w14:paraId="3490F2F8" w14:textId="77777777" w:rsidR="00552A7A" w:rsidRPr="001C032D" w:rsidRDefault="00552A7A" w:rsidP="001C032D">
      <w:pPr>
        <w:pStyle w:val="ListParagraph"/>
        <w:numPr>
          <w:ilvl w:val="0"/>
          <w:numId w:val="21"/>
        </w:numPr>
      </w:pPr>
      <w:r>
        <w:t xml:space="preserve">Prostate Cancer Foundation of Australia </w:t>
      </w:r>
    </w:p>
    <w:p w14:paraId="6F27EB02" w14:textId="689E6DA3" w:rsidR="00035A52" w:rsidRPr="001C032D" w:rsidRDefault="00552A7A" w:rsidP="00035A52">
      <w:pPr>
        <w:pStyle w:val="ListParagraph"/>
        <w:numPr>
          <w:ilvl w:val="0"/>
          <w:numId w:val="21"/>
        </w:numPr>
      </w:pPr>
      <w:r>
        <w:t xml:space="preserve">Medical Oncology Group of Australia </w:t>
      </w:r>
    </w:p>
    <w:p w14:paraId="18E96197" w14:textId="70AFBEF7" w:rsidR="00595BBD" w:rsidRDefault="00595BBD" w:rsidP="00AB53A4">
      <w:pPr>
        <w:pStyle w:val="Heading2"/>
      </w:pPr>
      <w:r w:rsidRPr="001A7FB7">
        <w:t>How will the changes be monitored</w:t>
      </w:r>
      <w:r w:rsidR="000367AA">
        <w:t xml:space="preserve"> and reviewed</w:t>
      </w:r>
      <w:r w:rsidRPr="001A7FB7">
        <w:t>?</w:t>
      </w:r>
    </w:p>
    <w:p w14:paraId="213E054A" w14:textId="6984A9A8" w:rsidR="001C032D" w:rsidRPr="001C032D" w:rsidRDefault="001C032D" w:rsidP="001C032D">
      <w:r>
        <w:t>The changes will be monitored and reviewed through analysis of MBS utilisation figures.</w:t>
      </w:r>
    </w:p>
    <w:p w14:paraId="2EBD7BE7" w14:textId="77777777" w:rsidR="00260849" w:rsidRDefault="00260849">
      <w:pPr>
        <w:spacing w:line="259" w:lineRule="auto"/>
        <w:rPr>
          <w:rFonts w:asciiTheme="majorHAnsi" w:hAnsiTheme="majorHAnsi"/>
          <w:color w:val="001A70" w:themeColor="text2"/>
          <w:sz w:val="28"/>
        </w:rPr>
      </w:pPr>
      <w:r>
        <w:br w:type="page"/>
      </w:r>
    </w:p>
    <w:p w14:paraId="1ED9E6E9" w14:textId="0F0ADC98" w:rsidR="00F93F71" w:rsidRDefault="00F93F71" w:rsidP="00AB53A4">
      <w:pPr>
        <w:pStyle w:val="Heading2"/>
      </w:pPr>
      <w:r>
        <w:lastRenderedPageBreak/>
        <w:t>Where can I find more information?</w:t>
      </w:r>
    </w:p>
    <w:p w14:paraId="287C30D8" w14:textId="242B42DA"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2" w:history="1">
        <w:r w:rsidR="0054114E">
          <w:rPr>
            <w:rStyle w:val="Hyperlink"/>
          </w:rPr>
          <w:t>www.mbsonline.gov.au</w:t>
        </w:r>
      </w:hyperlink>
      <w:r w:rsidR="0054114E">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3"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AF4D21">
          <w:rPr>
            <w:rStyle w:val="Hyperlink"/>
          </w:rPr>
          <w:t>askMBS@health.gov.au</w:t>
        </w:r>
      </w:hyperlink>
      <w:r>
        <w:t>.</w:t>
      </w:r>
    </w:p>
    <w:p w14:paraId="755B2353" w14:textId="77777777" w:rsidR="00B378D4" w:rsidRDefault="00B378D4">
      <w:r>
        <w:t>Subscribe to ‘</w:t>
      </w:r>
      <w:hyperlink r:id="rId15"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1B938679"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w:t>
      </w:r>
      <w:r w:rsidR="00B63DDE">
        <w:t xml:space="preserve">the </w:t>
      </w:r>
      <w:r w:rsidR="00B378D4">
        <w:t>Services</w:t>
      </w:r>
      <w:r w:rsidR="001C7BC5">
        <w:t xml:space="preserve"> Australia</w:t>
      </w:r>
      <w:r w:rsidR="00B378D4">
        <w:t xml:space="preserve"> website or </w:t>
      </w:r>
      <w:bookmarkEnd w:id="4"/>
      <w:r>
        <w:t>contact the Services</w:t>
      </w:r>
      <w:r w:rsidR="00787CD1">
        <w:t xml:space="preserve"> Australia</w:t>
      </w:r>
      <w:r>
        <w:t xml:space="preserve"> on the Provider Enquiry Line </w:t>
      </w:r>
      <w:r w:rsidR="00E7460D">
        <w:t>–</w:t>
      </w:r>
      <w:r>
        <w:t xml:space="preserve"> 13 21 50. </w:t>
      </w:r>
    </w:p>
    <w:p w14:paraId="4069CD54" w14:textId="5FDF547D" w:rsidR="008A6F4F" w:rsidRDefault="008A6F4F">
      <w:r>
        <w:t xml:space="preserve">The data file for software vendors </w:t>
      </w:r>
      <w:r w:rsidR="008B59C1">
        <w:t xml:space="preserve">when </w:t>
      </w:r>
      <w:r>
        <w:t xml:space="preserve">available </w:t>
      </w:r>
      <w:r w:rsidR="002427E0">
        <w:t xml:space="preserve">can be accessed via the </w:t>
      </w:r>
      <w:hyperlink r:id="rId16" w:history="1">
        <w:r w:rsidR="002427E0" w:rsidRPr="002427E0">
          <w:rPr>
            <w:rStyle w:val="Hyperlink"/>
          </w:rPr>
          <w:t>Downloads</w:t>
        </w:r>
      </w:hyperlink>
      <w:r w:rsidR="002427E0">
        <w:t xml:space="preserve"> page.</w:t>
      </w:r>
    </w:p>
    <w:p w14:paraId="35F6E8AE" w14:textId="77777777" w:rsidR="00656F11" w:rsidRDefault="00656F11" w:rsidP="005E1472"/>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46A1108D" w14:textId="597CDDC3" w:rsidR="001C032D" w:rsidRDefault="001C032D">
      <w:pPr>
        <w:spacing w:line="259" w:lineRule="auto"/>
        <w:rPr>
          <w:szCs w:val="20"/>
        </w:rPr>
      </w:pPr>
      <w:r>
        <w:rPr>
          <w:szCs w:val="20"/>
        </w:rPr>
        <w:br w:type="page"/>
      </w:r>
    </w:p>
    <w:p w14:paraId="265468B8" w14:textId="2998AB08" w:rsidR="00656F11" w:rsidRDefault="00855538" w:rsidP="00855538">
      <w:pPr>
        <w:pStyle w:val="Heading2"/>
        <w:spacing w:before="0" w:after="0"/>
      </w:pPr>
      <w:r>
        <w:lastRenderedPageBreak/>
        <w:t xml:space="preserve">Attachment A: </w:t>
      </w:r>
      <w:r w:rsidR="001C032D">
        <w:t>Item descriptor details</w:t>
      </w:r>
    </w:p>
    <w:p w14:paraId="76B66C40" w14:textId="77777777" w:rsidR="00855538" w:rsidRDefault="00855538" w:rsidP="00855538">
      <w:pPr>
        <w:pStyle w:val="Heading2"/>
        <w:spacing w:before="0" w:after="0"/>
      </w:pPr>
    </w:p>
    <w:p w14:paraId="34DA8ACE" w14:textId="0380DC0C" w:rsidR="00622CF6" w:rsidRPr="002672AF" w:rsidRDefault="00622CF6" w:rsidP="00855538">
      <w:pPr>
        <w:pStyle w:val="Heading2"/>
        <w:spacing w:before="0" w:after="0"/>
        <w:rPr>
          <w:rStyle w:val="NEWItemNumber"/>
          <w:b w:val="0"/>
          <w:sz w:val="20"/>
        </w:rPr>
      </w:pPr>
      <w:r w:rsidRPr="002672AF">
        <w:t>New item</w:t>
      </w:r>
      <w:r>
        <w:rPr>
          <w:rStyle w:val="NEWItemNumber"/>
        </w:rPr>
        <w:t>61563</w:t>
      </w:r>
      <w:r w:rsidRPr="002672AF">
        <w:rPr>
          <w:rStyle w:val="NEWItemNumber"/>
        </w:rPr>
        <w:t xml:space="preserve"> </w:t>
      </w:r>
      <w:r w:rsidRPr="002672AF">
        <w:t xml:space="preserve">– </w:t>
      </w:r>
      <w:r>
        <w:t xml:space="preserve">PSMA PET for the initial staging of </w:t>
      </w:r>
      <w:r w:rsidR="00855538">
        <w:t xml:space="preserve">a patient with </w:t>
      </w:r>
      <w:r>
        <w:t>prostate cancer</w:t>
      </w:r>
    </w:p>
    <w:p w14:paraId="50FDD4D3" w14:textId="77777777" w:rsidR="00622CF6" w:rsidRDefault="00622CF6" w:rsidP="00855538">
      <w:pPr>
        <w:spacing w:after="0"/>
      </w:pPr>
    </w:p>
    <w:p w14:paraId="237EE1B9" w14:textId="6D4E063A" w:rsidR="001C032D" w:rsidRPr="001903A7" w:rsidRDefault="001903A7" w:rsidP="00855538">
      <w:pPr>
        <w:spacing w:after="0"/>
        <w:rPr>
          <w:b/>
          <w:bCs/>
        </w:rPr>
      </w:pPr>
      <w:r w:rsidRPr="001903A7">
        <w:rPr>
          <w:b/>
          <w:bCs/>
        </w:rPr>
        <w:t>Descriptor:</w:t>
      </w:r>
    </w:p>
    <w:tbl>
      <w:tblPr>
        <w:tblW w:w="4341" w:type="pct"/>
        <w:tblCellMar>
          <w:left w:w="31" w:type="dxa"/>
          <w:right w:w="31" w:type="dxa"/>
        </w:tblCellMar>
        <w:tblLook w:val="04A0" w:firstRow="1" w:lastRow="0" w:firstColumn="1" w:lastColumn="0" w:noHBand="0" w:noVBand="1"/>
        <w:tblCaption w:val="New item61563 – PSMA PET for the initial staging of a patient with prostate cancer"/>
        <w:tblDescription w:val="61563 Whole body prostate specific membrane antigen PET study performed for the initial staging of intermediate to high risk prostate adenocarcinoma, for a previously untreated patient who is considered suitable for locoregional therapy with curative intent&#10;Applicable once per lifetime (R)&#10;"/>
      </w:tblPr>
      <w:tblGrid>
        <w:gridCol w:w="1287"/>
        <w:gridCol w:w="7800"/>
      </w:tblGrid>
      <w:tr w:rsidR="001C032D" w:rsidRPr="00977B9F" w14:paraId="542EB11A" w14:textId="77777777" w:rsidTr="001C032D">
        <w:trPr>
          <w:trHeight w:val="575"/>
        </w:trPr>
        <w:tc>
          <w:tcPr>
            <w:tcW w:w="708" w:type="pct"/>
            <w:shd w:val="clear" w:color="auto" w:fill="auto"/>
            <w:hideMark/>
          </w:tcPr>
          <w:p w14:paraId="65AC4CD5" w14:textId="77777777" w:rsidR="001C032D" w:rsidRPr="001903A7" w:rsidRDefault="001C032D" w:rsidP="005B570F">
            <w:pPr>
              <w:pStyle w:val="Tabletext"/>
              <w:rPr>
                <w:rFonts w:ascii="Arial" w:eastAsiaTheme="minorEastAsia" w:hAnsi="Arial" w:cstheme="minorBidi"/>
                <w:szCs w:val="21"/>
                <w:lang w:eastAsia="en-US"/>
              </w:rPr>
            </w:pPr>
            <w:r w:rsidRPr="001903A7">
              <w:rPr>
                <w:rFonts w:ascii="Arial" w:eastAsiaTheme="minorEastAsia" w:hAnsi="Arial" w:cstheme="minorBidi"/>
                <w:szCs w:val="21"/>
                <w:lang w:eastAsia="en-US"/>
              </w:rPr>
              <w:t>61563</w:t>
            </w:r>
          </w:p>
        </w:tc>
        <w:tc>
          <w:tcPr>
            <w:tcW w:w="4292" w:type="pct"/>
            <w:shd w:val="clear" w:color="auto" w:fill="auto"/>
            <w:hideMark/>
          </w:tcPr>
          <w:p w14:paraId="1E0C66EA" w14:textId="77777777" w:rsidR="001C032D" w:rsidRPr="001903A7" w:rsidRDefault="001C032D" w:rsidP="005B570F">
            <w:pPr>
              <w:pStyle w:val="Tabletext"/>
              <w:rPr>
                <w:rFonts w:ascii="Arial" w:eastAsiaTheme="minorEastAsia" w:hAnsi="Arial" w:cstheme="minorBidi"/>
                <w:szCs w:val="21"/>
                <w:lang w:eastAsia="en-US"/>
              </w:rPr>
            </w:pPr>
            <w:r w:rsidRPr="001903A7">
              <w:rPr>
                <w:rFonts w:ascii="Arial" w:eastAsiaTheme="minorEastAsia" w:hAnsi="Arial" w:cstheme="minorBidi"/>
                <w:szCs w:val="21"/>
                <w:lang w:eastAsia="en-US"/>
              </w:rPr>
              <w:t>Whole body prostate</w:t>
            </w:r>
            <w:r w:rsidRPr="001903A7">
              <w:rPr>
                <w:rFonts w:ascii="Arial" w:eastAsiaTheme="minorEastAsia" w:hAnsi="Arial" w:cstheme="minorBidi"/>
                <w:szCs w:val="21"/>
                <w:lang w:eastAsia="en-US"/>
              </w:rPr>
              <w:noBreakHyphen/>
              <w:t>specific membrane antigen PET study performed for the initial staging of intermediate to high</w:t>
            </w:r>
            <w:r w:rsidRPr="001903A7">
              <w:rPr>
                <w:rFonts w:ascii="Arial" w:eastAsiaTheme="minorEastAsia" w:hAnsi="Arial" w:cstheme="minorBidi"/>
                <w:szCs w:val="21"/>
                <w:lang w:eastAsia="en-US"/>
              </w:rPr>
              <w:noBreakHyphen/>
              <w:t>risk prostate adenocarcinoma, for a previously untreated patient who is considered suitable for locoregional therapy with curative intent</w:t>
            </w:r>
          </w:p>
          <w:p w14:paraId="5CD4E92F" w14:textId="77777777" w:rsidR="001C032D" w:rsidRPr="001903A7" w:rsidRDefault="001C032D" w:rsidP="005B570F">
            <w:pPr>
              <w:pStyle w:val="Tabletext"/>
              <w:rPr>
                <w:rFonts w:ascii="Arial" w:eastAsiaTheme="minorEastAsia" w:hAnsi="Arial" w:cstheme="minorBidi"/>
                <w:szCs w:val="21"/>
                <w:lang w:eastAsia="en-US"/>
              </w:rPr>
            </w:pPr>
            <w:r w:rsidRPr="001903A7">
              <w:rPr>
                <w:rFonts w:ascii="Arial" w:eastAsiaTheme="minorEastAsia" w:hAnsi="Arial" w:cstheme="minorBidi"/>
                <w:szCs w:val="21"/>
                <w:lang w:eastAsia="en-US"/>
              </w:rPr>
              <w:t>Applicable once per lifetime (R)</w:t>
            </w:r>
          </w:p>
        </w:tc>
      </w:tr>
    </w:tbl>
    <w:p w14:paraId="656B6FC9" w14:textId="069630EE" w:rsidR="001C032D" w:rsidRDefault="001C032D" w:rsidP="00855538">
      <w:pPr>
        <w:spacing w:after="0"/>
      </w:pPr>
    </w:p>
    <w:p w14:paraId="278EC70E" w14:textId="77777777" w:rsidR="001903A7" w:rsidRDefault="001C032D" w:rsidP="00855538">
      <w:pPr>
        <w:spacing w:after="0"/>
      </w:pPr>
      <w:r w:rsidRPr="001C032D">
        <w:rPr>
          <w:b/>
          <w:bCs/>
        </w:rPr>
        <w:t>Indication:</w:t>
      </w:r>
      <w:r>
        <w:t xml:space="preserve"> </w:t>
      </w:r>
    </w:p>
    <w:p w14:paraId="4F561B4D" w14:textId="77777777" w:rsidR="009D4C9E" w:rsidRDefault="001C032D" w:rsidP="00855538">
      <w:pPr>
        <w:spacing w:after="0"/>
      </w:pPr>
      <w:r>
        <w:t xml:space="preserve">This item applies when requested by a specialist or consultant physician </w:t>
      </w:r>
      <w:r w:rsidR="001903A7">
        <w:t xml:space="preserve">for the </w:t>
      </w:r>
      <w:proofErr w:type="spellStart"/>
      <w:r w:rsidR="001903A7">
        <w:t>intital</w:t>
      </w:r>
      <w:proofErr w:type="spellEnd"/>
      <w:r w:rsidR="001903A7">
        <w:t xml:space="preserve"> staging</w:t>
      </w:r>
      <w:r w:rsidR="00855538">
        <w:t xml:space="preserve"> of PSMA PET</w:t>
      </w:r>
      <w:r w:rsidR="001903A7">
        <w:t xml:space="preserve"> of a previously untreated patient with intermediate to high-risk prostate adenocarcinoma who is considered suitable for a </w:t>
      </w:r>
      <w:proofErr w:type="spellStart"/>
      <w:r w:rsidR="001903A7">
        <w:t>locoregaional</w:t>
      </w:r>
      <w:proofErr w:type="spellEnd"/>
      <w:r w:rsidR="001903A7">
        <w:t xml:space="preserve"> therapy with curative intent. </w:t>
      </w:r>
    </w:p>
    <w:p w14:paraId="11FF55DA" w14:textId="77777777" w:rsidR="009D4C9E" w:rsidRDefault="009D4C9E" w:rsidP="00855538">
      <w:pPr>
        <w:spacing w:after="0"/>
      </w:pPr>
    </w:p>
    <w:p w14:paraId="4ADFBD4D" w14:textId="1F83C4EA" w:rsidR="001C032D" w:rsidRDefault="00DC0CB1" w:rsidP="00855538">
      <w:pPr>
        <w:spacing w:after="0"/>
      </w:pPr>
      <w:r>
        <w:t xml:space="preserve">The specialist or consultant physician </w:t>
      </w:r>
      <w:r>
        <w:rPr>
          <w:b/>
          <w:bCs/>
          <w:i/>
          <w:iCs/>
        </w:rPr>
        <w:t xml:space="preserve">is to record </w:t>
      </w:r>
      <w:r>
        <w:t>in the clinical notes and the request that the patient</w:t>
      </w:r>
      <w:r w:rsidR="009D4C9E">
        <w:t>:</w:t>
      </w:r>
    </w:p>
    <w:p w14:paraId="12660611" w14:textId="77777777" w:rsidR="009D4C9E" w:rsidRDefault="009D4C9E" w:rsidP="009D4C9E">
      <w:pPr>
        <w:pStyle w:val="ListParagraph"/>
        <w:numPr>
          <w:ilvl w:val="0"/>
          <w:numId w:val="30"/>
        </w:numPr>
        <w:spacing w:after="0" w:line="240" w:lineRule="auto"/>
      </w:pPr>
      <w:r w:rsidRPr="009D4C9E">
        <w:t>has intermediate to high-risk prostate adenocarcinoma as defined below;</w:t>
      </w:r>
    </w:p>
    <w:p w14:paraId="571F419C" w14:textId="77777777" w:rsidR="009D4C9E" w:rsidRDefault="009D4C9E" w:rsidP="009D4C9E">
      <w:pPr>
        <w:pStyle w:val="ListParagraph"/>
        <w:numPr>
          <w:ilvl w:val="0"/>
          <w:numId w:val="30"/>
        </w:numPr>
        <w:spacing w:after="0" w:line="240" w:lineRule="auto"/>
      </w:pPr>
      <w:r w:rsidRPr="009D4C9E">
        <w:t xml:space="preserve">has previously been untreated; and </w:t>
      </w:r>
    </w:p>
    <w:p w14:paraId="76AEF1E5" w14:textId="6A7CF711" w:rsidR="009D4C9E" w:rsidRPr="009D4C9E" w:rsidRDefault="009D4C9E" w:rsidP="009D4C9E">
      <w:pPr>
        <w:pStyle w:val="ListParagraph"/>
        <w:numPr>
          <w:ilvl w:val="0"/>
          <w:numId w:val="30"/>
        </w:numPr>
        <w:spacing w:after="0" w:line="240" w:lineRule="auto"/>
      </w:pPr>
      <w:r w:rsidRPr="009D4C9E">
        <w:t xml:space="preserve">is considered suitable for locoregional therapy with curative intent. </w:t>
      </w:r>
    </w:p>
    <w:p w14:paraId="645BF957" w14:textId="77777777" w:rsidR="00855538" w:rsidRDefault="00855538" w:rsidP="00855538">
      <w:pPr>
        <w:spacing w:after="0"/>
        <w:rPr>
          <w:b/>
          <w:bCs/>
        </w:rPr>
      </w:pPr>
    </w:p>
    <w:p w14:paraId="1CDFAC0D" w14:textId="1F002A1A" w:rsidR="001C032D" w:rsidRDefault="001903A7" w:rsidP="00855538">
      <w:pPr>
        <w:spacing w:after="0"/>
        <w:rPr>
          <w:b/>
          <w:bCs/>
        </w:rPr>
      </w:pPr>
      <w:r w:rsidRPr="001903A7">
        <w:rPr>
          <w:b/>
          <w:bCs/>
        </w:rPr>
        <w:t>Other requirements:</w:t>
      </w:r>
    </w:p>
    <w:p w14:paraId="46CA7FEF" w14:textId="7CB71B21" w:rsidR="00622CF6" w:rsidRPr="00622CF6" w:rsidRDefault="00622CF6" w:rsidP="00622CF6">
      <w:pPr>
        <w:pStyle w:val="ListParagraph"/>
        <w:numPr>
          <w:ilvl w:val="0"/>
          <w:numId w:val="25"/>
        </w:numPr>
        <w:spacing w:after="0"/>
      </w:pPr>
      <w:r w:rsidRPr="00622CF6">
        <w:t xml:space="preserve">Patients with intermediate risk prostate adenocarcinoma can be defined as having at least one of the following risk factors in the absence of any high-risk features: PSA of 10-20 ng/ml, or Gleason score of 7 or International Society of Urological Pathology (ISUP) grade group 2 or 3, or Stage T2b. </w:t>
      </w:r>
    </w:p>
    <w:p w14:paraId="28119D41" w14:textId="5E2BDD12" w:rsidR="00622CF6" w:rsidRPr="00622CF6" w:rsidRDefault="00622CF6" w:rsidP="00622CF6">
      <w:pPr>
        <w:pStyle w:val="ListParagraph"/>
        <w:numPr>
          <w:ilvl w:val="0"/>
          <w:numId w:val="25"/>
        </w:numPr>
        <w:spacing w:after="0"/>
      </w:pPr>
      <w:r w:rsidRPr="00622CF6">
        <w:t>Patients with high-risk prostate adenocarcinoma can be defined as having at least one of the following risk factors: PSA &gt;20 ng/ml, or Gleason score &gt;7 or ISUP grade group 4 or 5, or Stage T2c or ≥T3.</w:t>
      </w:r>
    </w:p>
    <w:p w14:paraId="520DB1D9" w14:textId="0C2CA70F" w:rsidR="001903A7" w:rsidRDefault="001903A7" w:rsidP="00855538">
      <w:pPr>
        <w:pStyle w:val="ListParagraph"/>
        <w:numPr>
          <w:ilvl w:val="0"/>
          <w:numId w:val="25"/>
        </w:numPr>
        <w:spacing w:after="0"/>
      </w:pPr>
      <w:r>
        <w:t xml:space="preserve">Medicare benefits are payable for a maximum of one service in the patient’s lifetime. </w:t>
      </w:r>
    </w:p>
    <w:p w14:paraId="5BEC6562" w14:textId="16FA40AA" w:rsidR="001903A7" w:rsidRDefault="001903A7" w:rsidP="00855538">
      <w:pPr>
        <w:spacing w:after="0"/>
        <w:rPr>
          <w:b/>
          <w:bCs/>
        </w:rPr>
      </w:pPr>
    </w:p>
    <w:p w14:paraId="2D953186" w14:textId="246B8879" w:rsidR="001903A7" w:rsidRDefault="001903A7" w:rsidP="00855538">
      <w:pPr>
        <w:spacing w:after="0"/>
        <w:rPr>
          <w:noProof/>
        </w:rPr>
      </w:pPr>
      <w:r w:rsidRPr="00BA657E">
        <w:rPr>
          <w:rStyle w:val="Descriptorheader"/>
        </w:rPr>
        <w:t>MBS fee:</w:t>
      </w:r>
      <w:r w:rsidRPr="00432212">
        <w:rPr>
          <w:noProof/>
        </w:rPr>
        <w:t xml:space="preserve"> </w:t>
      </w:r>
      <w:r>
        <w:rPr>
          <w:noProof/>
        </w:rPr>
        <w:t>$1,300.00</w:t>
      </w:r>
    </w:p>
    <w:p w14:paraId="73C51368" w14:textId="7BABD2E3" w:rsidR="00AC5CE6" w:rsidRPr="00855538" w:rsidRDefault="00622CF6" w:rsidP="00855538">
      <w:pPr>
        <w:spacing w:after="0"/>
      </w:pPr>
      <w:r w:rsidRPr="00AC5CE6">
        <w:rPr>
          <w:b/>
          <w:bCs/>
        </w:rPr>
        <w:t xml:space="preserve">Benefit: 85% = </w:t>
      </w:r>
      <w:r w:rsidRPr="00855538">
        <w:t>$1</w:t>
      </w:r>
      <w:r w:rsidR="00AC5CE6" w:rsidRPr="00855538">
        <w:t>,212.10</w:t>
      </w:r>
      <w:r w:rsidR="00AC5CE6">
        <w:rPr>
          <w:b/>
          <w:bCs/>
        </w:rPr>
        <w:tab/>
      </w:r>
      <w:r w:rsidRPr="00AC5CE6">
        <w:rPr>
          <w:b/>
          <w:bCs/>
        </w:rPr>
        <w:t xml:space="preserve">75% = </w:t>
      </w:r>
      <w:r w:rsidRPr="00855538">
        <w:t>$975.00</w:t>
      </w:r>
      <w:r w:rsidRPr="00AC5CE6">
        <w:rPr>
          <w:b/>
          <w:bCs/>
        </w:rPr>
        <w:t xml:space="preserve"> </w:t>
      </w:r>
      <w:r w:rsidR="00AC5CE6">
        <w:rPr>
          <w:b/>
          <w:bCs/>
        </w:rPr>
        <w:tab/>
      </w:r>
      <w:r w:rsidR="00AC5CE6">
        <w:rPr>
          <w:b/>
          <w:bCs/>
        </w:rPr>
        <w:tab/>
      </w:r>
      <w:r w:rsidRPr="00AC5CE6">
        <w:rPr>
          <w:b/>
          <w:bCs/>
        </w:rPr>
        <w:t xml:space="preserve">Out of hospital Bulk billed benefit = </w:t>
      </w:r>
      <w:r w:rsidRPr="00855538">
        <w:t>$1,235.00</w:t>
      </w:r>
    </w:p>
    <w:p w14:paraId="2654A303" w14:textId="77777777" w:rsidR="00855538" w:rsidRPr="00855538" w:rsidRDefault="00855538" w:rsidP="00855538">
      <w:pPr>
        <w:spacing w:after="0"/>
        <w:rPr>
          <w:rFonts w:asciiTheme="minorHAnsi" w:hAnsiTheme="minorHAnsi"/>
          <w:b/>
          <w:bCs/>
          <w:iCs/>
          <w:noProof/>
          <w:spacing w:val="5"/>
          <w:szCs w:val="20"/>
        </w:rPr>
      </w:pPr>
    </w:p>
    <w:p w14:paraId="1A96DEB6" w14:textId="62178343" w:rsidR="00855538" w:rsidRPr="00B4004F" w:rsidRDefault="00855538" w:rsidP="00855538">
      <w:pPr>
        <w:spacing w:after="0"/>
        <w:rPr>
          <w:rFonts w:asciiTheme="minorHAnsi" w:hAnsiTheme="minorHAnsi"/>
          <w:b/>
          <w:bCs/>
          <w:iCs/>
          <w:noProof/>
          <w:color w:val="002060"/>
          <w:spacing w:val="5"/>
          <w:sz w:val="22"/>
        </w:rPr>
      </w:pPr>
      <w:r w:rsidRPr="00F61C49">
        <w:rPr>
          <w:rFonts w:asciiTheme="minorHAnsi" w:hAnsiTheme="minorHAnsi"/>
          <w:b/>
          <w:bCs/>
          <w:iCs/>
          <w:noProof/>
          <w:spacing w:val="5"/>
          <w:sz w:val="22"/>
        </w:rPr>
        <w:t>Proposed Private Health Insurance</w:t>
      </w:r>
      <w:r w:rsidR="007F01E7">
        <w:rPr>
          <w:rFonts w:asciiTheme="minorHAnsi" w:hAnsiTheme="minorHAnsi"/>
          <w:b/>
          <w:bCs/>
          <w:iCs/>
          <w:noProof/>
          <w:spacing w:val="5"/>
          <w:sz w:val="22"/>
        </w:rPr>
        <w:t xml:space="preserve"> (PHI)</w:t>
      </w:r>
      <w:r w:rsidRPr="00F61C49">
        <w:rPr>
          <w:rFonts w:asciiTheme="minorHAnsi" w:hAnsiTheme="minorHAnsi"/>
          <w:b/>
          <w:bCs/>
          <w:iCs/>
          <w:noProof/>
          <w:spacing w:val="5"/>
          <w:sz w:val="22"/>
        </w:rPr>
        <w:t xml:space="preserve"> Classifications:</w:t>
      </w:r>
    </w:p>
    <w:p w14:paraId="28EAAF2E" w14:textId="0A605FF9" w:rsidR="00855538" w:rsidRPr="009B39D7" w:rsidRDefault="00855538" w:rsidP="00855538">
      <w:pPr>
        <w:pStyle w:val="ListParagraph"/>
        <w:numPr>
          <w:ilvl w:val="0"/>
          <w:numId w:val="28"/>
        </w:numPr>
        <w:autoSpaceDE w:val="0"/>
        <w:autoSpaceDN w:val="0"/>
        <w:adjustRightInd w:val="0"/>
        <w:rPr>
          <w:rFonts w:eastAsiaTheme="minorHAnsi"/>
        </w:rPr>
      </w:pPr>
      <w:r w:rsidRPr="009B39D7">
        <w:rPr>
          <w:rFonts w:eastAsiaTheme="minorHAnsi"/>
          <w:b/>
          <w:bCs/>
        </w:rPr>
        <w:t>Proposed Clinical category:</w:t>
      </w:r>
      <w:r w:rsidRPr="009B39D7">
        <w:rPr>
          <w:rFonts w:eastAsiaTheme="minorHAnsi"/>
        </w:rPr>
        <w:tab/>
        <w:t xml:space="preserve">Support </w:t>
      </w:r>
      <w:r w:rsidR="00C70404">
        <w:rPr>
          <w:rFonts w:eastAsiaTheme="minorHAnsi"/>
        </w:rPr>
        <w:t>list</w:t>
      </w:r>
      <w:r w:rsidRPr="009B39D7">
        <w:rPr>
          <w:rFonts w:eastAsiaTheme="minorHAnsi"/>
        </w:rPr>
        <w:t xml:space="preserve"> (as for other diagnostic imaging services)</w:t>
      </w:r>
    </w:p>
    <w:p w14:paraId="4E4F4C7E" w14:textId="77777777" w:rsidR="00855538" w:rsidRDefault="00855538" w:rsidP="00514B67">
      <w:pPr>
        <w:pStyle w:val="ListParagraph"/>
        <w:numPr>
          <w:ilvl w:val="0"/>
          <w:numId w:val="28"/>
        </w:numPr>
        <w:autoSpaceDE w:val="0"/>
        <w:autoSpaceDN w:val="0"/>
        <w:adjustRightInd w:val="0"/>
        <w:spacing w:after="0"/>
        <w:rPr>
          <w:rFonts w:eastAsiaTheme="minorHAnsi"/>
        </w:rPr>
      </w:pPr>
      <w:r w:rsidRPr="009B39D7">
        <w:rPr>
          <w:rFonts w:eastAsiaTheme="minorHAnsi"/>
          <w:b/>
          <w:bCs/>
        </w:rPr>
        <w:t>Proposed Procedure type:</w:t>
      </w:r>
      <w:r w:rsidRPr="009B39D7">
        <w:rPr>
          <w:rFonts w:eastAsiaTheme="minorHAnsi"/>
        </w:rPr>
        <w:tab/>
        <w:t xml:space="preserve">Type C </w:t>
      </w:r>
    </w:p>
    <w:p w14:paraId="46066A25" w14:textId="77777777" w:rsidR="00514B67" w:rsidRDefault="00514B67" w:rsidP="00514B67">
      <w:pPr>
        <w:spacing w:after="0"/>
        <w:rPr>
          <w:rFonts w:eastAsiaTheme="minorHAnsi"/>
        </w:rPr>
      </w:pPr>
    </w:p>
    <w:p w14:paraId="533658A0" w14:textId="67D73483" w:rsidR="00855538" w:rsidRPr="00855538" w:rsidRDefault="00855538" w:rsidP="00514B67">
      <w:pPr>
        <w:spacing w:after="0"/>
        <w:rPr>
          <w:rFonts w:eastAsiaTheme="minorHAnsi"/>
          <w:i/>
          <w:iCs/>
        </w:rPr>
      </w:pPr>
      <w:r w:rsidRPr="009D1FFC">
        <w:rPr>
          <w:rFonts w:eastAsiaTheme="minorHAnsi"/>
        </w:rPr>
        <w:t xml:space="preserve">Note: Private Health Insurance classifications and categorisations are subject to the making and registration of the </w:t>
      </w:r>
      <w:r w:rsidRPr="00855538">
        <w:rPr>
          <w:rFonts w:eastAsiaTheme="minorHAnsi"/>
          <w:i/>
          <w:iCs/>
        </w:rPr>
        <w:t>Private Health Insurance (Complying Product) Rules 2015</w:t>
      </w:r>
      <w:r w:rsidRPr="009D1FFC">
        <w:rPr>
          <w:rFonts w:eastAsiaTheme="minorHAnsi"/>
        </w:rPr>
        <w:t xml:space="preserve"> and </w:t>
      </w:r>
      <w:r w:rsidRPr="00855538">
        <w:rPr>
          <w:rFonts w:eastAsiaTheme="minorHAnsi"/>
          <w:i/>
          <w:iCs/>
        </w:rPr>
        <w:t>Private Health Insurance (Benefit Requirements) Rules</w:t>
      </w:r>
      <w:r>
        <w:rPr>
          <w:rFonts w:eastAsiaTheme="minorHAnsi"/>
          <w:i/>
          <w:iCs/>
        </w:rPr>
        <w:t> </w:t>
      </w:r>
      <w:r w:rsidRPr="00855538">
        <w:rPr>
          <w:rFonts w:eastAsiaTheme="minorHAnsi"/>
          <w:i/>
          <w:iCs/>
        </w:rPr>
        <w:t>2011.</w:t>
      </w:r>
    </w:p>
    <w:p w14:paraId="77B0D69A" w14:textId="77777777" w:rsidR="00514B67" w:rsidRDefault="00514B67" w:rsidP="00514B67">
      <w:pPr>
        <w:spacing w:after="0"/>
        <w:rPr>
          <w:rFonts w:eastAsiaTheme="minorHAnsi"/>
        </w:rPr>
      </w:pPr>
    </w:p>
    <w:p w14:paraId="66F2C1FF" w14:textId="5216213B" w:rsidR="00855538" w:rsidRPr="009D1FFC" w:rsidRDefault="00855538" w:rsidP="00514B67">
      <w:pPr>
        <w:spacing w:after="0"/>
        <w:rPr>
          <w:rFonts w:eastAsiaTheme="minorHAnsi"/>
        </w:rPr>
      </w:pPr>
      <w:r w:rsidRPr="009D1FFC">
        <w:rPr>
          <w:rFonts w:eastAsiaTheme="minorHAnsi"/>
        </w:rPr>
        <w:t xml:space="preserve">For questions and feedback regarding the proposed </w:t>
      </w:r>
      <w:r w:rsidR="007F01E7">
        <w:rPr>
          <w:rFonts w:eastAsiaTheme="minorHAnsi"/>
        </w:rPr>
        <w:t xml:space="preserve">PHI </w:t>
      </w:r>
      <w:r w:rsidRPr="009D1FFC">
        <w:rPr>
          <w:rFonts w:eastAsiaTheme="minorHAnsi"/>
        </w:rPr>
        <w:t xml:space="preserve">classifications, </w:t>
      </w:r>
      <w:bookmarkStart w:id="5" w:name="_Hlk103759972"/>
      <w:r w:rsidRPr="009D1FFC">
        <w:rPr>
          <w:rFonts w:eastAsiaTheme="minorHAnsi"/>
        </w:rPr>
        <w:t xml:space="preserve">please email </w:t>
      </w:r>
      <w:hyperlink r:id="rId17" w:history="1">
        <w:r w:rsidRPr="000757DE">
          <w:rPr>
            <w:rStyle w:val="Hyperlink"/>
            <w:rFonts w:eastAsiaTheme="minorHAnsi"/>
          </w:rPr>
          <w:t>PHI@health.gov.au</w:t>
        </w:r>
      </w:hyperlink>
      <w:r w:rsidRPr="009D1FFC">
        <w:rPr>
          <w:rFonts w:eastAsiaTheme="minorHAnsi"/>
        </w:rPr>
        <w:t>.</w:t>
      </w:r>
    </w:p>
    <w:bookmarkEnd w:id="5"/>
    <w:p w14:paraId="04BDBFC4" w14:textId="77777777" w:rsidR="00855538" w:rsidRDefault="00855538">
      <w:pPr>
        <w:spacing w:line="259" w:lineRule="auto"/>
        <w:rPr>
          <w:rFonts w:asciiTheme="majorHAnsi" w:hAnsiTheme="majorHAnsi"/>
          <w:color w:val="001A70" w:themeColor="text2"/>
          <w:sz w:val="28"/>
        </w:rPr>
      </w:pPr>
      <w:r>
        <w:br w:type="page"/>
      </w:r>
    </w:p>
    <w:p w14:paraId="404A0234" w14:textId="5643C38F" w:rsidR="00855538" w:rsidRPr="002672AF" w:rsidRDefault="00855538" w:rsidP="00855538">
      <w:pPr>
        <w:pStyle w:val="Heading2"/>
        <w:spacing w:before="0" w:after="0"/>
        <w:rPr>
          <w:rStyle w:val="NEWItemNumber"/>
          <w:b w:val="0"/>
          <w:sz w:val="20"/>
        </w:rPr>
      </w:pPr>
      <w:r w:rsidRPr="002672AF">
        <w:lastRenderedPageBreak/>
        <w:t>New item</w:t>
      </w:r>
      <w:r>
        <w:rPr>
          <w:rStyle w:val="NEWItemNumber"/>
        </w:rPr>
        <w:t>61564</w:t>
      </w:r>
      <w:r w:rsidRPr="002672AF">
        <w:rPr>
          <w:rStyle w:val="NEWItemNumber"/>
        </w:rPr>
        <w:t xml:space="preserve"> </w:t>
      </w:r>
      <w:r w:rsidRPr="002672AF">
        <w:t xml:space="preserve">– </w:t>
      </w:r>
      <w:r>
        <w:t xml:space="preserve">PSMA PET for the restaging of a patient with </w:t>
      </w:r>
      <w:r w:rsidR="00582D86">
        <w:t xml:space="preserve">recurrent </w:t>
      </w:r>
      <w:r>
        <w:t>prostate cancer</w:t>
      </w:r>
    </w:p>
    <w:p w14:paraId="55F8C658" w14:textId="77777777" w:rsidR="00855538" w:rsidRDefault="00855538" w:rsidP="00855538">
      <w:pPr>
        <w:spacing w:after="0"/>
        <w:rPr>
          <w:b/>
          <w:bCs/>
        </w:rPr>
      </w:pPr>
    </w:p>
    <w:p w14:paraId="5E497799" w14:textId="437E0E56" w:rsidR="00855538" w:rsidRPr="001903A7" w:rsidRDefault="00855538" w:rsidP="00855538">
      <w:pPr>
        <w:spacing w:after="0"/>
        <w:rPr>
          <w:b/>
          <w:bCs/>
        </w:rPr>
      </w:pPr>
      <w:r w:rsidRPr="001903A7">
        <w:rPr>
          <w:b/>
          <w:bCs/>
        </w:rPr>
        <w:t>Descriptor:</w:t>
      </w:r>
    </w:p>
    <w:p w14:paraId="4595145C" w14:textId="675C4930" w:rsidR="00AC5CE6" w:rsidRDefault="00AC5CE6" w:rsidP="00855538">
      <w:pPr>
        <w:spacing w:after="0"/>
        <w:rPr>
          <w:b/>
          <w:bCs/>
        </w:rPr>
      </w:pPr>
    </w:p>
    <w:tbl>
      <w:tblPr>
        <w:tblW w:w="5008" w:type="pct"/>
        <w:tblCellMar>
          <w:left w:w="31" w:type="dxa"/>
          <w:right w:w="31" w:type="dxa"/>
        </w:tblCellMar>
        <w:tblLook w:val="04A0" w:firstRow="1" w:lastRow="0" w:firstColumn="1" w:lastColumn="0" w:noHBand="0" w:noVBand="1"/>
        <w:tblCaption w:val="New item61564 – PSMA PET for the restaging of a patient with recurrent prostate cancer"/>
        <w:tblDescription w:val="61564 Whole body prostate-specific membrane antigen PET study performed for the restaging of recurrent prostate adenocarcinoma, for a patient who:&#10;(a) has undergone prior locoregional therapy; and&#10;(b) is considered suitable for further locoregional therapy to determine appropriate therapeutic pathways and timing of treatment initiation&#10;&#10;Applicable twice per lifetime (R)&#10;"/>
      </w:tblPr>
      <w:tblGrid>
        <w:gridCol w:w="1482"/>
        <w:gridCol w:w="9001"/>
      </w:tblGrid>
      <w:tr w:rsidR="00855538" w:rsidRPr="00977B9F" w14:paraId="78970CBD" w14:textId="77777777" w:rsidTr="00855538">
        <w:tc>
          <w:tcPr>
            <w:tcW w:w="707" w:type="pct"/>
            <w:shd w:val="clear" w:color="auto" w:fill="auto"/>
          </w:tcPr>
          <w:p w14:paraId="0D97B93E" w14:textId="77777777" w:rsidR="00855538" w:rsidRPr="00855538" w:rsidRDefault="00855538" w:rsidP="00855538">
            <w:pPr>
              <w:pStyle w:val="Tabletext"/>
              <w:rPr>
                <w:rFonts w:ascii="Arial" w:eastAsiaTheme="minorEastAsia" w:hAnsi="Arial" w:cstheme="minorBidi"/>
                <w:szCs w:val="21"/>
                <w:lang w:eastAsia="en-US"/>
              </w:rPr>
            </w:pPr>
            <w:r w:rsidRPr="00855538">
              <w:rPr>
                <w:rFonts w:ascii="Arial" w:eastAsiaTheme="minorEastAsia" w:hAnsi="Arial" w:cstheme="minorBidi"/>
                <w:szCs w:val="21"/>
                <w:lang w:eastAsia="en-US"/>
              </w:rPr>
              <w:t>61564</w:t>
            </w:r>
          </w:p>
        </w:tc>
        <w:tc>
          <w:tcPr>
            <w:tcW w:w="4293" w:type="pct"/>
            <w:shd w:val="clear" w:color="auto" w:fill="auto"/>
          </w:tcPr>
          <w:p w14:paraId="3C132F52" w14:textId="1033D0DA" w:rsidR="00B3616A" w:rsidRPr="00B3616A" w:rsidRDefault="00B3616A" w:rsidP="00B3616A">
            <w:pPr>
              <w:pStyle w:val="Tabletext"/>
              <w:rPr>
                <w:rFonts w:ascii="Arial" w:eastAsiaTheme="minorEastAsia" w:hAnsi="Arial" w:cstheme="minorBidi"/>
                <w:szCs w:val="21"/>
                <w:lang w:eastAsia="en-US"/>
              </w:rPr>
            </w:pPr>
            <w:r w:rsidRPr="00B3616A">
              <w:rPr>
                <w:rFonts w:ascii="Arial" w:eastAsiaTheme="minorEastAsia" w:hAnsi="Arial" w:cstheme="minorBidi"/>
                <w:szCs w:val="21"/>
                <w:lang w:eastAsia="en-US"/>
              </w:rPr>
              <w:t>Whole body prostate-specific membrane antigen PET study performed for the restaging of recurrent prostate adenocarcinoma, for a patient who:</w:t>
            </w:r>
          </w:p>
          <w:p w14:paraId="470B37E7" w14:textId="2EDFEC93" w:rsidR="00B3616A" w:rsidRPr="00B3616A" w:rsidRDefault="00B3616A" w:rsidP="00B3616A">
            <w:pPr>
              <w:pStyle w:val="Tabletext"/>
              <w:rPr>
                <w:rFonts w:ascii="Arial" w:eastAsiaTheme="minorEastAsia" w:hAnsi="Arial" w:cstheme="minorBidi"/>
                <w:szCs w:val="21"/>
                <w:lang w:eastAsia="en-US"/>
              </w:rPr>
            </w:pPr>
            <w:r w:rsidRPr="00B3616A">
              <w:rPr>
                <w:rFonts w:ascii="Arial" w:eastAsiaTheme="minorEastAsia" w:hAnsi="Arial" w:cstheme="minorBidi"/>
                <w:szCs w:val="21"/>
                <w:lang w:eastAsia="en-US"/>
              </w:rPr>
              <w:t>(a) has undergone prior locoregional therapy; and</w:t>
            </w:r>
          </w:p>
          <w:p w14:paraId="146C6DF7" w14:textId="5F8391C7" w:rsidR="00B3616A" w:rsidRPr="00B3616A" w:rsidRDefault="00B3616A" w:rsidP="00B3616A">
            <w:pPr>
              <w:pStyle w:val="Tabletext"/>
              <w:rPr>
                <w:rFonts w:ascii="Arial" w:eastAsiaTheme="minorEastAsia" w:hAnsi="Arial" w:cstheme="minorBidi"/>
                <w:szCs w:val="21"/>
                <w:lang w:eastAsia="en-US"/>
              </w:rPr>
            </w:pPr>
            <w:r w:rsidRPr="00B3616A">
              <w:rPr>
                <w:rFonts w:ascii="Arial" w:eastAsiaTheme="minorEastAsia" w:hAnsi="Arial" w:cstheme="minorBidi"/>
                <w:szCs w:val="21"/>
                <w:lang w:eastAsia="en-US"/>
              </w:rPr>
              <w:t>(b) is considered suitable for further locoregional therapy to determine appropriate therapeutic pathways and timing of treatment initiation</w:t>
            </w:r>
          </w:p>
          <w:p w14:paraId="1E6E7F49" w14:textId="77777777" w:rsidR="00B3616A" w:rsidRDefault="00B3616A" w:rsidP="00855538">
            <w:pPr>
              <w:pStyle w:val="Tabletext"/>
              <w:rPr>
                <w:rFonts w:ascii="Arial" w:eastAsiaTheme="minorEastAsia" w:hAnsi="Arial" w:cstheme="minorBidi"/>
                <w:szCs w:val="21"/>
                <w:lang w:eastAsia="en-US"/>
              </w:rPr>
            </w:pPr>
          </w:p>
          <w:p w14:paraId="35C5994E" w14:textId="557C58FB" w:rsidR="00855538" w:rsidRPr="00855538" w:rsidRDefault="00855538" w:rsidP="00855538">
            <w:pPr>
              <w:pStyle w:val="Tabletext"/>
              <w:rPr>
                <w:rFonts w:ascii="Arial" w:eastAsiaTheme="minorEastAsia" w:hAnsi="Arial" w:cstheme="minorBidi"/>
                <w:szCs w:val="21"/>
                <w:lang w:eastAsia="en-US"/>
              </w:rPr>
            </w:pPr>
            <w:r w:rsidRPr="00855538">
              <w:rPr>
                <w:rFonts w:ascii="Arial" w:eastAsiaTheme="minorEastAsia" w:hAnsi="Arial" w:cstheme="minorBidi"/>
                <w:szCs w:val="21"/>
                <w:lang w:eastAsia="en-US"/>
              </w:rPr>
              <w:t>Applicable twice per lifetime (R)</w:t>
            </w:r>
          </w:p>
        </w:tc>
      </w:tr>
      <w:tr w:rsidR="00855538" w:rsidRPr="00977B9F" w14:paraId="16B0D561" w14:textId="77777777" w:rsidTr="00855538">
        <w:tc>
          <w:tcPr>
            <w:tcW w:w="707" w:type="pct"/>
            <w:shd w:val="clear" w:color="auto" w:fill="auto"/>
          </w:tcPr>
          <w:p w14:paraId="4F9EA19C" w14:textId="77777777" w:rsidR="00855538" w:rsidRPr="00855538" w:rsidRDefault="00855538" w:rsidP="00855538">
            <w:pPr>
              <w:pStyle w:val="Tabletext"/>
              <w:rPr>
                <w:rFonts w:ascii="Arial" w:eastAsiaTheme="minorEastAsia" w:hAnsi="Arial" w:cstheme="minorBidi"/>
                <w:szCs w:val="21"/>
                <w:lang w:eastAsia="en-US"/>
              </w:rPr>
            </w:pPr>
          </w:p>
        </w:tc>
        <w:tc>
          <w:tcPr>
            <w:tcW w:w="4293" w:type="pct"/>
            <w:shd w:val="clear" w:color="auto" w:fill="auto"/>
          </w:tcPr>
          <w:p w14:paraId="13AAB365" w14:textId="77777777" w:rsidR="00855538" w:rsidRPr="00855538" w:rsidRDefault="00855538" w:rsidP="00855538">
            <w:pPr>
              <w:pStyle w:val="Tablei"/>
              <w:spacing w:before="60"/>
              <w:ind w:left="544" w:firstLine="0"/>
              <w:rPr>
                <w:rFonts w:ascii="Arial" w:eastAsiaTheme="minorEastAsia" w:hAnsi="Arial" w:cstheme="minorBidi"/>
                <w:szCs w:val="21"/>
                <w:lang w:eastAsia="en-US"/>
              </w:rPr>
            </w:pPr>
          </w:p>
        </w:tc>
      </w:tr>
    </w:tbl>
    <w:p w14:paraId="6ABE6E76" w14:textId="77777777" w:rsidR="00855538" w:rsidRDefault="00855538" w:rsidP="00855538">
      <w:pPr>
        <w:spacing w:after="0"/>
      </w:pPr>
      <w:r w:rsidRPr="001C032D">
        <w:rPr>
          <w:b/>
          <w:bCs/>
        </w:rPr>
        <w:t>Indication:</w:t>
      </w:r>
      <w:r>
        <w:t xml:space="preserve"> </w:t>
      </w:r>
    </w:p>
    <w:p w14:paraId="26A09470" w14:textId="4C50F449" w:rsidR="00855538" w:rsidRDefault="00855538" w:rsidP="00855538">
      <w:pPr>
        <w:spacing w:after="0"/>
      </w:pPr>
      <w:r>
        <w:t xml:space="preserve">This item applies when requested by a specialist or consultant physician for the restaging of PSMA PET for recurrent prostate </w:t>
      </w:r>
      <w:proofErr w:type="spellStart"/>
      <w:r>
        <w:t>adenorcarcinoma</w:t>
      </w:r>
      <w:proofErr w:type="spellEnd"/>
      <w:r>
        <w:t xml:space="preserve"> in a patient who has previously undergone locoregional therapy and is considered suitable for further locoregional therapy. </w:t>
      </w:r>
    </w:p>
    <w:p w14:paraId="58B86212" w14:textId="3497264E" w:rsidR="009D4C9E" w:rsidRDefault="009D4C9E" w:rsidP="00855538">
      <w:pPr>
        <w:spacing w:after="0"/>
      </w:pPr>
    </w:p>
    <w:p w14:paraId="6E2AD385" w14:textId="1A77042D" w:rsidR="009D4C9E" w:rsidRPr="009D4C9E" w:rsidRDefault="00DC0CB1" w:rsidP="00B26B7B">
      <w:pPr>
        <w:spacing w:after="0"/>
      </w:pPr>
      <w:r>
        <w:t xml:space="preserve">The specialist or consultant physician </w:t>
      </w:r>
      <w:r>
        <w:rPr>
          <w:b/>
          <w:bCs/>
          <w:i/>
          <w:iCs/>
        </w:rPr>
        <w:t xml:space="preserve">is to record </w:t>
      </w:r>
      <w:r>
        <w:t>in the clinical notes and the request that the patient</w:t>
      </w:r>
      <w:r w:rsidR="0026333B">
        <w:t xml:space="preserve"> </w:t>
      </w:r>
      <w:r w:rsidR="009D4C9E">
        <w:t>h</w:t>
      </w:r>
      <w:r w:rsidR="009D4C9E" w:rsidRPr="009D4C9E">
        <w:t xml:space="preserve">as undergone prior locoregional therapy </w:t>
      </w:r>
      <w:r w:rsidR="0026333B">
        <w:t xml:space="preserve">for prostatic adenocarcinoma </w:t>
      </w:r>
      <w:r w:rsidR="009D4C9E" w:rsidRPr="009D4C9E">
        <w:t xml:space="preserve">and is considered </w:t>
      </w:r>
      <w:r w:rsidR="0026333B">
        <w:t xml:space="preserve">potentially </w:t>
      </w:r>
      <w:r w:rsidR="009D4C9E" w:rsidRPr="009D4C9E">
        <w:t>suitable for further locoregional therapy</w:t>
      </w:r>
      <w:r w:rsidR="0026333B">
        <w:t xml:space="preserve"> for recurrent disease</w:t>
      </w:r>
      <w:r w:rsidR="009D4C9E" w:rsidRPr="009D4C9E">
        <w:t xml:space="preserve">. </w:t>
      </w:r>
    </w:p>
    <w:p w14:paraId="3188F482" w14:textId="77777777" w:rsidR="00514B67" w:rsidRDefault="00514B67" w:rsidP="00514B67">
      <w:pPr>
        <w:spacing w:after="0"/>
        <w:rPr>
          <w:b/>
          <w:bCs/>
        </w:rPr>
      </w:pPr>
    </w:p>
    <w:p w14:paraId="66EC6C3F" w14:textId="17018CF3" w:rsidR="00514B67" w:rsidRDefault="00514B67" w:rsidP="00514B67">
      <w:pPr>
        <w:spacing w:after="0"/>
        <w:rPr>
          <w:b/>
          <w:bCs/>
        </w:rPr>
      </w:pPr>
      <w:r w:rsidRPr="001903A7">
        <w:rPr>
          <w:b/>
          <w:bCs/>
        </w:rPr>
        <w:t>Other requirements:</w:t>
      </w:r>
    </w:p>
    <w:p w14:paraId="3605017C" w14:textId="77777777" w:rsidR="00514B67" w:rsidRPr="00514B67" w:rsidRDefault="00514B67" w:rsidP="00514B67">
      <w:pPr>
        <w:pStyle w:val="ListParagraph"/>
        <w:numPr>
          <w:ilvl w:val="0"/>
          <w:numId w:val="25"/>
        </w:numPr>
        <w:spacing w:after="0"/>
      </w:pPr>
      <w:r w:rsidRPr="00514B67">
        <w:t>This item can be claimed by patients with:</w:t>
      </w:r>
    </w:p>
    <w:p w14:paraId="7916C7FD" w14:textId="77777777" w:rsidR="00514B67" w:rsidRPr="00514B67" w:rsidRDefault="00514B67" w:rsidP="00514B67">
      <w:pPr>
        <w:pStyle w:val="ListParagraph"/>
        <w:numPr>
          <w:ilvl w:val="1"/>
          <w:numId w:val="25"/>
        </w:numPr>
        <w:spacing w:after="0"/>
      </w:pPr>
      <w:r w:rsidRPr="00514B67">
        <w:t xml:space="preserve">a prostate specific antigen (PSA) </w:t>
      </w:r>
      <w:proofErr w:type="gramStart"/>
      <w:r w:rsidRPr="00514B67">
        <w:t>increase</w:t>
      </w:r>
      <w:proofErr w:type="gramEnd"/>
      <w:r w:rsidRPr="00514B67">
        <w:t xml:space="preserve"> of 2ng/ml above the nadir after radiation therapy; or</w:t>
      </w:r>
    </w:p>
    <w:p w14:paraId="4BCC5BBB" w14:textId="77777777" w:rsidR="00514B67" w:rsidRDefault="00514B67" w:rsidP="00514B67">
      <w:pPr>
        <w:pStyle w:val="ListParagraph"/>
        <w:numPr>
          <w:ilvl w:val="1"/>
          <w:numId w:val="25"/>
        </w:numPr>
        <w:spacing w:after="0"/>
      </w:pPr>
      <w:r w:rsidRPr="00514B67">
        <w:t>failure of PSA levels to fall to undetectable levels</w:t>
      </w:r>
      <w:r>
        <w:t>;</w:t>
      </w:r>
      <w:r w:rsidRPr="00514B67">
        <w:t xml:space="preserve"> or </w:t>
      </w:r>
    </w:p>
    <w:p w14:paraId="6450B6F0" w14:textId="4665D5EA" w:rsidR="00514B67" w:rsidRPr="00514B67" w:rsidRDefault="00514B67" w:rsidP="00514B67">
      <w:pPr>
        <w:pStyle w:val="ListParagraph"/>
        <w:numPr>
          <w:ilvl w:val="1"/>
          <w:numId w:val="25"/>
        </w:numPr>
        <w:spacing w:after="0"/>
      </w:pPr>
      <w:r w:rsidRPr="00514B67">
        <w:t xml:space="preserve">rising PSA serum after a radical prostatectomy. </w:t>
      </w:r>
    </w:p>
    <w:p w14:paraId="0787044F" w14:textId="77777777" w:rsidR="00514B67" w:rsidRPr="00514B67" w:rsidRDefault="00514B67" w:rsidP="00514B67">
      <w:pPr>
        <w:pStyle w:val="ListParagraph"/>
        <w:numPr>
          <w:ilvl w:val="0"/>
          <w:numId w:val="25"/>
        </w:numPr>
        <w:spacing w:after="0"/>
      </w:pPr>
      <w:r w:rsidRPr="00514B67">
        <w:t xml:space="preserve">Benefits are only payable for a maximum of two services in the patient’s lifetime. </w:t>
      </w:r>
    </w:p>
    <w:p w14:paraId="645B7037" w14:textId="77777777" w:rsidR="00514B67" w:rsidRDefault="00514B67" w:rsidP="00514B67">
      <w:pPr>
        <w:spacing w:after="0"/>
        <w:rPr>
          <w:rStyle w:val="Descriptorheader"/>
        </w:rPr>
      </w:pPr>
    </w:p>
    <w:p w14:paraId="1ABEF079" w14:textId="514522F8" w:rsidR="00514B67" w:rsidRDefault="00514B67" w:rsidP="00514B67">
      <w:pPr>
        <w:spacing w:after="0"/>
        <w:rPr>
          <w:noProof/>
        </w:rPr>
      </w:pPr>
      <w:r w:rsidRPr="00BA657E">
        <w:rPr>
          <w:rStyle w:val="Descriptorheader"/>
        </w:rPr>
        <w:t>MBS fee:</w:t>
      </w:r>
      <w:r w:rsidRPr="00432212">
        <w:rPr>
          <w:noProof/>
        </w:rPr>
        <w:t xml:space="preserve"> </w:t>
      </w:r>
      <w:r>
        <w:rPr>
          <w:noProof/>
        </w:rPr>
        <w:t>$1,300.00</w:t>
      </w:r>
    </w:p>
    <w:p w14:paraId="2A1BFF24" w14:textId="77777777" w:rsidR="00514B67" w:rsidRPr="00855538" w:rsidRDefault="00514B67" w:rsidP="00514B67">
      <w:pPr>
        <w:spacing w:after="0"/>
      </w:pPr>
      <w:r w:rsidRPr="00AC5CE6">
        <w:rPr>
          <w:b/>
          <w:bCs/>
        </w:rPr>
        <w:t xml:space="preserve">Benefit: 85% = </w:t>
      </w:r>
      <w:r w:rsidRPr="00855538">
        <w:t>$1,212.10</w:t>
      </w:r>
      <w:r>
        <w:rPr>
          <w:b/>
          <w:bCs/>
        </w:rPr>
        <w:tab/>
      </w:r>
      <w:r w:rsidRPr="00AC5CE6">
        <w:rPr>
          <w:b/>
          <w:bCs/>
        </w:rPr>
        <w:t xml:space="preserve">75% = </w:t>
      </w:r>
      <w:r w:rsidRPr="00855538">
        <w:t>$975.00</w:t>
      </w:r>
      <w:r w:rsidRPr="00AC5CE6">
        <w:rPr>
          <w:b/>
          <w:bCs/>
        </w:rPr>
        <w:t xml:space="preserve"> </w:t>
      </w:r>
      <w:r>
        <w:rPr>
          <w:b/>
          <w:bCs/>
        </w:rPr>
        <w:tab/>
      </w:r>
      <w:r>
        <w:rPr>
          <w:b/>
          <w:bCs/>
        </w:rPr>
        <w:tab/>
      </w:r>
      <w:r w:rsidRPr="00AC5CE6">
        <w:rPr>
          <w:b/>
          <w:bCs/>
        </w:rPr>
        <w:t xml:space="preserve">Out of hospital Bulk billed benefit = </w:t>
      </w:r>
      <w:r w:rsidRPr="00855538">
        <w:t>$1,235.00</w:t>
      </w:r>
    </w:p>
    <w:p w14:paraId="0F17CFDD" w14:textId="77777777" w:rsidR="00514B67" w:rsidRPr="00855538" w:rsidRDefault="00514B67" w:rsidP="00514B67">
      <w:pPr>
        <w:spacing w:after="0"/>
        <w:rPr>
          <w:rFonts w:asciiTheme="minorHAnsi" w:hAnsiTheme="minorHAnsi"/>
          <w:b/>
          <w:bCs/>
          <w:iCs/>
          <w:noProof/>
          <w:spacing w:val="5"/>
          <w:szCs w:val="20"/>
        </w:rPr>
      </w:pPr>
    </w:p>
    <w:p w14:paraId="1F8E0536" w14:textId="034E72C5" w:rsidR="00514B67" w:rsidRPr="00B4004F" w:rsidRDefault="00514B67" w:rsidP="00514B67">
      <w:pPr>
        <w:spacing w:after="0"/>
        <w:rPr>
          <w:rFonts w:asciiTheme="minorHAnsi" w:hAnsiTheme="minorHAnsi"/>
          <w:b/>
          <w:bCs/>
          <w:iCs/>
          <w:noProof/>
          <w:color w:val="002060"/>
          <w:spacing w:val="5"/>
          <w:sz w:val="22"/>
        </w:rPr>
      </w:pPr>
      <w:r w:rsidRPr="00F61C49">
        <w:rPr>
          <w:rFonts w:asciiTheme="minorHAnsi" w:hAnsiTheme="minorHAnsi"/>
          <w:b/>
          <w:bCs/>
          <w:iCs/>
          <w:noProof/>
          <w:spacing w:val="5"/>
          <w:sz w:val="22"/>
        </w:rPr>
        <w:t>Proposed Private Health Insurance</w:t>
      </w:r>
      <w:r w:rsidR="007F01E7">
        <w:rPr>
          <w:rFonts w:asciiTheme="minorHAnsi" w:hAnsiTheme="minorHAnsi"/>
          <w:b/>
          <w:bCs/>
          <w:iCs/>
          <w:noProof/>
          <w:spacing w:val="5"/>
          <w:sz w:val="22"/>
        </w:rPr>
        <w:t xml:space="preserve"> (PHI)</w:t>
      </w:r>
      <w:r w:rsidRPr="00F61C49">
        <w:rPr>
          <w:rFonts w:asciiTheme="minorHAnsi" w:hAnsiTheme="minorHAnsi"/>
          <w:b/>
          <w:bCs/>
          <w:iCs/>
          <w:noProof/>
          <w:spacing w:val="5"/>
          <w:sz w:val="22"/>
        </w:rPr>
        <w:t xml:space="preserve"> Classifications:</w:t>
      </w:r>
    </w:p>
    <w:p w14:paraId="266ABDBD" w14:textId="7CA2F411" w:rsidR="00514B67" w:rsidRPr="009B39D7" w:rsidRDefault="00514B67" w:rsidP="00514B67">
      <w:pPr>
        <w:pStyle w:val="ListParagraph"/>
        <w:numPr>
          <w:ilvl w:val="0"/>
          <w:numId w:val="28"/>
        </w:numPr>
        <w:autoSpaceDE w:val="0"/>
        <w:autoSpaceDN w:val="0"/>
        <w:adjustRightInd w:val="0"/>
        <w:rPr>
          <w:rFonts w:eastAsiaTheme="minorHAnsi"/>
        </w:rPr>
      </w:pPr>
      <w:r w:rsidRPr="009B39D7">
        <w:rPr>
          <w:rFonts w:eastAsiaTheme="minorHAnsi"/>
          <w:b/>
          <w:bCs/>
        </w:rPr>
        <w:t>Proposed Clinical category:</w:t>
      </w:r>
      <w:r w:rsidRPr="009B39D7">
        <w:rPr>
          <w:rFonts w:eastAsiaTheme="minorHAnsi"/>
        </w:rPr>
        <w:tab/>
        <w:t xml:space="preserve">Support </w:t>
      </w:r>
      <w:r w:rsidR="00C70404">
        <w:rPr>
          <w:rFonts w:eastAsiaTheme="minorHAnsi"/>
        </w:rPr>
        <w:t>list</w:t>
      </w:r>
      <w:r w:rsidRPr="009B39D7">
        <w:rPr>
          <w:rFonts w:eastAsiaTheme="minorHAnsi"/>
        </w:rPr>
        <w:t xml:space="preserve"> (as for other diagnostic imaging services)</w:t>
      </w:r>
    </w:p>
    <w:p w14:paraId="67FDBC52" w14:textId="77777777" w:rsidR="00514B67" w:rsidRDefault="00514B67" w:rsidP="00514B67">
      <w:pPr>
        <w:pStyle w:val="ListParagraph"/>
        <w:numPr>
          <w:ilvl w:val="0"/>
          <w:numId w:val="28"/>
        </w:numPr>
        <w:autoSpaceDE w:val="0"/>
        <w:autoSpaceDN w:val="0"/>
        <w:adjustRightInd w:val="0"/>
        <w:spacing w:after="0"/>
        <w:rPr>
          <w:rFonts w:eastAsiaTheme="minorHAnsi"/>
        </w:rPr>
      </w:pPr>
      <w:r w:rsidRPr="009B39D7">
        <w:rPr>
          <w:rFonts w:eastAsiaTheme="minorHAnsi"/>
          <w:b/>
          <w:bCs/>
        </w:rPr>
        <w:t>Proposed Procedure type:</w:t>
      </w:r>
      <w:r w:rsidRPr="009B39D7">
        <w:rPr>
          <w:rFonts w:eastAsiaTheme="minorHAnsi"/>
        </w:rPr>
        <w:tab/>
        <w:t xml:space="preserve">Type C </w:t>
      </w:r>
    </w:p>
    <w:p w14:paraId="7158ADD8" w14:textId="77777777" w:rsidR="00514B67" w:rsidRDefault="00514B67" w:rsidP="00514B67">
      <w:pPr>
        <w:spacing w:after="0"/>
        <w:rPr>
          <w:rFonts w:eastAsiaTheme="minorHAnsi"/>
        </w:rPr>
      </w:pPr>
    </w:p>
    <w:p w14:paraId="0C2E8CA1" w14:textId="22ECCBF1" w:rsidR="00514B67" w:rsidRPr="00855538" w:rsidRDefault="00514B67" w:rsidP="00514B67">
      <w:pPr>
        <w:spacing w:after="0"/>
        <w:rPr>
          <w:rFonts w:eastAsiaTheme="minorHAnsi"/>
          <w:i/>
          <w:iCs/>
        </w:rPr>
      </w:pPr>
      <w:r w:rsidRPr="009D1FFC">
        <w:rPr>
          <w:rFonts w:eastAsiaTheme="minorHAnsi"/>
        </w:rPr>
        <w:t xml:space="preserve">Note: Private Health Insurance classifications and categorisations are subject to the making and registration of the </w:t>
      </w:r>
      <w:r w:rsidRPr="00855538">
        <w:rPr>
          <w:rFonts w:eastAsiaTheme="minorHAnsi"/>
          <w:i/>
          <w:iCs/>
        </w:rPr>
        <w:t>Private Health Insurance (Complying Product) Rules 2015</w:t>
      </w:r>
      <w:r w:rsidRPr="009D1FFC">
        <w:rPr>
          <w:rFonts w:eastAsiaTheme="minorHAnsi"/>
        </w:rPr>
        <w:t xml:space="preserve"> and </w:t>
      </w:r>
      <w:r w:rsidRPr="00855538">
        <w:rPr>
          <w:rFonts w:eastAsiaTheme="minorHAnsi"/>
          <w:i/>
          <w:iCs/>
        </w:rPr>
        <w:t>Private Health Insurance (Benefit Requirements) Rules</w:t>
      </w:r>
      <w:r>
        <w:rPr>
          <w:rFonts w:eastAsiaTheme="minorHAnsi"/>
          <w:i/>
          <w:iCs/>
        </w:rPr>
        <w:t> </w:t>
      </w:r>
      <w:r w:rsidRPr="00855538">
        <w:rPr>
          <w:rFonts w:eastAsiaTheme="minorHAnsi"/>
          <w:i/>
          <w:iCs/>
        </w:rPr>
        <w:t>2011.</w:t>
      </w:r>
    </w:p>
    <w:p w14:paraId="40646DDB" w14:textId="77777777" w:rsidR="00514B67" w:rsidRDefault="00514B67" w:rsidP="00514B67">
      <w:pPr>
        <w:spacing w:after="0"/>
        <w:rPr>
          <w:rFonts w:eastAsiaTheme="minorHAnsi"/>
        </w:rPr>
      </w:pPr>
    </w:p>
    <w:p w14:paraId="5A70B5E4" w14:textId="62E7E8F8" w:rsidR="00855538" w:rsidRPr="001903A7" w:rsidRDefault="00514B67" w:rsidP="007F01E7">
      <w:pPr>
        <w:spacing w:after="0"/>
        <w:rPr>
          <w:b/>
          <w:bCs/>
        </w:rPr>
      </w:pPr>
      <w:r w:rsidRPr="009D1FFC">
        <w:rPr>
          <w:rFonts w:eastAsiaTheme="minorHAnsi"/>
        </w:rPr>
        <w:t xml:space="preserve">For questions and feedback regarding the proposed </w:t>
      </w:r>
      <w:r w:rsidR="007F01E7">
        <w:rPr>
          <w:rFonts w:eastAsiaTheme="minorHAnsi"/>
        </w:rPr>
        <w:t xml:space="preserve">PHI </w:t>
      </w:r>
      <w:r w:rsidRPr="009D1FFC">
        <w:rPr>
          <w:rFonts w:eastAsiaTheme="minorHAnsi"/>
        </w:rPr>
        <w:t xml:space="preserve">classifications, please email </w:t>
      </w:r>
      <w:hyperlink r:id="rId18" w:history="1">
        <w:r w:rsidRPr="000757DE">
          <w:rPr>
            <w:rStyle w:val="Hyperlink"/>
            <w:rFonts w:eastAsiaTheme="minorHAnsi"/>
          </w:rPr>
          <w:t>PHI@health.gov.au</w:t>
        </w:r>
      </w:hyperlink>
      <w:r w:rsidRPr="009D1FFC">
        <w:rPr>
          <w:rFonts w:eastAsiaTheme="minorHAnsi"/>
        </w:rPr>
        <w:t>.</w:t>
      </w:r>
    </w:p>
    <w:sectPr w:rsidR="00855538" w:rsidRPr="001903A7"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C8B7F" w14:textId="77777777" w:rsidR="0049188E" w:rsidRDefault="0049188E" w:rsidP="006D1088">
      <w:pPr>
        <w:spacing w:after="0" w:line="240" w:lineRule="auto"/>
      </w:pPr>
      <w:r>
        <w:separator/>
      </w:r>
    </w:p>
  </w:endnote>
  <w:endnote w:type="continuationSeparator" w:id="0">
    <w:p w14:paraId="401336FA" w14:textId="77777777" w:rsidR="0049188E" w:rsidRDefault="0049188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086F588B" w:rsidR="009B32BA" w:rsidRDefault="00B26B7B"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EA2D9BC" w14:textId="70387AC1" w:rsidR="00514B67" w:rsidRDefault="00514B67" w:rsidP="00514B67">
    <w:pPr>
      <w:pStyle w:val="Footer"/>
      <w:tabs>
        <w:tab w:val="clear" w:pos="9026"/>
        <w:tab w:val="right" w:pos="10466"/>
      </w:tabs>
    </w:pPr>
    <w:r>
      <w:rPr>
        <w:b/>
      </w:rPr>
      <w:t xml:space="preserve">New Diagnostic Imaging Medicare Benefits Schedule (MBS) items 61563 and 61564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t xml:space="preserve">  </w:t>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tab/>
                </w:r>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Pr>
                    <w:bCs/>
                    <w:sz w:val="24"/>
                    <w:szCs w:val="24"/>
                  </w:rPr>
                  <w:t>1</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Pr>
                    <w:bCs/>
                    <w:sz w:val="24"/>
                    <w:szCs w:val="24"/>
                  </w:rPr>
                  <w:t>5</w:t>
                </w:r>
                <w:r w:rsidRPr="00F546CA">
                  <w:rPr>
                    <w:bCs/>
                    <w:sz w:val="24"/>
                    <w:szCs w:val="24"/>
                  </w:rPr>
                  <w:fldChar w:fldCharType="end"/>
                </w:r>
              </w:sdtContent>
            </w:sdt>
          </w:sdtContent>
        </w:sdt>
        <w:r>
          <w:t xml:space="preserve">                                                </w:t>
        </w:r>
      </w:sdtContent>
    </w:sdt>
  </w:p>
  <w:p w14:paraId="1DB47C40" w14:textId="3AF5469D" w:rsidR="009B32BA" w:rsidRPr="00514B67" w:rsidRDefault="00B26B7B" w:rsidP="00514B67">
    <w:pPr>
      <w:pStyle w:val="Footer"/>
      <w:tabs>
        <w:tab w:val="clear" w:pos="9026"/>
        <w:tab w:val="right" w:pos="10466"/>
      </w:tabs>
      <w:rPr>
        <w:rStyle w:val="Hyperlink"/>
        <w:color w:val="001A70" w:themeColor="text2"/>
        <w:u w:val="none"/>
      </w:rPr>
    </w:pPr>
    <w:hyperlink r:id="rId1" w:history="1">
      <w:r w:rsidR="009B32BA" w:rsidRPr="00E863C4">
        <w:rPr>
          <w:rStyle w:val="Hyperlink"/>
          <w:szCs w:val="18"/>
        </w:rPr>
        <w:t>MBS Online</w:t>
      </w:r>
    </w:hyperlink>
  </w:p>
  <w:p w14:paraId="300F6065" w14:textId="31B9BF7E" w:rsidR="00570B62" w:rsidRPr="009B32BA" w:rsidRDefault="00570B62">
    <w:pPr>
      <w:pStyle w:val="Footer"/>
      <w:rPr>
        <w:szCs w:val="18"/>
      </w:rPr>
    </w:pPr>
    <w:r w:rsidRPr="00870B05">
      <w:t>Last updated</w:t>
    </w:r>
    <w:r>
      <w:t xml:space="preserve"> – </w:t>
    </w:r>
    <w:r w:rsidR="006E7129">
      <w:t>24 June</w:t>
    </w:r>
    <w:r w:rsidR="00514B67">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92820" w14:textId="77777777" w:rsidR="0049188E" w:rsidRDefault="0049188E" w:rsidP="006D1088">
      <w:pPr>
        <w:spacing w:after="0" w:line="240" w:lineRule="auto"/>
      </w:pPr>
      <w:r>
        <w:separator/>
      </w:r>
    </w:p>
  </w:footnote>
  <w:footnote w:type="continuationSeparator" w:id="0">
    <w:p w14:paraId="20C0B004" w14:textId="77777777" w:rsidR="0049188E" w:rsidRDefault="0049188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922644">
          <wp:simplePos x="0" y="0"/>
          <wp:positionH relativeFrom="page">
            <wp:align>left</wp:align>
          </wp:positionH>
          <wp:positionV relativeFrom="paragraph">
            <wp:posOffset>-449580</wp:posOffset>
          </wp:positionV>
          <wp:extent cx="7643250" cy="1611213"/>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372D8"/>
    <w:multiLevelType w:val="hybridMultilevel"/>
    <w:tmpl w:val="32E85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73A72"/>
    <w:multiLevelType w:val="hybridMultilevel"/>
    <w:tmpl w:val="E678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E1659C"/>
    <w:multiLevelType w:val="hybridMultilevel"/>
    <w:tmpl w:val="12269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3126D"/>
    <w:multiLevelType w:val="hybridMultilevel"/>
    <w:tmpl w:val="0DD6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0970BE"/>
    <w:multiLevelType w:val="hybridMultilevel"/>
    <w:tmpl w:val="5490A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8273169"/>
    <w:multiLevelType w:val="hybridMultilevel"/>
    <w:tmpl w:val="09A20E24"/>
    <w:lvl w:ilvl="0" w:tplc="ABF8D2F8">
      <w:numFmt w:val="bullet"/>
      <w:lvlText w:val="-"/>
      <w:lvlJc w:val="left"/>
      <w:pPr>
        <w:ind w:left="720" w:hanging="360"/>
      </w:pPr>
      <w:rPr>
        <w:rFonts w:ascii="Calibri" w:eastAsia="Calibr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AC16CA5"/>
    <w:multiLevelType w:val="hybridMultilevel"/>
    <w:tmpl w:val="77F0B096"/>
    <w:lvl w:ilvl="0" w:tplc="0F5E0C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C22257"/>
    <w:multiLevelType w:val="hybridMultilevel"/>
    <w:tmpl w:val="4AC4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7E6466"/>
    <w:multiLevelType w:val="hybridMultilevel"/>
    <w:tmpl w:val="CE4E3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1"/>
  </w:num>
  <w:num w:numId="16">
    <w:abstractNumId w:val="13"/>
  </w:num>
  <w:num w:numId="17">
    <w:abstractNumId w:val="13"/>
  </w:num>
  <w:num w:numId="18">
    <w:abstractNumId w:val="14"/>
  </w:num>
  <w:num w:numId="19">
    <w:abstractNumId w:val="13"/>
  </w:num>
  <w:num w:numId="20">
    <w:abstractNumId w:val="16"/>
  </w:num>
  <w:num w:numId="21">
    <w:abstractNumId w:val="21"/>
  </w:num>
  <w:num w:numId="22">
    <w:abstractNumId w:val="17"/>
  </w:num>
  <w:num w:numId="23">
    <w:abstractNumId w:val="13"/>
  </w:num>
  <w:num w:numId="24">
    <w:abstractNumId w:val="13"/>
  </w:num>
  <w:num w:numId="25">
    <w:abstractNumId w:val="10"/>
  </w:num>
  <w:num w:numId="26">
    <w:abstractNumId w:val="12"/>
  </w:num>
  <w:num w:numId="27">
    <w:abstractNumId w:val="13"/>
  </w:num>
  <w:num w:numId="28">
    <w:abstractNumId w:val="19"/>
  </w:num>
  <w:num w:numId="29">
    <w:abstractNumId w:val="13"/>
  </w:num>
  <w:num w:numId="30">
    <w:abstractNumId w:val="2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5A52"/>
    <w:rsid w:val="000367AA"/>
    <w:rsid w:val="00045810"/>
    <w:rsid w:val="000757DE"/>
    <w:rsid w:val="0008127F"/>
    <w:rsid w:val="00081B97"/>
    <w:rsid w:val="000A2F0A"/>
    <w:rsid w:val="000A39B6"/>
    <w:rsid w:val="000A6D90"/>
    <w:rsid w:val="000B01AE"/>
    <w:rsid w:val="000B2A1B"/>
    <w:rsid w:val="000B7C6C"/>
    <w:rsid w:val="000C2143"/>
    <w:rsid w:val="000C3B83"/>
    <w:rsid w:val="000C6354"/>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03A7"/>
    <w:rsid w:val="0019170A"/>
    <w:rsid w:val="001A4AFC"/>
    <w:rsid w:val="001A6FE6"/>
    <w:rsid w:val="001A7FB7"/>
    <w:rsid w:val="001C032D"/>
    <w:rsid w:val="001C5C56"/>
    <w:rsid w:val="001C7BC5"/>
    <w:rsid w:val="001D3D09"/>
    <w:rsid w:val="001E6F63"/>
    <w:rsid w:val="001F49E8"/>
    <w:rsid w:val="00200902"/>
    <w:rsid w:val="00203F3E"/>
    <w:rsid w:val="00221334"/>
    <w:rsid w:val="002427E0"/>
    <w:rsid w:val="00243D1C"/>
    <w:rsid w:val="00260849"/>
    <w:rsid w:val="0026333B"/>
    <w:rsid w:val="0026502E"/>
    <w:rsid w:val="00276A29"/>
    <w:rsid w:val="00281820"/>
    <w:rsid w:val="00291041"/>
    <w:rsid w:val="002A3C7C"/>
    <w:rsid w:val="002A5A70"/>
    <w:rsid w:val="002B3FCB"/>
    <w:rsid w:val="002B70AC"/>
    <w:rsid w:val="002D2CC5"/>
    <w:rsid w:val="002E6682"/>
    <w:rsid w:val="00303D71"/>
    <w:rsid w:val="003122B4"/>
    <w:rsid w:val="00337919"/>
    <w:rsid w:val="003402B3"/>
    <w:rsid w:val="00345DC5"/>
    <w:rsid w:val="00352174"/>
    <w:rsid w:val="00355E8A"/>
    <w:rsid w:val="00363819"/>
    <w:rsid w:val="00374AE3"/>
    <w:rsid w:val="003A52BA"/>
    <w:rsid w:val="003B56AD"/>
    <w:rsid w:val="003C109B"/>
    <w:rsid w:val="003D20B2"/>
    <w:rsid w:val="003D5CEF"/>
    <w:rsid w:val="003E0945"/>
    <w:rsid w:val="003E6457"/>
    <w:rsid w:val="003F333A"/>
    <w:rsid w:val="003F6682"/>
    <w:rsid w:val="00405506"/>
    <w:rsid w:val="00420023"/>
    <w:rsid w:val="00425089"/>
    <w:rsid w:val="00427D7F"/>
    <w:rsid w:val="004324B6"/>
    <w:rsid w:val="00433682"/>
    <w:rsid w:val="0043744D"/>
    <w:rsid w:val="00445086"/>
    <w:rsid w:val="004511F2"/>
    <w:rsid w:val="0049188E"/>
    <w:rsid w:val="004933FA"/>
    <w:rsid w:val="00494B72"/>
    <w:rsid w:val="0049529A"/>
    <w:rsid w:val="00496081"/>
    <w:rsid w:val="004A1348"/>
    <w:rsid w:val="004B243F"/>
    <w:rsid w:val="004C2B08"/>
    <w:rsid w:val="004D2C7C"/>
    <w:rsid w:val="004D71C4"/>
    <w:rsid w:val="004E52A2"/>
    <w:rsid w:val="004F0AA6"/>
    <w:rsid w:val="00510063"/>
    <w:rsid w:val="00514B67"/>
    <w:rsid w:val="005261D0"/>
    <w:rsid w:val="0054114E"/>
    <w:rsid w:val="0054242B"/>
    <w:rsid w:val="00542F07"/>
    <w:rsid w:val="00543427"/>
    <w:rsid w:val="00550525"/>
    <w:rsid w:val="00552A7A"/>
    <w:rsid w:val="00570B62"/>
    <w:rsid w:val="00582D86"/>
    <w:rsid w:val="00595BBD"/>
    <w:rsid w:val="0059641E"/>
    <w:rsid w:val="005B45B4"/>
    <w:rsid w:val="005E1472"/>
    <w:rsid w:val="005F226C"/>
    <w:rsid w:val="006173AC"/>
    <w:rsid w:val="0062100F"/>
    <w:rsid w:val="00622CF6"/>
    <w:rsid w:val="006339E6"/>
    <w:rsid w:val="00634880"/>
    <w:rsid w:val="006425BA"/>
    <w:rsid w:val="00650B9A"/>
    <w:rsid w:val="006514AA"/>
    <w:rsid w:val="00653345"/>
    <w:rsid w:val="00655D74"/>
    <w:rsid w:val="00656F11"/>
    <w:rsid w:val="00684D37"/>
    <w:rsid w:val="00694030"/>
    <w:rsid w:val="006961D6"/>
    <w:rsid w:val="006A175B"/>
    <w:rsid w:val="006D04CC"/>
    <w:rsid w:val="006D1088"/>
    <w:rsid w:val="006D2A35"/>
    <w:rsid w:val="006E7129"/>
    <w:rsid w:val="006F5785"/>
    <w:rsid w:val="00726103"/>
    <w:rsid w:val="00727F4C"/>
    <w:rsid w:val="00734F6B"/>
    <w:rsid w:val="00736D31"/>
    <w:rsid w:val="0077741D"/>
    <w:rsid w:val="00781867"/>
    <w:rsid w:val="00787CD1"/>
    <w:rsid w:val="007C1391"/>
    <w:rsid w:val="007D1D3A"/>
    <w:rsid w:val="007E2604"/>
    <w:rsid w:val="007E33D2"/>
    <w:rsid w:val="007F01E7"/>
    <w:rsid w:val="00814F52"/>
    <w:rsid w:val="00834903"/>
    <w:rsid w:val="008352AC"/>
    <w:rsid w:val="00852651"/>
    <w:rsid w:val="008553F7"/>
    <w:rsid w:val="00855538"/>
    <w:rsid w:val="00864E28"/>
    <w:rsid w:val="008766AD"/>
    <w:rsid w:val="00876A59"/>
    <w:rsid w:val="00881219"/>
    <w:rsid w:val="008957B9"/>
    <w:rsid w:val="008A6F4F"/>
    <w:rsid w:val="008B25F2"/>
    <w:rsid w:val="008B59C1"/>
    <w:rsid w:val="008D443A"/>
    <w:rsid w:val="008E258C"/>
    <w:rsid w:val="008E4C9B"/>
    <w:rsid w:val="008E7B7C"/>
    <w:rsid w:val="008F1594"/>
    <w:rsid w:val="008F4B45"/>
    <w:rsid w:val="009000AA"/>
    <w:rsid w:val="00907B4A"/>
    <w:rsid w:val="0091706C"/>
    <w:rsid w:val="00942A31"/>
    <w:rsid w:val="009542F2"/>
    <w:rsid w:val="009562F4"/>
    <w:rsid w:val="00977405"/>
    <w:rsid w:val="009858E2"/>
    <w:rsid w:val="009A6B12"/>
    <w:rsid w:val="009A7113"/>
    <w:rsid w:val="009B0901"/>
    <w:rsid w:val="009B32BA"/>
    <w:rsid w:val="009B51E7"/>
    <w:rsid w:val="009B5206"/>
    <w:rsid w:val="009B7859"/>
    <w:rsid w:val="009C742B"/>
    <w:rsid w:val="009D0B98"/>
    <w:rsid w:val="009D4C9E"/>
    <w:rsid w:val="009D7077"/>
    <w:rsid w:val="009E4A9E"/>
    <w:rsid w:val="009E66EE"/>
    <w:rsid w:val="009E6DE2"/>
    <w:rsid w:val="009F52D4"/>
    <w:rsid w:val="00A26321"/>
    <w:rsid w:val="00A3287F"/>
    <w:rsid w:val="00A34384"/>
    <w:rsid w:val="00A37CE3"/>
    <w:rsid w:val="00A51FC5"/>
    <w:rsid w:val="00A5641C"/>
    <w:rsid w:val="00A60FB7"/>
    <w:rsid w:val="00A64177"/>
    <w:rsid w:val="00A7172E"/>
    <w:rsid w:val="00A77D1F"/>
    <w:rsid w:val="00A91196"/>
    <w:rsid w:val="00AA41CD"/>
    <w:rsid w:val="00AA5232"/>
    <w:rsid w:val="00AA69A9"/>
    <w:rsid w:val="00AB53A4"/>
    <w:rsid w:val="00AC5CE6"/>
    <w:rsid w:val="00AE2F7E"/>
    <w:rsid w:val="00AE53A3"/>
    <w:rsid w:val="00AF57F6"/>
    <w:rsid w:val="00B06B77"/>
    <w:rsid w:val="00B06E28"/>
    <w:rsid w:val="00B15CE8"/>
    <w:rsid w:val="00B2044B"/>
    <w:rsid w:val="00B23A4C"/>
    <w:rsid w:val="00B2636B"/>
    <w:rsid w:val="00B26B7B"/>
    <w:rsid w:val="00B31FBA"/>
    <w:rsid w:val="00B3616A"/>
    <w:rsid w:val="00B378D4"/>
    <w:rsid w:val="00B3793F"/>
    <w:rsid w:val="00B542FB"/>
    <w:rsid w:val="00B63DDE"/>
    <w:rsid w:val="00B714E8"/>
    <w:rsid w:val="00B83E3D"/>
    <w:rsid w:val="00B90DB5"/>
    <w:rsid w:val="00BA0109"/>
    <w:rsid w:val="00BA7CA8"/>
    <w:rsid w:val="00BB25DE"/>
    <w:rsid w:val="00BC50C1"/>
    <w:rsid w:val="00BD1C20"/>
    <w:rsid w:val="00BD2649"/>
    <w:rsid w:val="00BD546A"/>
    <w:rsid w:val="00BE2018"/>
    <w:rsid w:val="00BE505F"/>
    <w:rsid w:val="00BF00A9"/>
    <w:rsid w:val="00BF426F"/>
    <w:rsid w:val="00C0126E"/>
    <w:rsid w:val="00C11326"/>
    <w:rsid w:val="00C1214D"/>
    <w:rsid w:val="00C131D7"/>
    <w:rsid w:val="00C13ABA"/>
    <w:rsid w:val="00C4491F"/>
    <w:rsid w:val="00C61A31"/>
    <w:rsid w:val="00C66700"/>
    <w:rsid w:val="00C66AD1"/>
    <w:rsid w:val="00C70404"/>
    <w:rsid w:val="00CA5F76"/>
    <w:rsid w:val="00CC39C8"/>
    <w:rsid w:val="00CF45CC"/>
    <w:rsid w:val="00D11EDB"/>
    <w:rsid w:val="00D16EF3"/>
    <w:rsid w:val="00D3244E"/>
    <w:rsid w:val="00D3629F"/>
    <w:rsid w:val="00D36F35"/>
    <w:rsid w:val="00D37294"/>
    <w:rsid w:val="00D3741F"/>
    <w:rsid w:val="00D422E5"/>
    <w:rsid w:val="00D51364"/>
    <w:rsid w:val="00D62923"/>
    <w:rsid w:val="00D6302E"/>
    <w:rsid w:val="00D660BF"/>
    <w:rsid w:val="00D67E9A"/>
    <w:rsid w:val="00D76659"/>
    <w:rsid w:val="00DA50D6"/>
    <w:rsid w:val="00DB54A4"/>
    <w:rsid w:val="00DC0CB1"/>
    <w:rsid w:val="00DC127A"/>
    <w:rsid w:val="00DC356C"/>
    <w:rsid w:val="00DE22E2"/>
    <w:rsid w:val="00DF7606"/>
    <w:rsid w:val="00DF7C32"/>
    <w:rsid w:val="00E43F82"/>
    <w:rsid w:val="00E7403A"/>
    <w:rsid w:val="00E7460D"/>
    <w:rsid w:val="00EA2CDC"/>
    <w:rsid w:val="00EC2DBE"/>
    <w:rsid w:val="00ED1055"/>
    <w:rsid w:val="00ED2B70"/>
    <w:rsid w:val="00ED60EE"/>
    <w:rsid w:val="00F074CE"/>
    <w:rsid w:val="00F07E89"/>
    <w:rsid w:val="00F33D07"/>
    <w:rsid w:val="00F35046"/>
    <w:rsid w:val="00F50491"/>
    <w:rsid w:val="00F50994"/>
    <w:rsid w:val="00F74AD4"/>
    <w:rsid w:val="00F74DFC"/>
    <w:rsid w:val="00F93F71"/>
    <w:rsid w:val="00FB4DEF"/>
    <w:rsid w:val="00FC690D"/>
    <w:rsid w:val="00FD1E77"/>
    <w:rsid w:val="00FE50B6"/>
    <w:rsid w:val="00FF3729"/>
    <w:rsid w:val="00FF3B72"/>
    <w:rsid w:val="00FF3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text">
    <w:name w:val="Tabletext"/>
    <w:aliases w:val="tt"/>
    <w:basedOn w:val="Normal"/>
    <w:rsid w:val="006339E6"/>
    <w:pPr>
      <w:spacing w:before="60" w:after="0" w:line="240" w:lineRule="atLeast"/>
    </w:pPr>
    <w:rPr>
      <w:rFonts w:ascii="Times New Roman" w:eastAsia="Times New Roman" w:hAnsi="Times New Roman" w:cs="Times New Roman"/>
      <w:szCs w:val="20"/>
      <w:lang w:eastAsia="en-AU"/>
    </w:rPr>
  </w:style>
  <w:style w:type="paragraph" w:customStyle="1" w:styleId="OPCParaBase">
    <w:name w:val="OPCParaBase"/>
    <w:qFormat/>
    <w:rsid w:val="006339E6"/>
    <w:pPr>
      <w:spacing w:after="0" w:line="260" w:lineRule="atLeast"/>
    </w:pPr>
    <w:rPr>
      <w:rFonts w:ascii="Times New Roman" w:eastAsia="Times New Roman" w:hAnsi="Times New Roman" w:cs="Times New Roman"/>
      <w:szCs w:val="20"/>
      <w:lang w:eastAsia="en-AU"/>
    </w:rPr>
  </w:style>
  <w:style w:type="paragraph" w:customStyle="1" w:styleId="Tablea">
    <w:name w:val="Table(a)"/>
    <w:aliases w:val="ta"/>
    <w:basedOn w:val="OPCParaBase"/>
    <w:rsid w:val="006339E6"/>
    <w:pPr>
      <w:spacing w:before="60" w:line="240" w:lineRule="auto"/>
      <w:ind w:left="284" w:hanging="284"/>
    </w:pPr>
    <w:rPr>
      <w:sz w:val="20"/>
    </w:rPr>
  </w:style>
  <w:style w:type="paragraph" w:customStyle="1" w:styleId="Tablei">
    <w:name w:val="Table(i)"/>
    <w:aliases w:val="taa"/>
    <w:basedOn w:val="OPCParaBase"/>
    <w:rsid w:val="006339E6"/>
    <w:pPr>
      <w:tabs>
        <w:tab w:val="left" w:pos="-6543"/>
        <w:tab w:val="left" w:pos="-6260"/>
        <w:tab w:val="right" w:pos="970"/>
      </w:tabs>
      <w:spacing w:line="240" w:lineRule="exact"/>
      <w:ind w:left="828" w:hanging="284"/>
    </w:pPr>
    <w:rPr>
      <w:sz w:val="20"/>
    </w:rPr>
  </w:style>
  <w:style w:type="numbering" w:styleId="1ai">
    <w:name w:val="Outline List 1"/>
    <w:basedOn w:val="NoList"/>
    <w:rsid w:val="006339E6"/>
    <w:pPr>
      <w:numPr>
        <w:numId w:val="18"/>
      </w:numPr>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08127F"/>
    <w:rPr>
      <w:rFonts w:ascii="Arial" w:eastAsiaTheme="minorEastAsia" w:hAnsi="Arial"/>
      <w:sz w:val="20"/>
      <w:szCs w:val="21"/>
    </w:rPr>
  </w:style>
  <w:style w:type="character" w:customStyle="1" w:styleId="Descriptorheader">
    <w:name w:val="Descriptor header"/>
    <w:basedOn w:val="BookTitle"/>
    <w:uiPriority w:val="1"/>
    <w:rsid w:val="001903A7"/>
    <w:rPr>
      <w:rFonts w:asciiTheme="minorHAnsi" w:hAnsiTheme="minorHAnsi"/>
      <w:b/>
      <w:bCs/>
      <w:i w:val="0"/>
      <w:iCs/>
      <w:noProof/>
      <w:spacing w:val="5"/>
      <w:sz w:val="22"/>
    </w:rPr>
  </w:style>
  <w:style w:type="character" w:styleId="UnresolvedMention">
    <w:name w:val="Unresolved Mention"/>
    <w:basedOn w:val="DefaultParagraphFont"/>
    <w:uiPriority w:val="99"/>
    <w:semiHidden/>
    <w:unhideWhenUsed/>
    <w:rsid w:val="0007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197113">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33718013">
      <w:bodyDiv w:val="1"/>
      <w:marLeft w:val="0"/>
      <w:marRight w:val="0"/>
      <w:marTop w:val="0"/>
      <w:marBottom w:val="0"/>
      <w:divBdr>
        <w:top w:val="none" w:sz="0" w:space="0" w:color="auto"/>
        <w:left w:val="none" w:sz="0" w:space="0" w:color="auto"/>
        <w:bottom w:val="none" w:sz="0" w:space="0" w:color="auto"/>
        <w:right w:val="none" w:sz="0" w:space="0" w:color="auto"/>
      </w:divBdr>
    </w:div>
    <w:div w:id="1191647713">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620137792">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bsonline.gov.au/" TargetMode="External"/><Relationship Id="rId18" Type="http://schemas.openxmlformats.org/officeDocument/2006/relationships/hyperlink" Target="file:///C:\Users\pertal\AppData\Local\Microsoft\Windows\INetCache\Content.Outlook\TZ7MDMPC\PHI@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file:///C:\Users\pertal\AppData\Local\Microsoft\Windows\INetCache\Content.Outlook\TZ7MDMPC\PHI@health.gov.au" TargetMode="Externa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www.msac.gov.au/internet/msac/publishing.nsf/Content/application-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4976-245C-40BC-9669-A8AADBBE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2022-06-24T04:50:00Z</dcterms:created>
  <dcterms:modified xsi:type="dcterms:W3CDTF">2022-06-24T05:05:00Z</dcterms:modified>
</cp:coreProperties>
</file>