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9B6F1" w14:textId="75E90654" w:rsidR="0034095A" w:rsidRPr="0034095A" w:rsidRDefault="0034095A" w:rsidP="0034095A">
      <w:pPr>
        <w:pStyle w:val="Title"/>
      </w:pPr>
      <w:r>
        <w:t xml:space="preserve">Amendment of MBS item 73410 to extend carrier testing for Alpha </w:t>
      </w:r>
      <w:r w:rsidR="00F308D8">
        <w:t>t</w:t>
      </w:r>
      <w:r>
        <w:t>halassaemia</w:t>
      </w:r>
      <w:r w:rsidR="00B91652">
        <w:t xml:space="preserve"> </w:t>
      </w:r>
      <w:r w:rsidR="001B4AC8">
        <w:t>(</w:t>
      </w:r>
      <w:r w:rsidR="00B91652">
        <w:t xml:space="preserve">and </w:t>
      </w:r>
      <w:r w:rsidR="00B2147C">
        <w:t xml:space="preserve">other </w:t>
      </w:r>
      <w:r w:rsidR="00B91652">
        <w:t xml:space="preserve">minor amendments to </w:t>
      </w:r>
      <w:r w:rsidR="00F308D8">
        <w:t xml:space="preserve">items </w:t>
      </w:r>
      <w:r w:rsidR="005E78C6">
        <w:t xml:space="preserve">73410, </w:t>
      </w:r>
      <w:r w:rsidR="00B91652">
        <w:t xml:space="preserve">73411, </w:t>
      </w:r>
      <w:r w:rsidR="005E78C6">
        <w:t>73412 and 73413</w:t>
      </w:r>
      <w:r w:rsidR="001B4AC8">
        <w:t>)</w:t>
      </w:r>
    </w:p>
    <w:p w14:paraId="6EFD4B5B" w14:textId="7A504F1D" w:rsidR="00064168" w:rsidRPr="00867595" w:rsidRDefault="00064168" w:rsidP="006F5073">
      <w:bookmarkStart w:id="0" w:name="_Hlk4568006"/>
      <w:r w:rsidRPr="00867595">
        <w:t xml:space="preserve">Last updated: </w:t>
      </w:r>
      <w:r w:rsidR="00FD5091">
        <w:t>31 May</w:t>
      </w:r>
      <w:r w:rsidR="003C1580">
        <w:t xml:space="preserve"> 2024</w:t>
      </w:r>
    </w:p>
    <w:p w14:paraId="2BF860AE" w14:textId="3D1C48B2" w:rsidR="008E57E2" w:rsidRPr="001738E0" w:rsidRDefault="008D35E7" w:rsidP="0010324A">
      <w:pPr>
        <w:pStyle w:val="ListBullet"/>
      </w:pPr>
      <w:bookmarkStart w:id="1" w:name="_Hlk535506978"/>
      <w:bookmarkEnd w:id="0"/>
      <w:r w:rsidRPr="001738E0">
        <w:t xml:space="preserve">From 1 </w:t>
      </w:r>
      <w:r w:rsidR="00ED36B0">
        <w:t>July</w:t>
      </w:r>
      <w:r w:rsidR="00ED36B0" w:rsidRPr="001738E0">
        <w:t xml:space="preserve"> </w:t>
      </w:r>
      <w:r w:rsidRPr="001738E0">
        <w:t>202</w:t>
      </w:r>
      <w:r w:rsidR="00332209" w:rsidRPr="001738E0">
        <w:t>4</w:t>
      </w:r>
      <w:r w:rsidRPr="001738E0">
        <w:t xml:space="preserve">, </w:t>
      </w:r>
      <w:r w:rsidR="001738E0" w:rsidRPr="001738E0">
        <w:t xml:space="preserve">MBS item 73410 will be amended to </w:t>
      </w:r>
      <w:r w:rsidR="000C43D7">
        <w:t>allow for</w:t>
      </w:r>
      <w:r w:rsidR="00575D95">
        <w:t xml:space="preserve"> testing of</w:t>
      </w:r>
      <w:r w:rsidR="001738E0" w:rsidRPr="001738E0">
        <w:t xml:space="preserve"> individuals with normal red cell indices</w:t>
      </w:r>
      <w:r w:rsidR="000C43D7">
        <w:t xml:space="preserve"> where</w:t>
      </w:r>
      <w:r w:rsidR="001738E0" w:rsidRPr="001738E0">
        <w:t xml:space="preserve"> their reproductive partner has been diagnosed with a heterozygous 2-gene deletional alpha thalassemia. </w:t>
      </w:r>
    </w:p>
    <w:p w14:paraId="61A0DB6D" w14:textId="5297518C" w:rsidR="001738E0" w:rsidRPr="001738E0" w:rsidRDefault="001738E0" w:rsidP="001738E0">
      <w:pPr>
        <w:pStyle w:val="ListBullet"/>
      </w:pPr>
      <w:r w:rsidRPr="001738E0">
        <w:t xml:space="preserve">MBS items </w:t>
      </w:r>
      <w:r w:rsidR="008E57E2">
        <w:t xml:space="preserve">73410, </w:t>
      </w:r>
      <w:r w:rsidRPr="001738E0">
        <w:t>73411, 73412 and 73413 will also be amended to omit ‘of child-bearing potential with diagnosed alpha thalassaemia’ and substitute with ‘with alpha thalassaemia’.</w:t>
      </w:r>
    </w:p>
    <w:bookmarkEnd w:id="1"/>
    <w:p w14:paraId="44460BF5" w14:textId="5B7ABCD6" w:rsidR="00064168" w:rsidRPr="00867595" w:rsidRDefault="00064168" w:rsidP="00064168">
      <w:pPr>
        <w:pStyle w:val="Heading2"/>
      </w:pPr>
      <w:r w:rsidRPr="00867595">
        <w:t>What are the changes?</w:t>
      </w:r>
    </w:p>
    <w:p w14:paraId="4A33FDE6" w14:textId="77777777" w:rsidR="00F76DEA" w:rsidRDefault="00F362E6" w:rsidP="00F362E6">
      <w:pPr>
        <w:rPr>
          <w:szCs w:val="22"/>
        </w:rPr>
      </w:pPr>
      <w:r w:rsidRPr="00F362E6">
        <w:rPr>
          <w:szCs w:val="22"/>
        </w:rPr>
        <w:t>MBS item 73410 will be amended to include carrier testing of individuals with normal red cell indices, if their reproductive partner has been diagnosed with a heterozygous 2-gene deletional alpha thalassemia. This is a very rare form of thalassemia and the exclusion (or otherwise) of non-deletional and single-gene deletional alpha thalassaemia in the partners of individuals with heterozygous 2-gene deletions, will inform reproductive options for at-risk couples.</w:t>
      </w:r>
      <w:r w:rsidR="00D57E32">
        <w:rPr>
          <w:szCs w:val="22"/>
        </w:rPr>
        <w:t xml:space="preserve"> </w:t>
      </w:r>
      <w:r w:rsidRPr="00F362E6">
        <w:rPr>
          <w:szCs w:val="22"/>
        </w:rPr>
        <w:t xml:space="preserve">An amendment to MBS item 73410 will allow for testing of this particular group of people and was supported by the MSAC Executive at its June 2023 meeting. </w:t>
      </w:r>
    </w:p>
    <w:p w14:paraId="7FD5AB87" w14:textId="3B7BC931" w:rsidR="00F362E6" w:rsidRPr="001738E0" w:rsidRDefault="00F362E6" w:rsidP="00F362E6">
      <w:pPr>
        <w:rPr>
          <w:szCs w:val="22"/>
        </w:rPr>
      </w:pPr>
      <w:r w:rsidRPr="00F362E6">
        <w:rPr>
          <w:szCs w:val="22"/>
        </w:rPr>
        <w:t xml:space="preserve">The MSAC Executive also supported the removal of the term ‘child bearing potential’ to </w:t>
      </w:r>
      <w:r w:rsidR="00ED36B0" w:rsidRPr="00770FCF">
        <w:rPr>
          <w:rStyle w:val="cf01"/>
          <w:rFonts w:ascii="Arial" w:hAnsi="Arial" w:cs="Arial"/>
          <w:sz w:val="22"/>
          <w:szCs w:val="22"/>
        </w:rPr>
        <w:t>allow for testing of reproductive partner in any order</w:t>
      </w:r>
      <w:r w:rsidRPr="00F362E6">
        <w:rPr>
          <w:szCs w:val="22"/>
        </w:rPr>
        <w:t>.</w:t>
      </w:r>
      <w:r w:rsidR="003B0A79">
        <w:rPr>
          <w:szCs w:val="22"/>
        </w:rPr>
        <w:t xml:space="preserve"> </w:t>
      </w:r>
      <w:r w:rsidRPr="001738E0">
        <w:rPr>
          <w:szCs w:val="22"/>
        </w:rPr>
        <w:t>MBS items 73411, 73412 and 73413 will also be amended to omit ‘of child-bearing potential with diagnosed alpha thalassaemia’ and substitute ‘with alpha thalassaemia’.</w:t>
      </w:r>
    </w:p>
    <w:p w14:paraId="01A89936" w14:textId="77777777" w:rsidR="00B04091" w:rsidRPr="00460758" w:rsidRDefault="00B04091" w:rsidP="00B04091">
      <w:pPr>
        <w:rPr>
          <w:szCs w:val="22"/>
        </w:rPr>
      </w:pPr>
      <w:r w:rsidRPr="00460758">
        <w:rPr>
          <w:szCs w:val="22"/>
        </w:rPr>
        <w:t xml:space="preserve">For private health insurance purposes, the </w:t>
      </w:r>
      <w:r>
        <w:rPr>
          <w:szCs w:val="22"/>
        </w:rPr>
        <w:t>amended</w:t>
      </w:r>
      <w:r w:rsidRPr="00460758">
        <w:rPr>
          <w:szCs w:val="22"/>
        </w:rPr>
        <w:t xml:space="preserve"> items will </w:t>
      </w:r>
      <w:r>
        <w:rPr>
          <w:szCs w:val="22"/>
        </w:rPr>
        <w:t xml:space="preserve">continue to </w:t>
      </w:r>
      <w:r w:rsidRPr="00460758">
        <w:rPr>
          <w:szCs w:val="22"/>
        </w:rPr>
        <w:t>be listed under the following clinical category and procedure type:</w:t>
      </w:r>
    </w:p>
    <w:p w14:paraId="3C0A4DF6" w14:textId="77777777" w:rsidR="00B04091" w:rsidRPr="00460758" w:rsidRDefault="00B04091" w:rsidP="00B04091">
      <w:pPr>
        <w:numPr>
          <w:ilvl w:val="1"/>
          <w:numId w:val="28"/>
        </w:numPr>
        <w:rPr>
          <w:szCs w:val="22"/>
        </w:rPr>
      </w:pPr>
      <w:r w:rsidRPr="00460758">
        <w:rPr>
          <w:szCs w:val="22"/>
        </w:rPr>
        <w:t>Clinical category: Support List (pathology)</w:t>
      </w:r>
    </w:p>
    <w:p w14:paraId="725DA9B0" w14:textId="77777777" w:rsidR="00B04091" w:rsidRPr="002F2180" w:rsidRDefault="00B04091" w:rsidP="00B04091">
      <w:pPr>
        <w:numPr>
          <w:ilvl w:val="1"/>
          <w:numId w:val="28"/>
        </w:numPr>
        <w:rPr>
          <w:szCs w:val="22"/>
        </w:rPr>
      </w:pPr>
      <w:r w:rsidRPr="00460758">
        <w:rPr>
          <w:szCs w:val="22"/>
        </w:rPr>
        <w:t>Procedure type: Type C</w:t>
      </w:r>
    </w:p>
    <w:p w14:paraId="17466EF3" w14:textId="21A79E0D" w:rsidR="00F25F42" w:rsidRPr="004219A4" w:rsidRDefault="00064168" w:rsidP="004219A4">
      <w:pPr>
        <w:pStyle w:val="Heading2"/>
      </w:pPr>
      <w:r>
        <w:lastRenderedPageBreak/>
        <w:t>Why are the changes being made?</w:t>
      </w:r>
      <w:bookmarkStart w:id="2" w:name="_Hlk535386664"/>
    </w:p>
    <w:p w14:paraId="705079D4" w14:textId="3275FC74" w:rsidR="00A90226" w:rsidRDefault="004C30F7" w:rsidP="00A01138">
      <w:pPr>
        <w:rPr>
          <w:szCs w:val="22"/>
        </w:rPr>
      </w:pPr>
      <w:r>
        <w:rPr>
          <w:szCs w:val="22"/>
        </w:rPr>
        <w:t>The a</w:t>
      </w:r>
      <w:r w:rsidR="00602EBD">
        <w:rPr>
          <w:szCs w:val="22"/>
        </w:rPr>
        <w:t>mendment of</w:t>
      </w:r>
      <w:r w:rsidR="00603935" w:rsidRPr="00A01138">
        <w:rPr>
          <w:szCs w:val="22"/>
        </w:rPr>
        <w:t xml:space="preserve"> </w:t>
      </w:r>
      <w:r w:rsidR="00AD3253" w:rsidRPr="00A01138">
        <w:rPr>
          <w:szCs w:val="22"/>
        </w:rPr>
        <w:t>item 73410 will</w:t>
      </w:r>
      <w:r w:rsidR="00AD3253" w:rsidRPr="00AD3253">
        <w:rPr>
          <w:szCs w:val="22"/>
        </w:rPr>
        <w:t xml:space="preserve"> make provision </w:t>
      </w:r>
      <w:r w:rsidR="00AD3253" w:rsidRPr="00A01138">
        <w:rPr>
          <w:szCs w:val="22"/>
        </w:rPr>
        <w:t xml:space="preserve">of testing to </w:t>
      </w:r>
      <w:r w:rsidR="00114DC7" w:rsidRPr="00A01138">
        <w:rPr>
          <w:szCs w:val="22"/>
        </w:rPr>
        <w:t>detect</w:t>
      </w:r>
      <w:r w:rsidR="00AD3253" w:rsidRPr="00AD3253">
        <w:rPr>
          <w:szCs w:val="22"/>
        </w:rPr>
        <w:t xml:space="preserve"> non-deletional and single-gene deletional alpha thalassaemia in </w:t>
      </w:r>
      <w:r>
        <w:rPr>
          <w:szCs w:val="22"/>
        </w:rPr>
        <w:t xml:space="preserve">the reproductive </w:t>
      </w:r>
      <w:r w:rsidR="00AD3253" w:rsidRPr="00AD3253">
        <w:rPr>
          <w:szCs w:val="22"/>
        </w:rPr>
        <w:t xml:space="preserve">partners of individuals with </w:t>
      </w:r>
      <w:r w:rsidR="00D6591A" w:rsidRPr="00A01138">
        <w:rPr>
          <w:szCs w:val="22"/>
        </w:rPr>
        <w:t xml:space="preserve">a rare, </w:t>
      </w:r>
      <w:r w:rsidR="00AD3253" w:rsidRPr="00AD3253">
        <w:rPr>
          <w:szCs w:val="22"/>
        </w:rPr>
        <w:t>heterozygous 2-gene deletion</w:t>
      </w:r>
      <w:r w:rsidR="00D6591A" w:rsidRPr="00A01138">
        <w:rPr>
          <w:szCs w:val="22"/>
        </w:rPr>
        <w:t xml:space="preserve">. These </w:t>
      </w:r>
      <w:r w:rsidR="00A64747" w:rsidRPr="00A01138">
        <w:rPr>
          <w:szCs w:val="22"/>
        </w:rPr>
        <w:t xml:space="preserve">people are currently excluded from testing if their red cell </w:t>
      </w:r>
      <w:r w:rsidR="00A90226" w:rsidRPr="00A01138">
        <w:rPr>
          <w:szCs w:val="22"/>
        </w:rPr>
        <w:t>indices are normal</w:t>
      </w:r>
      <w:r w:rsidR="00716FD5" w:rsidRPr="00A01138">
        <w:rPr>
          <w:szCs w:val="22"/>
        </w:rPr>
        <w:t xml:space="preserve">, even if their partners </w:t>
      </w:r>
      <w:r w:rsidR="00D947D8" w:rsidRPr="00A01138">
        <w:rPr>
          <w:szCs w:val="22"/>
        </w:rPr>
        <w:t>have this serious form of alpha thalassaemia</w:t>
      </w:r>
      <w:r w:rsidR="00A90226" w:rsidRPr="00A01138">
        <w:rPr>
          <w:szCs w:val="22"/>
        </w:rPr>
        <w:t xml:space="preserve">. </w:t>
      </w:r>
      <w:r w:rsidR="00B64A64">
        <w:rPr>
          <w:szCs w:val="22"/>
        </w:rPr>
        <w:t xml:space="preserve">The MSAC Executive </w:t>
      </w:r>
      <w:r w:rsidR="008328B5">
        <w:rPr>
          <w:szCs w:val="22"/>
        </w:rPr>
        <w:t xml:space="preserve">agreed </w:t>
      </w:r>
      <w:r w:rsidR="00406E5A">
        <w:rPr>
          <w:szCs w:val="22"/>
        </w:rPr>
        <w:t>at it</w:t>
      </w:r>
      <w:r w:rsidR="00095843">
        <w:rPr>
          <w:szCs w:val="22"/>
        </w:rPr>
        <w:t xml:space="preserve">s </w:t>
      </w:r>
      <w:r w:rsidR="00BD4279">
        <w:rPr>
          <w:szCs w:val="22"/>
        </w:rPr>
        <w:t xml:space="preserve">June 2023 meeting </w:t>
      </w:r>
      <w:r w:rsidR="008328B5">
        <w:rPr>
          <w:szCs w:val="22"/>
        </w:rPr>
        <w:t xml:space="preserve">that it was important for </w:t>
      </w:r>
      <w:r w:rsidR="00B52BA0">
        <w:rPr>
          <w:szCs w:val="22"/>
        </w:rPr>
        <w:t xml:space="preserve">these </w:t>
      </w:r>
      <w:r w:rsidR="008328B5">
        <w:rPr>
          <w:szCs w:val="22"/>
        </w:rPr>
        <w:t xml:space="preserve">people to be tested </w:t>
      </w:r>
      <w:r w:rsidR="009C5DE7">
        <w:rPr>
          <w:szCs w:val="22"/>
        </w:rPr>
        <w:t xml:space="preserve">for </w:t>
      </w:r>
      <w:r w:rsidR="00273732">
        <w:rPr>
          <w:szCs w:val="22"/>
        </w:rPr>
        <w:t>alpha thalas</w:t>
      </w:r>
      <w:r w:rsidR="009B43DA">
        <w:rPr>
          <w:szCs w:val="22"/>
        </w:rPr>
        <w:t>saemia regardless of their red cell status</w:t>
      </w:r>
      <w:r w:rsidR="00B31A42">
        <w:rPr>
          <w:szCs w:val="22"/>
        </w:rPr>
        <w:t xml:space="preserve"> </w:t>
      </w:r>
      <w:r w:rsidR="00B31A42">
        <w:rPr>
          <w:sz w:val="23"/>
          <w:szCs w:val="23"/>
        </w:rPr>
        <w:t xml:space="preserve">and considered this to be consistent with MSAC’s previous supportive recommendation for </w:t>
      </w:r>
      <w:hyperlink r:id="rId8" w:history="1">
        <w:r w:rsidR="004B360C">
          <w:rPr>
            <w:rStyle w:val="Hyperlink"/>
          </w:rPr>
          <w:t>MSAC application 1531</w:t>
        </w:r>
      </w:hyperlink>
      <w:r w:rsidR="00406E5A">
        <w:rPr>
          <w:szCs w:val="22"/>
        </w:rPr>
        <w:t>.</w:t>
      </w:r>
      <w:r w:rsidR="00B52BA0">
        <w:rPr>
          <w:szCs w:val="22"/>
        </w:rPr>
        <w:t xml:space="preserve"> </w:t>
      </w:r>
      <w:r w:rsidR="00B238F5">
        <w:rPr>
          <w:szCs w:val="22"/>
        </w:rPr>
        <w:t xml:space="preserve"> </w:t>
      </w:r>
    </w:p>
    <w:p w14:paraId="192E4495" w14:textId="7EE9C829" w:rsidR="00896933" w:rsidRPr="00030EBF" w:rsidRDefault="00896933" w:rsidP="00030EBF">
      <w:r w:rsidRPr="00030EBF">
        <w:t xml:space="preserve">It was also agreed by the MSAC Executive that </w:t>
      </w:r>
      <w:r w:rsidR="009B129E" w:rsidRPr="00030EBF">
        <w:t xml:space="preserve">removing the words ‘of child-bearing potential’ from </w:t>
      </w:r>
      <w:r w:rsidR="005712CA" w:rsidRPr="00030EBF">
        <w:t xml:space="preserve">items 73410 </w:t>
      </w:r>
      <w:r w:rsidR="00620315" w:rsidRPr="00030EBF">
        <w:t>–</w:t>
      </w:r>
      <w:r w:rsidR="005712CA" w:rsidRPr="00030EBF">
        <w:t xml:space="preserve"> 73413</w:t>
      </w:r>
      <w:r w:rsidR="00620315" w:rsidRPr="00030EBF">
        <w:t>,</w:t>
      </w:r>
      <w:r w:rsidR="009B129E" w:rsidRPr="00030EBF">
        <w:t xml:space="preserve"> would</w:t>
      </w:r>
      <w:r w:rsidR="00620315" w:rsidRPr="00030EBF">
        <w:t xml:space="preserve"> allow for testing of reproductive couples in either order, not necessarily female first.</w:t>
      </w:r>
      <w:r w:rsidR="009B129E" w:rsidRPr="00030EBF">
        <w:t xml:space="preserve"> </w:t>
      </w:r>
      <w:r w:rsidR="007530C9" w:rsidRPr="00030EBF">
        <w:t>The amendment will</w:t>
      </w:r>
      <w:r w:rsidR="009B129E" w:rsidRPr="00030EBF">
        <w:t xml:space="preserve"> not change the intent of the item</w:t>
      </w:r>
      <w:r w:rsidR="007530C9" w:rsidRPr="00030EBF">
        <w:t>.</w:t>
      </w:r>
    </w:p>
    <w:bookmarkEnd w:id="2"/>
    <w:p w14:paraId="4B2559AC" w14:textId="6EE0C008" w:rsidR="00064168" w:rsidRDefault="00064168" w:rsidP="00064168">
      <w:pPr>
        <w:pStyle w:val="Heading2"/>
      </w:pPr>
      <w:r>
        <w:t>What does this mean for</w:t>
      </w:r>
      <w:r w:rsidR="004219A4">
        <w:t xml:space="preserve"> requestors and providers</w:t>
      </w:r>
      <w:r>
        <w:t>?</w:t>
      </w:r>
    </w:p>
    <w:p w14:paraId="20B0EF7C" w14:textId="67DA4BE4" w:rsidR="00663F71" w:rsidRDefault="00D411C5" w:rsidP="00764BB3">
      <w:pPr>
        <w:rPr>
          <w:szCs w:val="22"/>
        </w:rPr>
      </w:pPr>
      <w:r>
        <w:t xml:space="preserve">Requestors will be able to order </w:t>
      </w:r>
      <w:r w:rsidR="008F7595">
        <w:t>genetic testing for alpha thalassaemia under item 73410,</w:t>
      </w:r>
      <w:r w:rsidR="00E50BC6">
        <w:t xml:space="preserve"> if </w:t>
      </w:r>
      <w:r w:rsidR="00CE3271">
        <w:t xml:space="preserve">a </w:t>
      </w:r>
      <w:r w:rsidR="00E50BC6">
        <w:t xml:space="preserve">person’s reproductive partner has a </w:t>
      </w:r>
      <w:r w:rsidR="00E50BC6" w:rsidRPr="00AD3253">
        <w:rPr>
          <w:szCs w:val="22"/>
        </w:rPr>
        <w:t>heterozygous 2-gene deletion</w:t>
      </w:r>
      <w:r w:rsidR="00CE3271">
        <w:rPr>
          <w:szCs w:val="22"/>
        </w:rPr>
        <w:t>, even if that person’s red cell indices are normal</w:t>
      </w:r>
      <w:r w:rsidR="00E50BC6">
        <w:rPr>
          <w:szCs w:val="22"/>
        </w:rPr>
        <w:t xml:space="preserve">. </w:t>
      </w:r>
      <w:r w:rsidR="00CE3271">
        <w:rPr>
          <w:szCs w:val="22"/>
        </w:rPr>
        <w:t xml:space="preserve">These people would previously not have been eligible this MBS item. </w:t>
      </w:r>
    </w:p>
    <w:p w14:paraId="2709FA21" w14:textId="53E75318" w:rsidR="00E50BC6" w:rsidRPr="00E03054" w:rsidRDefault="00CE3271" w:rsidP="00764BB3">
      <w:pPr>
        <w:rPr>
          <w:szCs w:val="22"/>
        </w:rPr>
      </w:pPr>
      <w:r>
        <w:rPr>
          <w:szCs w:val="22"/>
        </w:rPr>
        <w:t xml:space="preserve">Additionally, </w:t>
      </w:r>
      <w:r w:rsidR="00770B51">
        <w:rPr>
          <w:szCs w:val="22"/>
        </w:rPr>
        <w:t xml:space="preserve">amendments to items 73410 – 73413 will allow for </w:t>
      </w:r>
      <w:r>
        <w:rPr>
          <w:szCs w:val="22"/>
        </w:rPr>
        <w:t xml:space="preserve">requestors and providers </w:t>
      </w:r>
      <w:r w:rsidR="00770B51">
        <w:rPr>
          <w:szCs w:val="22"/>
        </w:rPr>
        <w:t xml:space="preserve">to </w:t>
      </w:r>
      <w:r>
        <w:rPr>
          <w:szCs w:val="22"/>
        </w:rPr>
        <w:t>offer g</w:t>
      </w:r>
      <w:r w:rsidR="00D67656">
        <w:rPr>
          <w:szCs w:val="22"/>
        </w:rPr>
        <w:t>enetic t</w:t>
      </w:r>
      <w:r w:rsidR="00A74EB1">
        <w:rPr>
          <w:szCs w:val="22"/>
        </w:rPr>
        <w:t xml:space="preserve">esting of reproductive </w:t>
      </w:r>
      <w:r>
        <w:rPr>
          <w:szCs w:val="22"/>
        </w:rPr>
        <w:t xml:space="preserve">partners </w:t>
      </w:r>
      <w:r w:rsidR="00D67656">
        <w:t>for alpha thalassaemia</w:t>
      </w:r>
      <w:r w:rsidR="00770B51">
        <w:t>,</w:t>
      </w:r>
      <w:r w:rsidR="00D67656">
        <w:t xml:space="preserve"> </w:t>
      </w:r>
      <w:r w:rsidR="00770B51">
        <w:rPr>
          <w:rStyle w:val="cf01"/>
          <w:rFonts w:ascii="Arial" w:hAnsi="Arial" w:cs="Arial"/>
          <w:sz w:val="22"/>
          <w:szCs w:val="22"/>
        </w:rPr>
        <w:t>to both partners</w:t>
      </w:r>
      <w:r>
        <w:rPr>
          <w:rStyle w:val="cf01"/>
          <w:rFonts w:ascii="Arial" w:hAnsi="Arial" w:cs="Arial"/>
          <w:sz w:val="22"/>
          <w:szCs w:val="22"/>
        </w:rPr>
        <w:t xml:space="preserve"> </w:t>
      </w:r>
      <w:r w:rsidRPr="00EC2CCF">
        <w:rPr>
          <w:rStyle w:val="cf01"/>
          <w:rFonts w:ascii="Arial" w:hAnsi="Arial" w:cs="Arial"/>
          <w:sz w:val="22"/>
          <w:szCs w:val="22"/>
        </w:rPr>
        <w:t>in any order</w:t>
      </w:r>
      <w:r w:rsidR="00712453">
        <w:rPr>
          <w:szCs w:val="22"/>
        </w:rPr>
        <w:t xml:space="preserve">. </w:t>
      </w:r>
    </w:p>
    <w:p w14:paraId="6C1B11D2" w14:textId="74587C36" w:rsidR="00770B51" w:rsidRPr="00F71522" w:rsidRDefault="004219A4" w:rsidP="004219A4">
      <w:r w:rsidRPr="00B7095A">
        <w:t xml:space="preserve">To be eligible for Medicare </w:t>
      </w:r>
      <w:r>
        <w:t>benefit</w:t>
      </w:r>
      <w:r w:rsidRPr="00B7095A">
        <w:t>s, laboratories providing this service must be accredited according to the pathology accreditation standards specified in the</w:t>
      </w:r>
      <w:r w:rsidRPr="00B7095A">
        <w:rPr>
          <w:i/>
          <w:iCs/>
        </w:rPr>
        <w:t xml:space="preserve"> </w:t>
      </w:r>
      <w:hyperlink r:id="rId9" w:history="1">
        <w:r w:rsidRPr="00B7095A">
          <w:rPr>
            <w:rStyle w:val="Hyperlink"/>
            <w:i/>
            <w:iCs/>
          </w:rPr>
          <w:t>Health Insurance (Accredited Pathology Laboratories-Approval) Principles 2017</w:t>
        </w:r>
      </w:hyperlink>
      <w:r w:rsidRPr="00B7095A">
        <w:t>.</w:t>
      </w:r>
    </w:p>
    <w:p w14:paraId="7F7DA4F7" w14:textId="77777777" w:rsidR="00064168" w:rsidRDefault="00064168" w:rsidP="00064168">
      <w:pPr>
        <w:pStyle w:val="Heading2"/>
      </w:pPr>
      <w:r>
        <w:t>How will these changes affect patients</w:t>
      </w:r>
      <w:r w:rsidRPr="001A7FB7">
        <w:t>?</w:t>
      </w:r>
    </w:p>
    <w:p w14:paraId="1A24FA1B" w14:textId="5DA1CE70" w:rsidR="007E244B" w:rsidRDefault="00144B54" w:rsidP="007E244B">
      <w:pPr>
        <w:rPr>
          <w:rFonts w:asciiTheme="minorHAnsi" w:hAnsiTheme="minorHAnsi" w:cstheme="minorBidi"/>
          <w:color w:val="auto"/>
          <w:szCs w:val="22"/>
        </w:rPr>
      </w:pPr>
      <w:r>
        <w:rPr>
          <w:szCs w:val="22"/>
        </w:rPr>
        <w:t xml:space="preserve">People with normal red cell indices will be eligible for MBS funded testing to see whether they carry a gene variant associated with alpha thalassaemia, </w:t>
      </w:r>
      <w:r w:rsidR="00113913">
        <w:rPr>
          <w:szCs w:val="22"/>
        </w:rPr>
        <w:t>in situations where</w:t>
      </w:r>
      <w:r>
        <w:rPr>
          <w:szCs w:val="22"/>
        </w:rPr>
        <w:t xml:space="preserve"> their</w:t>
      </w:r>
      <w:r w:rsidR="006427B2">
        <w:rPr>
          <w:szCs w:val="22"/>
        </w:rPr>
        <w:t xml:space="preserve"> rep</w:t>
      </w:r>
      <w:r w:rsidR="00327691">
        <w:rPr>
          <w:szCs w:val="22"/>
        </w:rPr>
        <w:t xml:space="preserve">roductive partner has </w:t>
      </w:r>
      <w:r w:rsidR="00422158">
        <w:rPr>
          <w:szCs w:val="22"/>
        </w:rPr>
        <w:t xml:space="preserve">alpha thalassaemia and </w:t>
      </w:r>
      <w:r w:rsidR="00327691">
        <w:t xml:space="preserve">a </w:t>
      </w:r>
      <w:r w:rsidR="00327691" w:rsidRPr="00AD3253">
        <w:rPr>
          <w:szCs w:val="22"/>
        </w:rPr>
        <w:t>heterozygous 2-gene deletion</w:t>
      </w:r>
      <w:r>
        <w:rPr>
          <w:szCs w:val="22"/>
        </w:rPr>
        <w:t xml:space="preserve">. </w:t>
      </w:r>
      <w:r w:rsidR="007E244B" w:rsidRPr="007F1CE6">
        <w:rPr>
          <w:szCs w:val="22"/>
        </w:rPr>
        <w:t>This addition to MBS item 734</w:t>
      </w:r>
      <w:r w:rsidR="00CA583E">
        <w:rPr>
          <w:szCs w:val="22"/>
        </w:rPr>
        <w:t>1</w:t>
      </w:r>
      <w:r w:rsidR="007E244B" w:rsidRPr="007F1CE6">
        <w:rPr>
          <w:szCs w:val="22"/>
        </w:rPr>
        <w:t xml:space="preserve">0 captures a new, though small group of people </w:t>
      </w:r>
      <w:r w:rsidR="007E244B">
        <w:rPr>
          <w:szCs w:val="22"/>
        </w:rPr>
        <w:t xml:space="preserve">who </w:t>
      </w:r>
      <w:r w:rsidR="007E244B" w:rsidRPr="007F1CE6">
        <w:rPr>
          <w:szCs w:val="22"/>
        </w:rPr>
        <w:t>were previously ineligible for testing under th</w:t>
      </w:r>
      <w:r w:rsidR="008B7839">
        <w:rPr>
          <w:szCs w:val="22"/>
        </w:rPr>
        <w:t>e</w:t>
      </w:r>
      <w:r w:rsidR="007E244B" w:rsidRPr="007F1CE6">
        <w:rPr>
          <w:szCs w:val="22"/>
        </w:rPr>
        <w:t xml:space="preserve"> item</w:t>
      </w:r>
      <w:r w:rsidR="00113913">
        <w:rPr>
          <w:szCs w:val="22"/>
        </w:rPr>
        <w:t xml:space="preserve"> unless they had abnormal red cell indices (without a concurrent iron deficiency). This change has been made as it is important for all people to be tested </w:t>
      </w:r>
      <w:r w:rsidR="008B7839">
        <w:rPr>
          <w:szCs w:val="22"/>
        </w:rPr>
        <w:t>when</w:t>
      </w:r>
      <w:r w:rsidR="007E244B">
        <w:rPr>
          <w:szCs w:val="22"/>
        </w:rPr>
        <w:t xml:space="preserve"> their </w:t>
      </w:r>
      <w:r w:rsidR="00113913">
        <w:rPr>
          <w:szCs w:val="22"/>
        </w:rPr>
        <w:t xml:space="preserve">reproductive </w:t>
      </w:r>
      <w:r w:rsidR="007E244B" w:rsidRPr="007F1CE6">
        <w:rPr>
          <w:szCs w:val="22"/>
        </w:rPr>
        <w:t>partner</w:t>
      </w:r>
      <w:r w:rsidR="007E244B">
        <w:rPr>
          <w:szCs w:val="22"/>
        </w:rPr>
        <w:t xml:space="preserve"> </w:t>
      </w:r>
      <w:r w:rsidR="008B7839">
        <w:rPr>
          <w:szCs w:val="22"/>
        </w:rPr>
        <w:t xml:space="preserve">has been </w:t>
      </w:r>
      <w:r w:rsidR="007E244B">
        <w:rPr>
          <w:szCs w:val="22"/>
        </w:rPr>
        <w:t>diagnos</w:t>
      </w:r>
      <w:r w:rsidR="008B7839">
        <w:rPr>
          <w:szCs w:val="22"/>
        </w:rPr>
        <w:t>ed with this particular form of alpha thalassaemia</w:t>
      </w:r>
      <w:r w:rsidR="007E244B">
        <w:rPr>
          <w:szCs w:val="22"/>
        </w:rPr>
        <w:t>.</w:t>
      </w:r>
    </w:p>
    <w:p w14:paraId="1D0863CD" w14:textId="1C25827B" w:rsidR="00B777DB" w:rsidRPr="00A079A6" w:rsidRDefault="00CA583E" w:rsidP="00ED5B1E">
      <w:pPr>
        <w:rPr>
          <w:szCs w:val="22"/>
        </w:rPr>
      </w:pPr>
      <w:r>
        <w:rPr>
          <w:szCs w:val="22"/>
        </w:rPr>
        <w:t xml:space="preserve">Previously, </w:t>
      </w:r>
      <w:r w:rsidRPr="007F1CE6">
        <w:rPr>
          <w:szCs w:val="22"/>
        </w:rPr>
        <w:t>the item descriptor</w:t>
      </w:r>
      <w:r w:rsidR="000123B6">
        <w:rPr>
          <w:szCs w:val="22"/>
        </w:rPr>
        <w:t>s for alpha thalassaemia testing of reproductive couples were</w:t>
      </w:r>
      <w:r w:rsidRPr="007F1CE6">
        <w:rPr>
          <w:szCs w:val="22"/>
        </w:rPr>
        <w:t xml:space="preserve"> written assuming female-first testing of reproductive couples</w:t>
      </w:r>
      <w:r w:rsidR="000123B6">
        <w:rPr>
          <w:szCs w:val="22"/>
        </w:rPr>
        <w:t>. A</w:t>
      </w:r>
      <w:r w:rsidR="000123B6" w:rsidRPr="007F1CE6">
        <w:rPr>
          <w:szCs w:val="22"/>
        </w:rPr>
        <w:t xml:space="preserve">n amendment has </w:t>
      </w:r>
      <w:r w:rsidR="000123B6">
        <w:rPr>
          <w:szCs w:val="22"/>
        </w:rPr>
        <w:t xml:space="preserve">now </w:t>
      </w:r>
      <w:r w:rsidR="000123B6" w:rsidRPr="007F1CE6">
        <w:rPr>
          <w:szCs w:val="22"/>
        </w:rPr>
        <w:t xml:space="preserve">been made to items 73410 – 73413 to </w:t>
      </w:r>
      <w:r w:rsidRPr="007F1CE6">
        <w:rPr>
          <w:szCs w:val="22"/>
        </w:rPr>
        <w:t>make th</w:t>
      </w:r>
      <w:r w:rsidR="000123B6" w:rsidRPr="007F1CE6">
        <w:rPr>
          <w:szCs w:val="22"/>
        </w:rPr>
        <w:t>ese</w:t>
      </w:r>
      <w:r w:rsidRPr="007F1CE6">
        <w:rPr>
          <w:szCs w:val="22"/>
        </w:rPr>
        <w:t xml:space="preserve"> item</w:t>
      </w:r>
      <w:r w:rsidR="000123B6" w:rsidRPr="007F1CE6">
        <w:rPr>
          <w:szCs w:val="22"/>
        </w:rPr>
        <w:t>s</w:t>
      </w:r>
      <w:r w:rsidRPr="007F1CE6">
        <w:rPr>
          <w:szCs w:val="22"/>
        </w:rPr>
        <w:t xml:space="preserve"> support </w:t>
      </w:r>
      <w:r w:rsidR="000123B6">
        <w:rPr>
          <w:szCs w:val="22"/>
        </w:rPr>
        <w:t xml:space="preserve">the testing of reproductive partners in </w:t>
      </w:r>
      <w:r w:rsidRPr="007F1CE6">
        <w:rPr>
          <w:szCs w:val="22"/>
        </w:rPr>
        <w:t>either order</w:t>
      </w:r>
      <w:r w:rsidR="000123B6" w:rsidRPr="007F1CE6">
        <w:rPr>
          <w:szCs w:val="22"/>
        </w:rPr>
        <w:t>.</w:t>
      </w:r>
    </w:p>
    <w:p w14:paraId="5BD9BE80" w14:textId="77777777" w:rsidR="00064168" w:rsidRDefault="00064168" w:rsidP="00064168">
      <w:pPr>
        <w:pStyle w:val="Heading2"/>
      </w:pPr>
      <w:r w:rsidRPr="001A7FB7">
        <w:lastRenderedPageBreak/>
        <w:t>Who was consulted on the changes?</w:t>
      </w:r>
    </w:p>
    <w:p w14:paraId="4B6E1455" w14:textId="64394C7D" w:rsidR="00064168" w:rsidRPr="00867595" w:rsidRDefault="00157C2F" w:rsidP="00064168">
      <w:pPr>
        <w:rPr>
          <w:szCs w:val="22"/>
        </w:rPr>
      </w:pPr>
      <w:r>
        <w:rPr>
          <w:szCs w:val="22"/>
        </w:rPr>
        <w:t>The</w:t>
      </w:r>
      <w:r w:rsidR="00566664">
        <w:rPr>
          <w:szCs w:val="22"/>
        </w:rPr>
        <w:t xml:space="preserve"> Royal College of Pathologists of Australasia has been involved throughout the </w:t>
      </w:r>
      <w:r w:rsidR="007B1B54">
        <w:rPr>
          <w:szCs w:val="22"/>
        </w:rPr>
        <w:t xml:space="preserve">process of consideration </w:t>
      </w:r>
      <w:r w:rsidR="00D00F74">
        <w:rPr>
          <w:szCs w:val="22"/>
        </w:rPr>
        <w:t xml:space="preserve">of </w:t>
      </w:r>
      <w:r w:rsidR="008D377B">
        <w:rPr>
          <w:szCs w:val="22"/>
        </w:rPr>
        <w:t xml:space="preserve">the </w:t>
      </w:r>
      <w:r w:rsidR="00D00F74">
        <w:rPr>
          <w:szCs w:val="22"/>
        </w:rPr>
        <w:t>amendments to these items</w:t>
      </w:r>
      <w:r w:rsidR="008D377B">
        <w:rPr>
          <w:szCs w:val="22"/>
        </w:rPr>
        <w:t>.</w:t>
      </w:r>
    </w:p>
    <w:p w14:paraId="32E82B19" w14:textId="77777777" w:rsidR="00064168" w:rsidRDefault="00064168" w:rsidP="00064168">
      <w:pPr>
        <w:pStyle w:val="Heading2"/>
      </w:pPr>
      <w:r w:rsidRPr="001A7FB7">
        <w:t>How will the changes be monitored</w:t>
      </w:r>
      <w:r>
        <w:t xml:space="preserve"> and reviewed</w:t>
      </w:r>
      <w:r w:rsidRPr="001A7FB7">
        <w:t>?</w:t>
      </w:r>
    </w:p>
    <w:p w14:paraId="3C524D15" w14:textId="266407CB" w:rsidR="00064168" w:rsidRDefault="000D0542" w:rsidP="000D0542">
      <w:r w:rsidRPr="00B7095A">
        <w:t>All MBS items are subject to compliance processes and activities, including random and targeted audits which may require a provider to submit evidence about the services claimed.</w:t>
      </w:r>
    </w:p>
    <w:p w14:paraId="3C63E237" w14:textId="77777777" w:rsidR="00064168" w:rsidRDefault="00064168" w:rsidP="00064168">
      <w:pPr>
        <w:pStyle w:val="Heading2"/>
      </w:pPr>
      <w:r>
        <w:t>Where can I find more information?</w:t>
      </w:r>
    </w:p>
    <w:p w14:paraId="7ACEE0DD" w14:textId="77777777" w:rsidR="007B6D17" w:rsidRPr="00867595" w:rsidRDefault="007B6D17" w:rsidP="007B6D17">
      <w:pPr>
        <w:rPr>
          <w:szCs w:val="22"/>
        </w:rPr>
      </w:pPr>
      <w:r w:rsidRPr="00867595">
        <w:rPr>
          <w:szCs w:val="22"/>
        </w:rPr>
        <w:t xml:space="preserve">The full item descriptor(s) and information on other changes to the MBS can be found on the MBS Online website at </w:t>
      </w:r>
      <w:hyperlink r:id="rId10"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1" w:history="1">
        <w:r w:rsidRPr="00867595">
          <w:rPr>
            <w:rStyle w:val="Hyperlink"/>
            <w:szCs w:val="22"/>
          </w:rPr>
          <w:t>MBS Online</w:t>
        </w:r>
      </w:hyperlink>
      <w:r w:rsidRPr="00867595">
        <w:rPr>
          <w:szCs w:val="22"/>
        </w:rPr>
        <w:t xml:space="preserve"> and clicking ‘Subscribe’. </w:t>
      </w:r>
    </w:p>
    <w:p w14:paraId="6D9568D5" w14:textId="77777777" w:rsidR="007B6D17" w:rsidRDefault="007B6D17" w:rsidP="007B6D17">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2" w:history="1">
        <w:r w:rsidRPr="00867595">
          <w:rPr>
            <w:rStyle w:val="Hyperlink"/>
            <w:szCs w:val="22"/>
          </w:rPr>
          <w:t>askMBS@health.gov.au</w:t>
        </w:r>
      </w:hyperlink>
      <w:r w:rsidRPr="00867595">
        <w:rPr>
          <w:szCs w:val="22"/>
        </w:rPr>
        <w:t>.</w:t>
      </w:r>
    </w:p>
    <w:p w14:paraId="0112681A" w14:textId="77777777" w:rsidR="00890037" w:rsidRDefault="00890037" w:rsidP="00890037">
      <w:pPr>
        <w:rPr>
          <w:color w:val="auto"/>
          <w:sz w:val="20"/>
          <w:szCs w:val="21"/>
        </w:rPr>
      </w:pPr>
      <w:r>
        <w:t xml:space="preserve">Private health insurance information on the product tier arrangements is available at </w:t>
      </w:r>
      <w:hyperlink r:id="rId13" w:history="1">
        <w:r>
          <w:rPr>
            <w:rStyle w:val="Hyperlink"/>
          </w:rPr>
          <w:t>www.privatehealth.gov.au</w:t>
        </w:r>
      </w:hyperlink>
      <w:r>
        <w:t xml:space="preserve">. Detailed information on the MBS item listing within clinical categories is available on the </w:t>
      </w:r>
      <w:hyperlink r:id="rId14"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5" w:history="1">
        <w:r w:rsidRPr="005E2D76">
          <w:rPr>
            <w:rStyle w:val="Hyperlink"/>
            <w:iCs/>
          </w:rPr>
          <w:t>Federal Register of Legislation</w:t>
        </w:r>
      </w:hyperlink>
      <w:r>
        <w:t xml:space="preserve">. If you have a query in relation to private health insurance, you should email </w:t>
      </w:r>
      <w:hyperlink r:id="rId16" w:history="1">
        <w:r>
          <w:rPr>
            <w:rStyle w:val="Hyperlink"/>
          </w:rPr>
          <w:t>PHI@health.gov.au</w:t>
        </w:r>
      </w:hyperlink>
      <w:r>
        <w:t>.</w:t>
      </w:r>
    </w:p>
    <w:p w14:paraId="3A305B14" w14:textId="77777777" w:rsidR="00890037" w:rsidRPr="00867595" w:rsidRDefault="00890037" w:rsidP="00890037">
      <w:pPr>
        <w:rPr>
          <w:szCs w:val="22"/>
        </w:rPr>
      </w:pPr>
      <w:r w:rsidRPr="00867595">
        <w:rPr>
          <w:szCs w:val="22"/>
        </w:rPr>
        <w:t>Subscribe to ‘</w:t>
      </w:r>
      <w:hyperlink r:id="rId17" w:history="1">
        <w:r w:rsidRPr="00867595">
          <w:rPr>
            <w:rStyle w:val="Hyperlink"/>
            <w:szCs w:val="22"/>
          </w:rPr>
          <w:t>News for Health Professionals</w:t>
        </w:r>
      </w:hyperlink>
      <w:r w:rsidRPr="00867595">
        <w:rPr>
          <w:szCs w:val="22"/>
        </w:rPr>
        <w:t>’ on the Services Australia website and you will receive regular news highlights.</w:t>
      </w:r>
    </w:p>
    <w:p w14:paraId="6C22D97E" w14:textId="77777777" w:rsidR="00890037" w:rsidRDefault="00890037" w:rsidP="00890037">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FFEAA2B" w14:textId="77777777" w:rsidR="00890037" w:rsidRDefault="00890037" w:rsidP="00890037">
      <w:pPr>
        <w:rPr>
          <w:szCs w:val="22"/>
        </w:rPr>
      </w:pPr>
      <w:r w:rsidRPr="00867595">
        <w:rPr>
          <w:szCs w:val="22"/>
        </w:rPr>
        <w:t xml:space="preserve">The data file for software vendors when available can be accessed via the </w:t>
      </w:r>
      <w:hyperlink r:id="rId18" w:history="1">
        <w:r w:rsidRPr="00867595">
          <w:rPr>
            <w:rStyle w:val="Hyperlink"/>
            <w:szCs w:val="22"/>
          </w:rPr>
          <w:t>Downloads</w:t>
        </w:r>
      </w:hyperlink>
      <w:r w:rsidRPr="00867595">
        <w:rPr>
          <w:szCs w:val="22"/>
        </w:rPr>
        <w:t xml:space="preserve"> page.</w:t>
      </w:r>
    </w:p>
    <w:p w14:paraId="548C6280" w14:textId="77777777" w:rsidR="00B90F3F" w:rsidRDefault="00B90F3F" w:rsidP="00064168">
      <w:pPr>
        <w:rPr>
          <w:szCs w:val="22"/>
        </w:rPr>
      </w:pPr>
    </w:p>
    <w:p w14:paraId="5DE119DC" w14:textId="77777777" w:rsidR="00B90F3F" w:rsidRDefault="00B90F3F" w:rsidP="00064168">
      <w:pPr>
        <w:rPr>
          <w:szCs w:val="22"/>
        </w:rPr>
      </w:pPr>
    </w:p>
    <w:p w14:paraId="5542CA49" w14:textId="77777777" w:rsidR="00B90F3F" w:rsidRDefault="00B90F3F" w:rsidP="00064168">
      <w:pPr>
        <w:rPr>
          <w:szCs w:val="22"/>
        </w:rPr>
      </w:pPr>
    </w:p>
    <w:p w14:paraId="724A8BB6" w14:textId="77777777" w:rsidR="00B90F3F" w:rsidRDefault="00B90F3F" w:rsidP="00064168">
      <w:pPr>
        <w:rPr>
          <w:szCs w:val="22"/>
        </w:rPr>
      </w:pPr>
    </w:p>
    <w:p w14:paraId="6A9E4B0E" w14:textId="77777777" w:rsidR="00B90F3F" w:rsidRDefault="00B90F3F" w:rsidP="00064168">
      <w:pPr>
        <w:rPr>
          <w:szCs w:val="22"/>
        </w:rPr>
      </w:pPr>
    </w:p>
    <w:p w14:paraId="3331A03E" w14:textId="77777777" w:rsidR="00B90F3F" w:rsidRPr="00867595" w:rsidRDefault="00B90F3F" w:rsidP="00064168">
      <w:pPr>
        <w:rPr>
          <w:szCs w:val="22"/>
        </w:rPr>
      </w:pPr>
    </w:p>
    <w:p w14:paraId="6D6EB19D" w14:textId="15E5F11C" w:rsidR="00BE3ED5" w:rsidRDefault="00BE3ED5" w:rsidP="00BE3ED5">
      <w:pPr>
        <w:pStyle w:val="Heading2"/>
      </w:pPr>
      <w:r w:rsidRPr="007A32E7">
        <w:lastRenderedPageBreak/>
        <w:t xml:space="preserve">Amended item descriptors (to take effect </w:t>
      </w:r>
      <w:r w:rsidR="00A079A6">
        <w:t>1</w:t>
      </w:r>
      <w:r w:rsidRPr="007A32E7">
        <w:t xml:space="preserve"> </w:t>
      </w:r>
      <w:r w:rsidR="00ED36B0">
        <w:t>July</w:t>
      </w:r>
      <w:r w:rsidR="00ED36B0" w:rsidRPr="007A32E7">
        <w:t xml:space="preserve"> </w:t>
      </w:r>
      <w:r w:rsidRPr="007A32E7">
        <w:t>20</w:t>
      </w:r>
      <w:r w:rsidR="00A079A6">
        <w:t>2</w:t>
      </w:r>
      <w:r w:rsidR="004A3333">
        <w:t>4</w:t>
      </w:r>
      <w:r w:rsidRPr="007A32E7">
        <w:t>)</w:t>
      </w:r>
      <w:r w:rsidR="00F33178">
        <w:t xml:space="preserve"> </w:t>
      </w:r>
    </w:p>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7CF2A96A" w:rsidR="00BE3ED5" w:rsidRDefault="008437CA" w:rsidP="000F29A4">
            <w:pPr>
              <w:rPr>
                <w:b w:val="0"/>
                <w:bCs w:val="0"/>
                <w:lang w:eastAsia="en-AU"/>
              </w:rPr>
            </w:pPr>
            <w:bookmarkStart w:id="4" w:name="_Hlk118987208"/>
            <w:r>
              <w:rPr>
                <w:lang w:eastAsia="en-AU"/>
              </w:rPr>
              <w:t>Category</w:t>
            </w:r>
            <w:r w:rsidR="006D4461">
              <w:rPr>
                <w:lang w:eastAsia="en-AU"/>
              </w:rPr>
              <w:t xml:space="preserve"> 6 – Pathology Services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6E772225" w:rsidR="00BE3ED5" w:rsidRDefault="008437CA" w:rsidP="000F29A4">
            <w:pPr>
              <w:rPr>
                <w:b w:val="0"/>
                <w:bCs w:val="0"/>
                <w:lang w:eastAsia="en-AU"/>
              </w:rPr>
            </w:pPr>
            <w:r>
              <w:rPr>
                <w:lang w:eastAsia="en-AU"/>
              </w:rPr>
              <w:t>Group</w:t>
            </w:r>
            <w:r w:rsidR="006D4461">
              <w:rPr>
                <w:lang w:eastAsia="en-AU"/>
              </w:rPr>
              <w:t xml:space="preserve"> P</w:t>
            </w:r>
            <w:r w:rsidR="004A3333">
              <w:rPr>
                <w:lang w:eastAsia="en-AU"/>
              </w:rPr>
              <w:t>7</w:t>
            </w:r>
            <w:r w:rsidR="006D4461">
              <w:rPr>
                <w:lang w:eastAsia="en-AU"/>
              </w:rPr>
              <w:t xml:space="preserve"> - </w:t>
            </w:r>
            <w:r w:rsidR="004A3333">
              <w:rPr>
                <w:lang w:eastAsia="en-AU"/>
              </w:rPr>
              <w:t>Genetics</w:t>
            </w:r>
          </w:p>
        </w:tc>
      </w:tr>
      <w:tr w:rsidR="00411160" w14:paraId="25FF7AAD" w14:textId="77777777" w:rsidTr="00935989">
        <w:tc>
          <w:tcPr>
            <w:cnfStyle w:val="001000000000" w:firstRow="0" w:lastRow="0" w:firstColumn="1" w:lastColumn="0" w:oddVBand="0" w:evenVBand="0" w:oddHBand="0" w:evenHBand="0" w:firstRowFirstColumn="0" w:firstRowLastColumn="0" w:lastRowFirstColumn="0" w:lastRowLastColumn="0"/>
            <w:tcW w:w="9060" w:type="dxa"/>
            <w:vAlign w:val="bottom"/>
            <w:hideMark/>
          </w:tcPr>
          <w:p w14:paraId="65044848" w14:textId="77777777" w:rsidR="00167BB1" w:rsidRPr="00167BB1" w:rsidRDefault="00167BB1" w:rsidP="00411160">
            <w:pPr>
              <w:pStyle w:val="NormalWeb"/>
              <w:shd w:val="clear" w:color="auto" w:fill="FBFBFB"/>
              <w:spacing w:before="0" w:beforeAutospacing="0" w:after="0" w:afterAutospacing="0" w:line="360" w:lineRule="auto"/>
              <w:jc w:val="both"/>
              <w:rPr>
                <w:rFonts w:ascii="Arial" w:hAnsi="Arial" w:cs="Arial"/>
                <w:sz w:val="22"/>
              </w:rPr>
            </w:pPr>
            <w:r w:rsidRPr="00167BB1">
              <w:rPr>
                <w:rFonts w:ascii="Arial" w:hAnsi="Arial" w:cs="Arial"/>
                <w:sz w:val="22"/>
              </w:rPr>
              <w:t>73410</w:t>
            </w:r>
          </w:p>
          <w:p w14:paraId="08ACE160" w14:textId="0B9EC550" w:rsidR="00411160" w:rsidRPr="00411160" w:rsidRDefault="00411160" w:rsidP="00411160">
            <w:pPr>
              <w:pStyle w:val="NormalWeb"/>
              <w:shd w:val="clear" w:color="auto" w:fill="FBFBFB"/>
              <w:spacing w:before="0" w:beforeAutospacing="0" w:after="0" w:afterAutospacing="0" w:line="360" w:lineRule="auto"/>
              <w:jc w:val="both"/>
              <w:rPr>
                <w:rFonts w:ascii="Arial" w:hAnsi="Arial" w:cs="Arial"/>
                <w:b w:val="0"/>
                <w:bCs w:val="0"/>
                <w:sz w:val="22"/>
              </w:rPr>
            </w:pPr>
            <w:r w:rsidRPr="00411160">
              <w:rPr>
                <w:rFonts w:ascii="Arial" w:hAnsi="Arial" w:cs="Arial"/>
                <w:b w:val="0"/>
                <w:bCs w:val="0"/>
                <w:sz w:val="22"/>
              </w:rPr>
              <w:t>Deletion testing of HBA1 and HBA2 for:</w:t>
            </w:r>
          </w:p>
          <w:p w14:paraId="6B4EE615" w14:textId="77777777" w:rsidR="00411160" w:rsidRPr="00411160" w:rsidRDefault="00411160" w:rsidP="00411160">
            <w:pPr>
              <w:pStyle w:val="NormalWeb"/>
              <w:shd w:val="clear" w:color="auto" w:fill="FBFBFB"/>
              <w:spacing w:before="0" w:beforeAutospacing="0" w:after="0" w:afterAutospacing="0" w:line="360" w:lineRule="auto"/>
              <w:jc w:val="both"/>
              <w:rPr>
                <w:rFonts w:ascii="Arial" w:hAnsi="Arial" w:cs="Arial"/>
                <w:b w:val="0"/>
                <w:bCs w:val="0"/>
                <w:sz w:val="22"/>
              </w:rPr>
            </w:pPr>
            <w:r w:rsidRPr="00411160">
              <w:rPr>
                <w:rFonts w:ascii="Arial" w:hAnsi="Arial" w:cs="Arial"/>
                <w:b w:val="0"/>
                <w:bCs w:val="0"/>
                <w:sz w:val="22"/>
              </w:rPr>
              <w:t>(a) the diagnosis of alpha thalassaemia in a patient of reproductive age:</w:t>
            </w:r>
          </w:p>
          <w:p w14:paraId="4CDD9509" w14:textId="77777777" w:rsidR="00411160" w:rsidRPr="00411160" w:rsidRDefault="00411160" w:rsidP="00411160">
            <w:pPr>
              <w:pStyle w:val="NormalWeb"/>
              <w:shd w:val="clear" w:color="auto" w:fill="FBFBFB"/>
              <w:spacing w:before="0" w:beforeAutospacing="0" w:after="0" w:afterAutospacing="0" w:line="360" w:lineRule="auto"/>
              <w:ind w:left="720"/>
              <w:jc w:val="both"/>
              <w:rPr>
                <w:rFonts w:ascii="Arial" w:hAnsi="Arial" w:cs="Arial"/>
                <w:b w:val="0"/>
                <w:bCs w:val="0"/>
                <w:sz w:val="22"/>
              </w:rPr>
            </w:pPr>
            <w:r w:rsidRPr="00411160">
              <w:rPr>
                <w:rFonts w:ascii="Arial" w:hAnsi="Arial" w:cs="Arial"/>
                <w:b w:val="0"/>
                <w:bCs w:val="0"/>
                <w:sz w:val="22"/>
              </w:rPr>
              <w:t>(i) who has abnormal red cell indices; and</w:t>
            </w:r>
          </w:p>
          <w:p w14:paraId="6BAB5934" w14:textId="77777777" w:rsidR="00411160" w:rsidRPr="00411160" w:rsidRDefault="00411160" w:rsidP="00411160">
            <w:pPr>
              <w:pStyle w:val="NormalWeb"/>
              <w:shd w:val="clear" w:color="auto" w:fill="FBFBFB"/>
              <w:spacing w:before="0" w:beforeAutospacing="0" w:after="0" w:afterAutospacing="0" w:line="360" w:lineRule="auto"/>
              <w:ind w:left="720"/>
              <w:jc w:val="both"/>
              <w:rPr>
                <w:rFonts w:ascii="Arial" w:hAnsi="Arial" w:cs="Arial"/>
                <w:b w:val="0"/>
                <w:bCs w:val="0"/>
                <w:sz w:val="22"/>
              </w:rPr>
            </w:pPr>
            <w:r w:rsidRPr="00411160">
              <w:rPr>
                <w:rFonts w:ascii="Arial" w:hAnsi="Arial" w:cs="Arial"/>
                <w:b w:val="0"/>
                <w:bCs w:val="0"/>
                <w:sz w:val="22"/>
              </w:rPr>
              <w:t>(ii) for whom thalassaemia screening was suggestive of thalassaemia; and</w:t>
            </w:r>
          </w:p>
          <w:p w14:paraId="2789FF0D" w14:textId="77777777" w:rsidR="00411160" w:rsidRPr="00411160" w:rsidRDefault="00411160" w:rsidP="00411160">
            <w:pPr>
              <w:pStyle w:val="NormalWeb"/>
              <w:shd w:val="clear" w:color="auto" w:fill="FBFBFB"/>
              <w:spacing w:before="0" w:beforeAutospacing="0" w:after="0" w:afterAutospacing="0" w:line="360" w:lineRule="auto"/>
              <w:ind w:left="720"/>
              <w:jc w:val="both"/>
              <w:rPr>
                <w:rFonts w:ascii="Arial" w:hAnsi="Arial" w:cs="Arial"/>
                <w:b w:val="0"/>
                <w:bCs w:val="0"/>
                <w:sz w:val="22"/>
              </w:rPr>
            </w:pPr>
            <w:r w:rsidRPr="00411160">
              <w:rPr>
                <w:rFonts w:ascii="Arial" w:hAnsi="Arial" w:cs="Arial"/>
                <w:b w:val="0"/>
                <w:bCs w:val="0"/>
                <w:sz w:val="22"/>
              </w:rPr>
              <w:t>(iii) who does not have a concurrent iron deficiency (or who, irrespective of iron status, is pregnant); and</w:t>
            </w:r>
          </w:p>
          <w:p w14:paraId="740A6392" w14:textId="77777777" w:rsidR="00411160" w:rsidRPr="00411160" w:rsidRDefault="00411160" w:rsidP="00411160">
            <w:pPr>
              <w:pStyle w:val="NormalWeb"/>
              <w:shd w:val="clear" w:color="auto" w:fill="FBFBFB"/>
              <w:spacing w:before="0" w:beforeAutospacing="0" w:after="0" w:afterAutospacing="0" w:line="360" w:lineRule="auto"/>
              <w:ind w:left="720"/>
              <w:jc w:val="both"/>
              <w:rPr>
                <w:rFonts w:ascii="Arial" w:hAnsi="Arial" w:cs="Arial"/>
                <w:b w:val="0"/>
                <w:bCs w:val="0"/>
                <w:sz w:val="22"/>
              </w:rPr>
            </w:pPr>
            <w:r w:rsidRPr="00411160">
              <w:rPr>
                <w:rFonts w:ascii="Arial" w:hAnsi="Arial" w:cs="Arial"/>
                <w:b w:val="0"/>
                <w:bCs w:val="0"/>
                <w:sz w:val="22"/>
              </w:rPr>
              <w:t>(iv) who has no historic normal cell indices; or</w:t>
            </w:r>
          </w:p>
          <w:p w14:paraId="4D9ACDAD" w14:textId="77777777" w:rsidR="00411160" w:rsidRPr="00411160" w:rsidRDefault="00411160" w:rsidP="00411160">
            <w:pPr>
              <w:pStyle w:val="NormalWeb"/>
              <w:shd w:val="clear" w:color="auto" w:fill="FBFBFB"/>
              <w:spacing w:before="0" w:beforeAutospacing="0" w:after="0" w:afterAutospacing="0" w:line="360" w:lineRule="auto"/>
              <w:jc w:val="both"/>
              <w:rPr>
                <w:rFonts w:ascii="Arial" w:hAnsi="Arial" w:cs="Arial"/>
                <w:b w:val="0"/>
                <w:bCs w:val="0"/>
                <w:sz w:val="22"/>
              </w:rPr>
            </w:pPr>
            <w:r w:rsidRPr="00411160">
              <w:rPr>
                <w:rFonts w:ascii="Arial" w:hAnsi="Arial" w:cs="Arial"/>
                <w:b w:val="0"/>
                <w:bCs w:val="0"/>
                <w:sz w:val="22"/>
              </w:rPr>
              <w:t>(b) the determination of carrier status in a person:</w:t>
            </w:r>
          </w:p>
          <w:p w14:paraId="46D14694" w14:textId="2C127C2D" w:rsidR="00411160" w:rsidRPr="00411160" w:rsidRDefault="00411160" w:rsidP="00411160">
            <w:pPr>
              <w:pStyle w:val="NormalWeb"/>
              <w:shd w:val="clear" w:color="auto" w:fill="FBFBFB"/>
              <w:spacing w:before="0" w:beforeAutospacing="0" w:after="0" w:afterAutospacing="0" w:line="360" w:lineRule="auto"/>
              <w:ind w:left="720"/>
              <w:jc w:val="both"/>
              <w:rPr>
                <w:rFonts w:ascii="Arial" w:hAnsi="Arial" w:cs="Arial"/>
                <w:b w:val="0"/>
                <w:bCs w:val="0"/>
                <w:sz w:val="22"/>
              </w:rPr>
            </w:pPr>
            <w:r w:rsidRPr="00411160">
              <w:rPr>
                <w:rFonts w:ascii="Arial" w:hAnsi="Arial" w:cs="Arial"/>
                <w:b w:val="0"/>
                <w:bCs w:val="0"/>
                <w:sz w:val="22"/>
              </w:rPr>
              <w:t>(i) who is a reproductive partner of a person with alpha thalassaemia; and</w:t>
            </w:r>
          </w:p>
          <w:p w14:paraId="658D88B6" w14:textId="77777777" w:rsidR="00411160" w:rsidRPr="00411160" w:rsidRDefault="00411160" w:rsidP="00411160">
            <w:pPr>
              <w:pStyle w:val="NormalWeb"/>
              <w:shd w:val="clear" w:color="auto" w:fill="FBFBFB"/>
              <w:spacing w:before="0" w:beforeAutospacing="0" w:after="0" w:afterAutospacing="0" w:line="360" w:lineRule="auto"/>
              <w:ind w:left="720"/>
              <w:jc w:val="both"/>
              <w:rPr>
                <w:rFonts w:ascii="Arial" w:hAnsi="Arial" w:cs="Arial"/>
                <w:b w:val="0"/>
                <w:bCs w:val="0"/>
                <w:sz w:val="22"/>
              </w:rPr>
            </w:pPr>
            <w:r w:rsidRPr="00411160">
              <w:rPr>
                <w:rFonts w:ascii="Arial" w:hAnsi="Arial" w:cs="Arial"/>
                <w:b w:val="0"/>
                <w:bCs w:val="0"/>
                <w:sz w:val="22"/>
              </w:rPr>
              <w:t>(ii) who has abnormal red cell indices; and</w:t>
            </w:r>
          </w:p>
          <w:p w14:paraId="01C28C02" w14:textId="77777777" w:rsidR="00411160" w:rsidRPr="00411160" w:rsidRDefault="00411160" w:rsidP="00411160">
            <w:pPr>
              <w:pStyle w:val="NormalWeb"/>
              <w:shd w:val="clear" w:color="auto" w:fill="FBFBFB"/>
              <w:spacing w:before="0" w:beforeAutospacing="0" w:after="0" w:afterAutospacing="0" w:line="360" w:lineRule="auto"/>
              <w:ind w:left="720"/>
              <w:jc w:val="both"/>
              <w:rPr>
                <w:rFonts w:ascii="Arial" w:hAnsi="Arial" w:cs="Arial"/>
                <w:b w:val="0"/>
                <w:bCs w:val="0"/>
                <w:sz w:val="22"/>
              </w:rPr>
            </w:pPr>
            <w:r w:rsidRPr="00411160">
              <w:rPr>
                <w:rFonts w:ascii="Arial" w:hAnsi="Arial" w:cs="Arial"/>
                <w:b w:val="0"/>
                <w:bCs w:val="0"/>
                <w:sz w:val="22"/>
              </w:rPr>
              <w:t>(iii) who does not have a concurrent iron deficiency; or</w:t>
            </w:r>
          </w:p>
          <w:p w14:paraId="1F81CCB2" w14:textId="77777777" w:rsidR="00411160" w:rsidRPr="00422158" w:rsidRDefault="00411160" w:rsidP="00411160">
            <w:pPr>
              <w:pStyle w:val="NormalWeb"/>
              <w:shd w:val="clear" w:color="auto" w:fill="FBFBFB"/>
              <w:spacing w:before="0" w:beforeAutospacing="0" w:after="0" w:afterAutospacing="0" w:line="360" w:lineRule="auto"/>
              <w:jc w:val="both"/>
              <w:rPr>
                <w:rFonts w:ascii="Arial" w:hAnsi="Arial" w:cs="Arial"/>
                <w:b w:val="0"/>
                <w:bCs w:val="0"/>
                <w:color w:val="auto"/>
                <w:sz w:val="22"/>
              </w:rPr>
            </w:pPr>
            <w:r w:rsidRPr="00422158">
              <w:rPr>
                <w:rFonts w:ascii="Arial" w:hAnsi="Arial" w:cs="Arial"/>
                <w:color w:val="auto"/>
                <w:sz w:val="22"/>
              </w:rPr>
              <w:t>(c) the determination of carrier status in a person:</w:t>
            </w:r>
          </w:p>
          <w:p w14:paraId="51968356" w14:textId="77777777" w:rsidR="00411160" w:rsidRPr="00422158" w:rsidRDefault="00411160" w:rsidP="00411160">
            <w:pPr>
              <w:pStyle w:val="NormalWeb"/>
              <w:shd w:val="clear" w:color="auto" w:fill="FBFBFB"/>
              <w:spacing w:before="0" w:beforeAutospacing="0" w:after="0" w:afterAutospacing="0" w:line="360" w:lineRule="auto"/>
              <w:ind w:left="720"/>
              <w:jc w:val="both"/>
              <w:rPr>
                <w:rFonts w:ascii="Arial" w:hAnsi="Arial" w:cs="Arial"/>
                <w:b w:val="0"/>
                <w:bCs w:val="0"/>
                <w:color w:val="auto"/>
                <w:sz w:val="22"/>
              </w:rPr>
            </w:pPr>
            <w:r w:rsidRPr="00422158">
              <w:rPr>
                <w:rFonts w:ascii="Arial" w:hAnsi="Arial" w:cs="Arial"/>
                <w:color w:val="auto"/>
                <w:sz w:val="22"/>
              </w:rPr>
              <w:t>(i) who is a reproductive partner of a person with alpha thalassemia and heterozygous 2-gene deletion; and</w:t>
            </w:r>
          </w:p>
          <w:p w14:paraId="16394D57" w14:textId="77777777" w:rsidR="00411160" w:rsidRPr="00422158" w:rsidRDefault="00411160" w:rsidP="00411160">
            <w:pPr>
              <w:pStyle w:val="NormalWeb"/>
              <w:shd w:val="clear" w:color="auto" w:fill="FBFBFB"/>
              <w:spacing w:before="0" w:beforeAutospacing="0" w:after="0" w:afterAutospacing="0" w:line="360" w:lineRule="auto"/>
              <w:ind w:left="720"/>
              <w:jc w:val="both"/>
              <w:rPr>
                <w:rFonts w:ascii="Arial" w:hAnsi="Arial" w:cs="Arial"/>
                <w:b w:val="0"/>
                <w:bCs w:val="0"/>
                <w:color w:val="auto"/>
                <w:sz w:val="22"/>
              </w:rPr>
            </w:pPr>
            <w:r w:rsidRPr="00422158">
              <w:rPr>
                <w:rFonts w:ascii="Arial" w:hAnsi="Arial" w:cs="Arial"/>
                <w:color w:val="auto"/>
                <w:sz w:val="22"/>
              </w:rPr>
              <w:t>(ii) who has normal red cell indices</w:t>
            </w:r>
          </w:p>
          <w:p w14:paraId="2F58C6F1" w14:textId="77777777" w:rsidR="00411160" w:rsidRPr="00411160" w:rsidRDefault="00411160" w:rsidP="00411160">
            <w:pPr>
              <w:tabs>
                <w:tab w:val="left" w:pos="-6543"/>
                <w:tab w:val="left" w:pos="-6260"/>
                <w:tab w:val="right" w:pos="970"/>
              </w:tabs>
              <w:autoSpaceDE w:val="0"/>
              <w:autoSpaceDN w:val="0"/>
              <w:adjustRightInd w:val="0"/>
              <w:spacing w:after="0" w:line="240" w:lineRule="auto"/>
              <w:ind w:left="828" w:hanging="284"/>
              <w:rPr>
                <w:rFonts w:cs="Arial"/>
                <w:b w:val="0"/>
                <w:bCs w:val="0"/>
                <w:sz w:val="20"/>
                <w:szCs w:val="20"/>
              </w:rPr>
            </w:pPr>
          </w:p>
          <w:p w14:paraId="7BD4D833" w14:textId="77777777" w:rsidR="00411160" w:rsidRDefault="00411160" w:rsidP="00411160">
            <w:pPr>
              <w:pStyle w:val="NormalWeb"/>
              <w:shd w:val="clear" w:color="auto" w:fill="FBFBFB"/>
              <w:spacing w:before="0" w:beforeAutospacing="0" w:after="0" w:afterAutospacing="0" w:line="360" w:lineRule="auto"/>
              <w:jc w:val="both"/>
              <w:rPr>
                <w:rFonts w:ascii="Arial" w:hAnsi="Arial" w:cs="Arial"/>
                <w:sz w:val="22"/>
              </w:rPr>
            </w:pPr>
            <w:r w:rsidRPr="00411160">
              <w:rPr>
                <w:rFonts w:ascii="Arial" w:hAnsi="Arial" w:cs="Arial"/>
                <w:b w:val="0"/>
                <w:bCs w:val="0"/>
                <w:sz w:val="22"/>
              </w:rPr>
              <w:t>(See para PN.7.5 of explanatory notes to this Category)</w:t>
            </w:r>
          </w:p>
          <w:p w14:paraId="6EE86C40" w14:textId="77777777" w:rsidR="00C728F3" w:rsidRDefault="00C728F3" w:rsidP="00411160">
            <w:pPr>
              <w:pStyle w:val="NormalWeb"/>
              <w:shd w:val="clear" w:color="auto" w:fill="FBFBFB"/>
              <w:spacing w:before="0" w:beforeAutospacing="0" w:after="0" w:afterAutospacing="0" w:line="360" w:lineRule="auto"/>
              <w:jc w:val="both"/>
              <w:rPr>
                <w:rFonts w:ascii="Arial" w:hAnsi="Arial" w:cs="Arial"/>
                <w:sz w:val="22"/>
              </w:rPr>
            </w:pPr>
          </w:p>
          <w:p w14:paraId="6E789C0D" w14:textId="4ACBE782" w:rsidR="00F33178" w:rsidRPr="00C728F3" w:rsidRDefault="00652568" w:rsidP="00411160">
            <w:pPr>
              <w:pStyle w:val="NormalWeb"/>
              <w:shd w:val="clear" w:color="auto" w:fill="FBFBFB"/>
              <w:spacing w:before="0" w:beforeAutospacing="0" w:after="0" w:afterAutospacing="0" w:line="360" w:lineRule="auto"/>
              <w:jc w:val="both"/>
              <w:rPr>
                <w:rFonts w:ascii="Arial" w:hAnsi="Arial" w:cs="Arial"/>
                <w:b w:val="0"/>
                <w:bCs w:val="0"/>
                <w:sz w:val="22"/>
                <w:szCs w:val="22"/>
              </w:rPr>
            </w:pPr>
            <w:r>
              <w:rPr>
                <w:rFonts w:ascii="Arial" w:hAnsi="Arial" w:cs="Arial"/>
                <w:b w:val="0"/>
                <w:bCs w:val="0"/>
                <w:color w:val="222222"/>
                <w:sz w:val="22"/>
                <w:szCs w:val="22"/>
                <w:shd w:val="clear" w:color="auto" w:fill="FBFBFB"/>
              </w:rPr>
              <w:t xml:space="preserve">MBS </w:t>
            </w:r>
            <w:r w:rsidR="00C728F3" w:rsidRPr="00C728F3">
              <w:rPr>
                <w:rFonts w:ascii="Arial" w:hAnsi="Arial" w:cs="Arial"/>
                <w:b w:val="0"/>
                <w:bCs w:val="0"/>
                <w:color w:val="222222"/>
                <w:sz w:val="22"/>
                <w:szCs w:val="22"/>
                <w:shd w:val="clear" w:color="auto" w:fill="FBFBFB"/>
              </w:rPr>
              <w:t>Fee:</w:t>
            </w:r>
            <w:r w:rsidR="00C728F3" w:rsidRPr="00C728F3">
              <w:rPr>
                <w:rFonts w:ascii="Arial" w:hAnsi="Arial" w:cs="Arial"/>
                <w:color w:val="222222"/>
                <w:sz w:val="22"/>
                <w:szCs w:val="22"/>
                <w:shd w:val="clear" w:color="auto" w:fill="FBFBFB"/>
              </w:rPr>
              <w:t> $100.00 </w:t>
            </w:r>
            <w:r w:rsidR="00C728F3" w:rsidRPr="00C728F3">
              <w:rPr>
                <w:rFonts w:ascii="Arial" w:hAnsi="Arial" w:cs="Arial"/>
                <w:b w:val="0"/>
                <w:bCs w:val="0"/>
                <w:color w:val="222222"/>
                <w:sz w:val="22"/>
                <w:szCs w:val="22"/>
                <w:shd w:val="clear" w:color="auto" w:fill="FBFBFB"/>
              </w:rPr>
              <w:t>Benefit:</w:t>
            </w:r>
            <w:r w:rsidR="00C728F3" w:rsidRPr="00C728F3">
              <w:rPr>
                <w:rFonts w:ascii="Arial" w:hAnsi="Arial" w:cs="Arial"/>
                <w:color w:val="222222"/>
                <w:sz w:val="22"/>
                <w:szCs w:val="22"/>
                <w:shd w:val="clear" w:color="auto" w:fill="FBFBFB"/>
              </w:rPr>
              <w:t> 75% = $75.00 85% = $85.00</w:t>
            </w:r>
          </w:p>
          <w:p w14:paraId="2BDF063F" w14:textId="17007C4A" w:rsidR="00411160" w:rsidRPr="00411160" w:rsidRDefault="00411160" w:rsidP="00411160">
            <w:pPr>
              <w:rPr>
                <w:rFonts w:cs="Arial"/>
                <w:b w:val="0"/>
                <w:bCs w:val="0"/>
              </w:rPr>
            </w:pPr>
          </w:p>
        </w:tc>
      </w:tr>
      <w:bookmarkEnd w:id="4"/>
    </w:tbl>
    <w:p w14:paraId="508B4C47" w14:textId="29AF661D" w:rsidR="00BE3ED5" w:rsidRDefault="00BE3ED5" w:rsidP="00BE3ED5"/>
    <w:p w14:paraId="3E55E454" w14:textId="77777777" w:rsidR="00442C58" w:rsidRDefault="00442C58" w:rsidP="00BE3ED5"/>
    <w:p w14:paraId="31462286" w14:textId="77777777" w:rsidR="00442C58" w:rsidRDefault="00442C58" w:rsidP="00BE3ED5"/>
    <w:p w14:paraId="2D9EC17F" w14:textId="77777777" w:rsidR="00442C58" w:rsidRDefault="00442C58" w:rsidP="00BE3ED5"/>
    <w:p w14:paraId="36E507C5" w14:textId="77777777" w:rsidR="00442C58" w:rsidRDefault="00442C58" w:rsidP="00BE3ED5"/>
    <w:tbl>
      <w:tblPr>
        <w:tblStyle w:val="GridTable4-Accent2"/>
        <w:tblW w:w="0" w:type="auto"/>
        <w:tblLook w:val="04A0" w:firstRow="1" w:lastRow="0" w:firstColumn="1" w:lastColumn="0" w:noHBand="0" w:noVBand="1"/>
      </w:tblPr>
      <w:tblGrid>
        <w:gridCol w:w="9060"/>
      </w:tblGrid>
      <w:tr w:rsidR="00FC7E4D" w14:paraId="39577CD4" w14:textId="77777777" w:rsidTr="000A41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C72C0B3" w14:textId="77777777" w:rsidR="00FC7E4D" w:rsidRDefault="00FC7E4D" w:rsidP="000A41FB">
            <w:pPr>
              <w:rPr>
                <w:b w:val="0"/>
                <w:bCs w:val="0"/>
                <w:lang w:eastAsia="en-AU"/>
              </w:rPr>
            </w:pPr>
            <w:r>
              <w:rPr>
                <w:lang w:eastAsia="en-AU"/>
              </w:rPr>
              <w:lastRenderedPageBreak/>
              <w:t>Category 6 – Pathology Services</w:t>
            </w:r>
          </w:p>
        </w:tc>
      </w:tr>
      <w:tr w:rsidR="00FC7E4D" w14:paraId="371107E4" w14:textId="77777777" w:rsidTr="000A4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C5C96C6" w14:textId="4506CD50" w:rsidR="00FC7E4D" w:rsidRDefault="00FC7E4D" w:rsidP="000A41FB">
            <w:pPr>
              <w:rPr>
                <w:b w:val="0"/>
                <w:bCs w:val="0"/>
                <w:lang w:eastAsia="en-AU"/>
              </w:rPr>
            </w:pPr>
            <w:r>
              <w:rPr>
                <w:lang w:eastAsia="en-AU"/>
              </w:rPr>
              <w:t xml:space="preserve">Group P7 - Genetics </w:t>
            </w:r>
          </w:p>
        </w:tc>
      </w:tr>
      <w:tr w:rsidR="009C1460" w14:paraId="21E271F2" w14:textId="77777777" w:rsidTr="009C1460">
        <w:tc>
          <w:tcPr>
            <w:cnfStyle w:val="001000000000" w:firstRow="0" w:lastRow="0" w:firstColumn="1" w:lastColumn="0" w:oddVBand="0" w:evenVBand="0" w:oddHBand="0" w:evenHBand="0" w:firstRowFirstColumn="0" w:firstRowLastColumn="0" w:lastRowFirstColumn="0" w:lastRowLastColumn="0"/>
            <w:tcW w:w="9060" w:type="dxa"/>
            <w:hideMark/>
          </w:tcPr>
          <w:p w14:paraId="0D8E7991" w14:textId="77777777" w:rsidR="00442C58" w:rsidRPr="00442C58" w:rsidRDefault="00442C58" w:rsidP="00442C58">
            <w:pPr>
              <w:rPr>
                <w:rFonts w:cs="Arial"/>
                <w:color w:val="222222"/>
                <w:szCs w:val="22"/>
              </w:rPr>
            </w:pPr>
            <w:r w:rsidRPr="00442C58">
              <w:rPr>
                <w:rFonts w:cs="Arial"/>
                <w:color w:val="222222"/>
                <w:szCs w:val="22"/>
              </w:rPr>
              <w:t>73411</w:t>
            </w:r>
          </w:p>
          <w:p w14:paraId="5B799ED8" w14:textId="77777777" w:rsidR="00274855" w:rsidRPr="005D4815" w:rsidRDefault="00274855" w:rsidP="00274855">
            <w:pPr>
              <w:pStyle w:val="NormalWeb"/>
              <w:shd w:val="clear" w:color="auto" w:fill="FBFBFB"/>
              <w:spacing w:before="0" w:beforeAutospacing="0" w:after="240" w:afterAutospacing="0" w:line="300" w:lineRule="atLeast"/>
              <w:rPr>
                <w:rFonts w:ascii="Arial" w:hAnsi="Arial" w:cs="Arial"/>
                <w:b w:val="0"/>
                <w:bCs w:val="0"/>
                <w:color w:val="222222"/>
                <w:sz w:val="22"/>
                <w:szCs w:val="22"/>
              </w:rPr>
            </w:pPr>
            <w:r w:rsidRPr="005D4815">
              <w:rPr>
                <w:rFonts w:ascii="Arial" w:hAnsi="Arial" w:cs="Arial"/>
                <w:b w:val="0"/>
                <w:bCs w:val="0"/>
                <w:color w:val="222222"/>
                <w:sz w:val="22"/>
                <w:szCs w:val="22"/>
              </w:rPr>
              <w:t>Sequencing of HBA1 or HBA2, if the results of deletion testing described in item 73410 were inconclusive and a less common or rare variant is suspected, either:</w:t>
            </w:r>
          </w:p>
          <w:p w14:paraId="63CFB921" w14:textId="77777777" w:rsidR="00274855" w:rsidRPr="005D4815" w:rsidRDefault="00274855" w:rsidP="00274855">
            <w:pPr>
              <w:pStyle w:val="NormalWeb"/>
              <w:shd w:val="clear" w:color="auto" w:fill="FBFBFB"/>
              <w:spacing w:before="0" w:beforeAutospacing="0" w:after="240" w:afterAutospacing="0" w:line="300" w:lineRule="atLeast"/>
              <w:rPr>
                <w:rFonts w:ascii="Arial" w:hAnsi="Arial" w:cs="Arial"/>
                <w:b w:val="0"/>
                <w:bCs w:val="0"/>
                <w:color w:val="222222"/>
                <w:sz w:val="22"/>
                <w:szCs w:val="22"/>
              </w:rPr>
            </w:pPr>
            <w:r w:rsidRPr="005D4815">
              <w:rPr>
                <w:rFonts w:ascii="Arial" w:hAnsi="Arial" w:cs="Arial"/>
                <w:b w:val="0"/>
                <w:bCs w:val="0"/>
                <w:color w:val="222222"/>
                <w:sz w:val="22"/>
                <w:szCs w:val="22"/>
              </w:rPr>
              <w:t>(a) for the diagnosis of alpha thalassaemia in a patient of reproductive age; or</w:t>
            </w:r>
          </w:p>
          <w:p w14:paraId="32FE2013" w14:textId="55AA37E2" w:rsidR="00274855" w:rsidRPr="005D4815" w:rsidRDefault="00274855" w:rsidP="00274855">
            <w:pPr>
              <w:pStyle w:val="NormalWeb"/>
              <w:shd w:val="clear" w:color="auto" w:fill="FBFBFB"/>
              <w:spacing w:before="0" w:beforeAutospacing="0" w:after="240" w:afterAutospacing="0" w:line="300" w:lineRule="atLeast"/>
              <w:rPr>
                <w:rFonts w:ascii="Arial" w:hAnsi="Arial" w:cs="Arial"/>
                <w:b w:val="0"/>
                <w:bCs w:val="0"/>
                <w:color w:val="222222"/>
                <w:sz w:val="22"/>
                <w:szCs w:val="22"/>
              </w:rPr>
            </w:pPr>
            <w:r w:rsidRPr="005D4815">
              <w:rPr>
                <w:rFonts w:ascii="Arial" w:hAnsi="Arial" w:cs="Arial"/>
                <w:b w:val="0"/>
                <w:bCs w:val="0"/>
                <w:color w:val="222222"/>
                <w:sz w:val="22"/>
                <w:szCs w:val="22"/>
              </w:rPr>
              <w:t xml:space="preserve">(b) for the determination of carrier status in a reproductive partner of a person </w:t>
            </w:r>
            <w:r w:rsidRPr="00A20C2B">
              <w:rPr>
                <w:rFonts w:ascii="Arial" w:hAnsi="Arial" w:cs="Arial"/>
                <w:color w:val="auto"/>
                <w:sz w:val="22"/>
                <w:szCs w:val="22"/>
              </w:rPr>
              <w:t>with alpha thalassaemia</w:t>
            </w:r>
          </w:p>
          <w:p w14:paraId="5A2140C2" w14:textId="77777777" w:rsidR="00274855" w:rsidRPr="005D4815" w:rsidRDefault="00274855" w:rsidP="00274855">
            <w:pPr>
              <w:pStyle w:val="NormalWeb"/>
              <w:shd w:val="clear" w:color="auto" w:fill="FBFBFB"/>
              <w:spacing w:before="0" w:beforeAutospacing="0" w:after="240" w:afterAutospacing="0" w:line="300" w:lineRule="atLeast"/>
              <w:rPr>
                <w:rFonts w:ascii="Arial" w:hAnsi="Arial" w:cs="Arial"/>
                <w:b w:val="0"/>
                <w:bCs w:val="0"/>
                <w:color w:val="222222"/>
                <w:sz w:val="22"/>
                <w:szCs w:val="22"/>
              </w:rPr>
            </w:pPr>
            <w:r w:rsidRPr="005D4815">
              <w:rPr>
                <w:rFonts w:ascii="Arial" w:hAnsi="Arial" w:cs="Arial"/>
                <w:b w:val="0"/>
                <w:bCs w:val="0"/>
                <w:color w:val="222222"/>
                <w:sz w:val="22"/>
                <w:szCs w:val="22"/>
              </w:rPr>
              <w:t>Applicable once per gene per lifetime</w:t>
            </w:r>
          </w:p>
          <w:p w14:paraId="64DC3792" w14:textId="77777777" w:rsidR="00442C58" w:rsidRPr="00652568" w:rsidRDefault="00442C58" w:rsidP="00442C58">
            <w:pPr>
              <w:rPr>
                <w:rFonts w:cs="Arial"/>
                <w:szCs w:val="22"/>
              </w:rPr>
            </w:pPr>
          </w:p>
          <w:p w14:paraId="1AD96AC9" w14:textId="1F0F5D62" w:rsidR="0062700D" w:rsidRPr="00A72D14" w:rsidRDefault="00442C58" w:rsidP="00442C58">
            <w:pPr>
              <w:rPr>
                <w:rFonts w:cs="Arial"/>
                <w:b w:val="0"/>
                <w:bCs w:val="0"/>
                <w:color w:val="222222"/>
                <w:szCs w:val="22"/>
                <w:shd w:val="clear" w:color="auto" w:fill="FBFBFB"/>
              </w:rPr>
            </w:pPr>
            <w:r w:rsidRPr="00652568">
              <w:rPr>
                <w:rFonts w:cs="Arial"/>
                <w:b w:val="0"/>
                <w:bCs w:val="0"/>
                <w:szCs w:val="22"/>
              </w:rPr>
              <w:t xml:space="preserve">MBS Fee: </w:t>
            </w:r>
            <w:r w:rsidRPr="00652568">
              <w:rPr>
                <w:rFonts w:cs="Arial"/>
                <w:color w:val="222222"/>
                <w:szCs w:val="22"/>
                <w:shd w:val="clear" w:color="auto" w:fill="FBFBFB"/>
              </w:rPr>
              <w:t>$400.00 </w:t>
            </w:r>
            <w:r w:rsidRPr="00652568">
              <w:rPr>
                <w:rFonts w:cs="Arial"/>
                <w:b w:val="0"/>
                <w:bCs w:val="0"/>
                <w:color w:val="222222"/>
                <w:szCs w:val="22"/>
                <w:shd w:val="clear" w:color="auto" w:fill="FBFBFB"/>
              </w:rPr>
              <w:t>Benefit:</w:t>
            </w:r>
            <w:r w:rsidRPr="00652568">
              <w:rPr>
                <w:rFonts w:cs="Arial"/>
                <w:color w:val="222222"/>
                <w:szCs w:val="22"/>
                <w:shd w:val="clear" w:color="auto" w:fill="FBFBFB"/>
              </w:rPr>
              <w:t> 75% = $300.00 85% = $340.00</w:t>
            </w:r>
          </w:p>
        </w:tc>
      </w:tr>
    </w:tbl>
    <w:p w14:paraId="48ED3BA7" w14:textId="77777777" w:rsidR="00FC7E4D" w:rsidRDefault="00FC7E4D" w:rsidP="00BE3ED5"/>
    <w:tbl>
      <w:tblPr>
        <w:tblStyle w:val="GridTable4-Accent2"/>
        <w:tblW w:w="0" w:type="auto"/>
        <w:tblLook w:val="04A0" w:firstRow="1" w:lastRow="0" w:firstColumn="1" w:lastColumn="0" w:noHBand="0" w:noVBand="1"/>
      </w:tblPr>
      <w:tblGrid>
        <w:gridCol w:w="9060"/>
      </w:tblGrid>
      <w:tr w:rsidR="00C64AFD" w14:paraId="02E9FA33" w14:textId="77777777" w:rsidTr="00E228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2DCFD30" w14:textId="77777777" w:rsidR="00C64AFD" w:rsidRDefault="00C64AFD" w:rsidP="00E22874">
            <w:pPr>
              <w:rPr>
                <w:b w:val="0"/>
                <w:bCs w:val="0"/>
                <w:lang w:eastAsia="en-AU"/>
              </w:rPr>
            </w:pPr>
            <w:r>
              <w:rPr>
                <w:lang w:eastAsia="en-AU"/>
              </w:rPr>
              <w:t>Category 6 – Pathology Services</w:t>
            </w:r>
          </w:p>
        </w:tc>
      </w:tr>
      <w:tr w:rsidR="00C64AFD" w14:paraId="049170FD" w14:textId="77777777" w:rsidTr="00E2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5302F3F" w14:textId="77777777" w:rsidR="00C64AFD" w:rsidRDefault="00C64AFD" w:rsidP="00E22874">
            <w:pPr>
              <w:rPr>
                <w:b w:val="0"/>
                <w:bCs w:val="0"/>
                <w:lang w:eastAsia="en-AU"/>
              </w:rPr>
            </w:pPr>
            <w:r>
              <w:rPr>
                <w:lang w:eastAsia="en-AU"/>
              </w:rPr>
              <w:t xml:space="preserve">Group P7 - Genetics </w:t>
            </w:r>
          </w:p>
        </w:tc>
      </w:tr>
      <w:tr w:rsidR="00C64AFD" w:rsidRPr="00A72D14" w14:paraId="65D18B9D" w14:textId="77777777" w:rsidTr="00E22874">
        <w:tc>
          <w:tcPr>
            <w:cnfStyle w:val="001000000000" w:firstRow="0" w:lastRow="0" w:firstColumn="1" w:lastColumn="0" w:oddVBand="0" w:evenVBand="0" w:oddHBand="0" w:evenHBand="0" w:firstRowFirstColumn="0" w:firstRowLastColumn="0" w:lastRowFirstColumn="0" w:lastRowLastColumn="0"/>
            <w:tcW w:w="9060" w:type="dxa"/>
            <w:hideMark/>
          </w:tcPr>
          <w:p w14:paraId="5AA85002" w14:textId="3D0E8965" w:rsidR="00C64AFD" w:rsidRPr="00442C58" w:rsidRDefault="00C64AFD" w:rsidP="00E22874">
            <w:pPr>
              <w:rPr>
                <w:rFonts w:cs="Arial"/>
                <w:color w:val="222222"/>
                <w:szCs w:val="22"/>
              </w:rPr>
            </w:pPr>
            <w:r w:rsidRPr="00442C58">
              <w:rPr>
                <w:rFonts w:cs="Arial"/>
                <w:color w:val="222222"/>
                <w:szCs w:val="22"/>
              </w:rPr>
              <w:t>7341</w:t>
            </w:r>
            <w:r>
              <w:rPr>
                <w:rFonts w:cs="Arial"/>
                <w:color w:val="222222"/>
                <w:szCs w:val="22"/>
              </w:rPr>
              <w:t>2</w:t>
            </w:r>
          </w:p>
          <w:p w14:paraId="06123C1D" w14:textId="345F382C" w:rsidR="00C64AFD" w:rsidRPr="00167BB1" w:rsidRDefault="00C64AFD" w:rsidP="00E22874">
            <w:pPr>
              <w:rPr>
                <w:rFonts w:cs="Arial"/>
                <w:b w:val="0"/>
                <w:bCs w:val="0"/>
                <w:color w:val="222222"/>
                <w:szCs w:val="22"/>
              </w:rPr>
            </w:pPr>
            <w:r w:rsidRPr="00167BB1">
              <w:rPr>
                <w:rFonts w:cs="Arial"/>
                <w:b w:val="0"/>
                <w:bCs w:val="0"/>
                <w:color w:val="222222"/>
                <w:szCs w:val="22"/>
              </w:rPr>
              <w:t xml:space="preserve">Sequencing of HBA1 or HBA2, if the results of deletion testing described in item 73410 were inconclusive and a </w:t>
            </w:r>
            <w:r w:rsidR="000B5664">
              <w:rPr>
                <w:rFonts w:cs="Arial"/>
                <w:b w:val="0"/>
                <w:bCs w:val="0"/>
                <w:color w:val="222222"/>
                <w:szCs w:val="22"/>
              </w:rPr>
              <w:t xml:space="preserve">large deletion </w:t>
            </w:r>
            <w:r w:rsidRPr="00167BB1">
              <w:rPr>
                <w:rFonts w:cs="Arial"/>
                <w:b w:val="0"/>
                <w:bCs w:val="0"/>
                <w:color w:val="222222"/>
                <w:szCs w:val="22"/>
              </w:rPr>
              <w:t>variant is suspected, either:</w:t>
            </w:r>
          </w:p>
          <w:p w14:paraId="0498E0C8" w14:textId="77777777" w:rsidR="00C64AFD" w:rsidRPr="00167BB1" w:rsidRDefault="00C64AFD" w:rsidP="00E22874">
            <w:pPr>
              <w:pStyle w:val="NormalWeb"/>
              <w:shd w:val="clear" w:color="auto" w:fill="FBFBFB"/>
              <w:spacing w:before="0" w:beforeAutospacing="0" w:after="240" w:afterAutospacing="0" w:line="300" w:lineRule="atLeast"/>
              <w:rPr>
                <w:rFonts w:ascii="Arial" w:hAnsi="Arial" w:cs="Arial"/>
                <w:b w:val="0"/>
                <w:bCs w:val="0"/>
                <w:color w:val="222222"/>
                <w:sz w:val="22"/>
                <w:szCs w:val="22"/>
              </w:rPr>
            </w:pPr>
            <w:r w:rsidRPr="00167BB1">
              <w:rPr>
                <w:rFonts w:ascii="Arial" w:hAnsi="Arial" w:cs="Arial"/>
                <w:b w:val="0"/>
                <w:bCs w:val="0"/>
                <w:color w:val="222222"/>
                <w:sz w:val="22"/>
                <w:szCs w:val="22"/>
              </w:rPr>
              <w:t>(a) for the diagnosis of alpha thalassaemia in a patient of reproductive age; or</w:t>
            </w:r>
          </w:p>
          <w:p w14:paraId="77F40DA1" w14:textId="5C759E8F" w:rsidR="00C64AFD" w:rsidRPr="00167BB1" w:rsidRDefault="00C64AFD" w:rsidP="00E22874">
            <w:pPr>
              <w:pStyle w:val="NormalWeb"/>
              <w:shd w:val="clear" w:color="auto" w:fill="FBFBFB"/>
              <w:spacing w:before="0" w:beforeAutospacing="0" w:after="240" w:afterAutospacing="0" w:line="300" w:lineRule="atLeast"/>
              <w:rPr>
                <w:rFonts w:ascii="Arial" w:hAnsi="Arial" w:cs="Arial"/>
                <w:b w:val="0"/>
                <w:bCs w:val="0"/>
                <w:color w:val="222222"/>
                <w:sz w:val="22"/>
                <w:szCs w:val="22"/>
              </w:rPr>
            </w:pPr>
            <w:r w:rsidRPr="00167BB1">
              <w:rPr>
                <w:rFonts w:ascii="Arial" w:hAnsi="Arial" w:cs="Arial"/>
                <w:b w:val="0"/>
                <w:bCs w:val="0"/>
                <w:color w:val="222222"/>
                <w:sz w:val="22"/>
                <w:szCs w:val="22"/>
              </w:rPr>
              <w:t xml:space="preserve">(b) for the determination of carrier status in a reproductive partner of a person </w:t>
            </w:r>
            <w:r w:rsidRPr="00A20C2B">
              <w:rPr>
                <w:rFonts w:ascii="Arial" w:hAnsi="Arial" w:cs="Arial"/>
                <w:color w:val="auto"/>
                <w:sz w:val="22"/>
                <w:szCs w:val="22"/>
              </w:rPr>
              <w:t>with alpha thalassaemia</w:t>
            </w:r>
          </w:p>
          <w:p w14:paraId="68BBC36F" w14:textId="77777777" w:rsidR="00C64AFD" w:rsidRPr="00167BB1" w:rsidRDefault="00C64AFD" w:rsidP="00E22874">
            <w:pPr>
              <w:pStyle w:val="NormalWeb"/>
              <w:shd w:val="clear" w:color="auto" w:fill="FBFBFB"/>
              <w:spacing w:before="0" w:beforeAutospacing="0" w:after="240" w:afterAutospacing="0" w:line="300" w:lineRule="atLeast"/>
              <w:rPr>
                <w:rFonts w:ascii="Arial" w:hAnsi="Arial" w:cs="Arial"/>
                <w:b w:val="0"/>
                <w:bCs w:val="0"/>
                <w:color w:val="222222"/>
                <w:sz w:val="22"/>
                <w:szCs w:val="22"/>
              </w:rPr>
            </w:pPr>
            <w:r w:rsidRPr="00167BB1">
              <w:rPr>
                <w:rFonts w:ascii="Arial" w:hAnsi="Arial" w:cs="Arial"/>
                <w:b w:val="0"/>
                <w:bCs w:val="0"/>
                <w:color w:val="222222"/>
                <w:sz w:val="22"/>
                <w:szCs w:val="22"/>
              </w:rPr>
              <w:t>Applicable once per gene per lifetime</w:t>
            </w:r>
          </w:p>
          <w:p w14:paraId="06457389" w14:textId="77777777" w:rsidR="00C64AFD" w:rsidRPr="00652568" w:rsidRDefault="00C64AFD" w:rsidP="00E22874">
            <w:pPr>
              <w:rPr>
                <w:rFonts w:cs="Arial"/>
                <w:szCs w:val="22"/>
              </w:rPr>
            </w:pPr>
          </w:p>
          <w:p w14:paraId="316E0C10" w14:textId="7E6FF2E4" w:rsidR="00C64AFD" w:rsidRPr="00A72D14" w:rsidRDefault="00C64AFD" w:rsidP="00E22874">
            <w:pPr>
              <w:rPr>
                <w:rFonts w:cs="Arial"/>
                <w:b w:val="0"/>
                <w:bCs w:val="0"/>
                <w:color w:val="222222"/>
                <w:szCs w:val="22"/>
                <w:shd w:val="clear" w:color="auto" w:fill="FBFBFB"/>
              </w:rPr>
            </w:pPr>
            <w:r w:rsidRPr="00652568">
              <w:rPr>
                <w:rFonts w:cs="Arial"/>
                <w:b w:val="0"/>
                <w:bCs w:val="0"/>
                <w:szCs w:val="22"/>
              </w:rPr>
              <w:t xml:space="preserve">MBS Fee: </w:t>
            </w:r>
            <w:r w:rsidR="00D75713" w:rsidRPr="009E204F">
              <w:rPr>
                <w:rFonts w:cs="Arial"/>
                <w:color w:val="222222"/>
                <w:szCs w:val="22"/>
                <w:shd w:val="clear" w:color="auto" w:fill="FBFBFB"/>
              </w:rPr>
              <w:t>$250.00 </w:t>
            </w:r>
            <w:r w:rsidR="00D75713" w:rsidRPr="009E204F">
              <w:rPr>
                <w:rFonts w:cs="Arial"/>
                <w:b w:val="0"/>
                <w:bCs w:val="0"/>
                <w:color w:val="222222"/>
                <w:szCs w:val="22"/>
                <w:shd w:val="clear" w:color="auto" w:fill="FBFBFB"/>
              </w:rPr>
              <w:t>Benefit:</w:t>
            </w:r>
            <w:r w:rsidR="00D75713" w:rsidRPr="009E204F">
              <w:rPr>
                <w:rFonts w:cs="Arial"/>
                <w:color w:val="222222"/>
                <w:szCs w:val="22"/>
                <w:shd w:val="clear" w:color="auto" w:fill="FBFBFB"/>
              </w:rPr>
              <w:t> 75% = $187.50 85% = $212.50</w:t>
            </w:r>
          </w:p>
        </w:tc>
      </w:tr>
    </w:tbl>
    <w:p w14:paraId="57BB98AD" w14:textId="77777777" w:rsidR="00C64AFD" w:rsidRDefault="00C64AFD" w:rsidP="00BE3ED5"/>
    <w:p w14:paraId="12EA73C5" w14:textId="77777777" w:rsidR="00782717" w:rsidRDefault="00782717" w:rsidP="00BE3ED5"/>
    <w:tbl>
      <w:tblPr>
        <w:tblStyle w:val="GridTable4-Accent2"/>
        <w:tblW w:w="0" w:type="auto"/>
        <w:tblLook w:val="04A0" w:firstRow="1" w:lastRow="0" w:firstColumn="1" w:lastColumn="0" w:noHBand="0" w:noVBand="1"/>
      </w:tblPr>
      <w:tblGrid>
        <w:gridCol w:w="9060"/>
      </w:tblGrid>
      <w:tr w:rsidR="00DF3151" w14:paraId="6198D39F" w14:textId="77777777" w:rsidTr="00E228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013ECF06" w14:textId="77777777" w:rsidR="00DF3151" w:rsidRDefault="00DF3151" w:rsidP="00E22874">
            <w:pPr>
              <w:rPr>
                <w:b w:val="0"/>
                <w:bCs w:val="0"/>
                <w:lang w:eastAsia="en-AU"/>
              </w:rPr>
            </w:pPr>
            <w:r>
              <w:rPr>
                <w:lang w:eastAsia="en-AU"/>
              </w:rPr>
              <w:lastRenderedPageBreak/>
              <w:t>Category 6 – Pathology Services</w:t>
            </w:r>
          </w:p>
        </w:tc>
      </w:tr>
      <w:tr w:rsidR="00DF3151" w14:paraId="4ED1C813" w14:textId="77777777" w:rsidTr="00E2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EFB6EAD" w14:textId="77777777" w:rsidR="00DF3151" w:rsidRDefault="00DF3151" w:rsidP="00E22874">
            <w:pPr>
              <w:rPr>
                <w:b w:val="0"/>
                <w:bCs w:val="0"/>
                <w:lang w:eastAsia="en-AU"/>
              </w:rPr>
            </w:pPr>
            <w:r>
              <w:rPr>
                <w:lang w:eastAsia="en-AU"/>
              </w:rPr>
              <w:t xml:space="preserve">Group P7 - Genetics </w:t>
            </w:r>
          </w:p>
        </w:tc>
      </w:tr>
      <w:tr w:rsidR="00DF3151" w:rsidRPr="00A72D14" w14:paraId="5ACBB095" w14:textId="77777777" w:rsidTr="00E22874">
        <w:tc>
          <w:tcPr>
            <w:cnfStyle w:val="001000000000" w:firstRow="0" w:lastRow="0" w:firstColumn="1" w:lastColumn="0" w:oddVBand="0" w:evenVBand="0" w:oddHBand="0" w:evenHBand="0" w:firstRowFirstColumn="0" w:firstRowLastColumn="0" w:lastRowFirstColumn="0" w:lastRowLastColumn="0"/>
            <w:tcW w:w="9060" w:type="dxa"/>
            <w:hideMark/>
          </w:tcPr>
          <w:p w14:paraId="60F569F3" w14:textId="2E27DADE" w:rsidR="00DF3151" w:rsidRPr="00442C58" w:rsidRDefault="00DF3151" w:rsidP="00E22874">
            <w:pPr>
              <w:rPr>
                <w:rFonts w:cs="Arial"/>
                <w:color w:val="222222"/>
                <w:szCs w:val="22"/>
              </w:rPr>
            </w:pPr>
            <w:r w:rsidRPr="00442C58">
              <w:rPr>
                <w:rFonts w:cs="Arial"/>
                <w:color w:val="222222"/>
                <w:szCs w:val="22"/>
              </w:rPr>
              <w:t>7341</w:t>
            </w:r>
            <w:r>
              <w:rPr>
                <w:rFonts w:cs="Arial"/>
                <w:color w:val="222222"/>
                <w:szCs w:val="22"/>
              </w:rPr>
              <w:t>3</w:t>
            </w:r>
          </w:p>
          <w:p w14:paraId="4B61E4E5" w14:textId="77777777" w:rsidR="00C30840" w:rsidRPr="00C30840" w:rsidRDefault="00C30840" w:rsidP="00C30840">
            <w:pPr>
              <w:pStyle w:val="NormalWeb"/>
              <w:shd w:val="clear" w:color="auto" w:fill="FBFBFB"/>
              <w:spacing w:before="0" w:beforeAutospacing="0" w:after="240" w:afterAutospacing="0" w:line="300" w:lineRule="atLeast"/>
              <w:rPr>
                <w:rFonts w:ascii="Arial" w:hAnsi="Arial" w:cs="Arial"/>
                <w:b w:val="0"/>
                <w:bCs w:val="0"/>
                <w:color w:val="222222"/>
                <w:sz w:val="22"/>
                <w:szCs w:val="22"/>
              </w:rPr>
            </w:pPr>
            <w:r w:rsidRPr="00C30840">
              <w:rPr>
                <w:rFonts w:ascii="Arial" w:hAnsi="Arial" w:cs="Arial"/>
                <w:b w:val="0"/>
                <w:bCs w:val="0"/>
                <w:color w:val="222222"/>
                <w:sz w:val="22"/>
                <w:szCs w:val="22"/>
              </w:rPr>
              <w:t>Non</w:t>
            </w:r>
            <w:r w:rsidRPr="00C30840">
              <w:rPr>
                <w:rFonts w:ascii="Arial" w:hAnsi="Arial" w:cs="Arial"/>
                <w:b w:val="0"/>
                <w:bCs w:val="0"/>
                <w:color w:val="222222"/>
                <w:sz w:val="22"/>
                <w:szCs w:val="22"/>
              </w:rPr>
              <w:noBreakHyphen/>
              <w:t>deletion testing of HBA1 and HBA2 using techniques other than sequencing, if the results of deletion testing described in item 73410 were inconclusive, either:</w:t>
            </w:r>
          </w:p>
          <w:p w14:paraId="0596F85E" w14:textId="77777777" w:rsidR="00C30840" w:rsidRPr="00C30840" w:rsidRDefault="00C30840" w:rsidP="00C30840">
            <w:pPr>
              <w:pStyle w:val="NormalWeb"/>
              <w:shd w:val="clear" w:color="auto" w:fill="FBFBFB"/>
              <w:spacing w:before="0" w:beforeAutospacing="0" w:after="240" w:afterAutospacing="0" w:line="300" w:lineRule="atLeast"/>
              <w:rPr>
                <w:rFonts w:ascii="Arial" w:hAnsi="Arial" w:cs="Arial"/>
                <w:b w:val="0"/>
                <w:bCs w:val="0"/>
                <w:color w:val="222222"/>
                <w:sz w:val="22"/>
                <w:szCs w:val="22"/>
              </w:rPr>
            </w:pPr>
            <w:r w:rsidRPr="00C30840">
              <w:rPr>
                <w:rFonts w:ascii="Arial" w:hAnsi="Arial" w:cs="Arial"/>
                <w:b w:val="0"/>
                <w:bCs w:val="0"/>
                <w:color w:val="222222"/>
                <w:sz w:val="22"/>
                <w:szCs w:val="22"/>
              </w:rPr>
              <w:t>(a) for the diagnosis of alpha thalassaemia in a patient of reproductive age ; or</w:t>
            </w:r>
          </w:p>
          <w:p w14:paraId="0BC2D317" w14:textId="026D5573" w:rsidR="00DF3151" w:rsidRPr="00167BB1" w:rsidRDefault="00DF3151" w:rsidP="00E22874">
            <w:pPr>
              <w:pStyle w:val="NormalWeb"/>
              <w:shd w:val="clear" w:color="auto" w:fill="FBFBFB"/>
              <w:spacing w:before="0" w:beforeAutospacing="0" w:after="240" w:afterAutospacing="0" w:line="300" w:lineRule="atLeast"/>
              <w:rPr>
                <w:rFonts w:ascii="Arial" w:hAnsi="Arial" w:cs="Arial"/>
                <w:b w:val="0"/>
                <w:bCs w:val="0"/>
                <w:color w:val="222222"/>
                <w:sz w:val="22"/>
                <w:szCs w:val="22"/>
              </w:rPr>
            </w:pPr>
            <w:r w:rsidRPr="00167BB1">
              <w:rPr>
                <w:rFonts w:ascii="Arial" w:hAnsi="Arial" w:cs="Arial"/>
                <w:b w:val="0"/>
                <w:bCs w:val="0"/>
                <w:color w:val="222222"/>
                <w:sz w:val="22"/>
                <w:szCs w:val="22"/>
              </w:rPr>
              <w:t xml:space="preserve">(b) for the determination of carrier status in a reproductive partner of a person </w:t>
            </w:r>
            <w:r w:rsidRPr="00A20C2B">
              <w:rPr>
                <w:rFonts w:ascii="Arial" w:hAnsi="Arial" w:cs="Arial"/>
                <w:color w:val="auto"/>
                <w:sz w:val="22"/>
                <w:szCs w:val="22"/>
              </w:rPr>
              <w:t>with alpha thalassaemia</w:t>
            </w:r>
          </w:p>
          <w:p w14:paraId="23626CC9" w14:textId="77777777" w:rsidR="00DF3151" w:rsidRPr="00652568" w:rsidRDefault="00DF3151" w:rsidP="00E22874">
            <w:pPr>
              <w:rPr>
                <w:rFonts w:cs="Arial"/>
                <w:szCs w:val="22"/>
              </w:rPr>
            </w:pPr>
          </w:p>
          <w:p w14:paraId="11F40E0D" w14:textId="77777777" w:rsidR="00DF3151" w:rsidRPr="00A72D14" w:rsidRDefault="00DF3151" w:rsidP="00E22874">
            <w:pPr>
              <w:rPr>
                <w:rFonts w:cs="Arial"/>
                <w:b w:val="0"/>
                <w:bCs w:val="0"/>
                <w:color w:val="222222"/>
                <w:szCs w:val="22"/>
                <w:shd w:val="clear" w:color="auto" w:fill="FBFBFB"/>
              </w:rPr>
            </w:pPr>
            <w:r w:rsidRPr="00652568">
              <w:rPr>
                <w:rFonts w:cs="Arial"/>
                <w:b w:val="0"/>
                <w:bCs w:val="0"/>
                <w:szCs w:val="22"/>
              </w:rPr>
              <w:t xml:space="preserve">MBS Fee: </w:t>
            </w:r>
            <w:r w:rsidRPr="009E204F">
              <w:rPr>
                <w:rFonts w:cs="Arial"/>
                <w:color w:val="222222"/>
                <w:szCs w:val="22"/>
                <w:shd w:val="clear" w:color="auto" w:fill="FBFBFB"/>
              </w:rPr>
              <w:t>$250.00 </w:t>
            </w:r>
            <w:r w:rsidRPr="009E204F">
              <w:rPr>
                <w:rFonts w:cs="Arial"/>
                <w:b w:val="0"/>
                <w:bCs w:val="0"/>
                <w:color w:val="222222"/>
                <w:szCs w:val="22"/>
                <w:shd w:val="clear" w:color="auto" w:fill="FBFBFB"/>
              </w:rPr>
              <w:t>Benefit:</w:t>
            </w:r>
            <w:r w:rsidRPr="009E204F">
              <w:rPr>
                <w:rFonts w:cs="Arial"/>
                <w:color w:val="222222"/>
                <w:szCs w:val="22"/>
                <w:shd w:val="clear" w:color="auto" w:fill="FBFBFB"/>
              </w:rPr>
              <w:t> 75% = $187.50 85% = $212.50</w:t>
            </w:r>
          </w:p>
        </w:tc>
      </w:tr>
    </w:tbl>
    <w:p w14:paraId="14FE7798" w14:textId="77777777" w:rsidR="00DF3151" w:rsidRDefault="00DF3151"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C301E" w14:textId="77777777" w:rsidR="003F5CC7" w:rsidRDefault="003F5CC7" w:rsidP="006B56BB">
      <w:r>
        <w:separator/>
      </w:r>
    </w:p>
    <w:p w14:paraId="3F3EC8BD" w14:textId="77777777" w:rsidR="003F5CC7" w:rsidRDefault="003F5CC7"/>
  </w:endnote>
  <w:endnote w:type="continuationSeparator" w:id="0">
    <w:p w14:paraId="4E56B245" w14:textId="77777777" w:rsidR="003F5CC7" w:rsidRDefault="003F5CC7" w:rsidP="006B56BB">
      <w:r>
        <w:continuationSeparator/>
      </w:r>
    </w:p>
    <w:p w14:paraId="6F01CF4A" w14:textId="77777777" w:rsidR="003F5CC7" w:rsidRDefault="003F5CC7"/>
  </w:endnote>
  <w:endnote w:type="continuationNotice" w:id="1">
    <w:p w14:paraId="735C980D" w14:textId="77777777" w:rsidR="003F5CC7" w:rsidRDefault="003F5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FD5091"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0FE04DD2" w:rsidR="00F51321" w:rsidRDefault="00592609" w:rsidP="00592609">
    <w:pPr>
      <w:pStyle w:val="Footer"/>
      <w:tabs>
        <w:tab w:val="clear" w:pos="9026"/>
        <w:tab w:val="right" w:pos="10466"/>
      </w:tabs>
      <w:jc w:val="left"/>
    </w:pPr>
    <w:r w:rsidRPr="00D73B4A">
      <w:rPr>
        <w:b/>
        <w:bCs/>
      </w:rPr>
      <w:t>Amendment of MBS item 73410 to extend carrier testing for Alpha Thalassaemia</w:t>
    </w:r>
    <w:r>
      <w:rPr>
        <w:b/>
      </w:rPr>
      <w:t xml:space="preserve"> </w:t>
    </w:r>
    <w:r w:rsidRPr="00E863C4">
      <w:rPr>
        <w:b/>
      </w:rPr>
      <w:t xml:space="preserve">– </w:t>
    </w:r>
    <w:r>
      <w:rPr>
        <w:b/>
      </w:rPr>
      <w:t>Factsheet</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FD5091" w:rsidP="00F51321">
    <w:pPr>
      <w:pStyle w:val="Footer"/>
      <w:jc w:val="left"/>
      <w:rPr>
        <w:rStyle w:val="Hyperlink"/>
        <w:szCs w:val="18"/>
      </w:rPr>
    </w:pPr>
    <w:hyperlink r:id="rId1" w:history="1">
      <w:r w:rsidR="00F51321" w:rsidRPr="00E863C4">
        <w:rPr>
          <w:rStyle w:val="Hyperlink"/>
          <w:szCs w:val="18"/>
        </w:rPr>
        <w:t>MBS Online</w:t>
      </w:r>
    </w:hyperlink>
  </w:p>
  <w:p w14:paraId="0D093570" w14:textId="7FCE2456" w:rsidR="00F51321" w:rsidRPr="009B32BA" w:rsidRDefault="00F51321" w:rsidP="00F51321">
    <w:pPr>
      <w:pStyle w:val="Footer"/>
      <w:jc w:val="left"/>
      <w:rPr>
        <w:szCs w:val="18"/>
      </w:rPr>
    </w:pPr>
    <w:r w:rsidRPr="00870B05">
      <w:t>Last updated</w:t>
    </w:r>
    <w:r>
      <w:t xml:space="preserve"> – </w:t>
    </w:r>
    <w:r w:rsidR="00FD5091">
      <w:t>31</w:t>
    </w:r>
    <w:r w:rsidR="008A28C3">
      <w:t xml:space="preserve"> </w:t>
    </w:r>
    <w:r w:rsidR="00FD5091">
      <w:t>May</w:t>
    </w:r>
    <w:r>
      <w:t xml:space="preserve"> 20</w:t>
    </w:r>
    <w:r w:rsidR="00060B05">
      <w:t>2</w:t>
    </w:r>
    <w:r w:rsidR="006A4EBC">
      <w:t>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FD5091"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78D76DE1" w:rsidR="00064168" w:rsidRPr="00D73B4A" w:rsidRDefault="00D73B4A" w:rsidP="00F77513">
    <w:pPr>
      <w:pStyle w:val="Footer"/>
      <w:tabs>
        <w:tab w:val="clear" w:pos="9026"/>
        <w:tab w:val="right" w:pos="10466"/>
      </w:tabs>
      <w:jc w:val="left"/>
      <w:rPr>
        <w:b/>
      </w:rPr>
    </w:pPr>
    <w:r w:rsidRPr="00D73B4A">
      <w:rPr>
        <w:b/>
        <w:bCs/>
      </w:rPr>
      <w:t>Amendment of MBS item 73410 to extend carrier testing for Alpha Thalassaemia</w:t>
    </w:r>
    <w:r>
      <w:rPr>
        <w:b/>
      </w:rPr>
      <w:t xml:space="preserve"> </w:t>
    </w:r>
    <w:r w:rsidR="00F77513" w:rsidRPr="00E863C4">
      <w:rPr>
        <w:b/>
      </w:rPr>
      <w:t xml:space="preserve">– </w:t>
    </w:r>
    <w:r w:rsidR="00F77513">
      <w:rPr>
        <w:b/>
      </w:rPr>
      <w:t>Factsheet</w:t>
    </w:r>
    <w:r w:rsidR="00F77513"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FD5091" w:rsidP="00064168">
    <w:pPr>
      <w:pStyle w:val="Footer"/>
      <w:jc w:val="left"/>
      <w:rPr>
        <w:rStyle w:val="Hyperlink"/>
        <w:szCs w:val="18"/>
      </w:rPr>
    </w:pPr>
    <w:hyperlink r:id="rId1" w:history="1">
      <w:r w:rsidR="00064168" w:rsidRPr="00E863C4">
        <w:rPr>
          <w:rStyle w:val="Hyperlink"/>
          <w:szCs w:val="18"/>
        </w:rPr>
        <w:t>MBS Online</w:t>
      </w:r>
    </w:hyperlink>
  </w:p>
  <w:p w14:paraId="03585E81" w14:textId="12328461" w:rsidR="00064168" w:rsidRPr="009B32BA" w:rsidRDefault="00064168" w:rsidP="00064168">
    <w:pPr>
      <w:pStyle w:val="Footer"/>
      <w:jc w:val="left"/>
      <w:rPr>
        <w:szCs w:val="18"/>
      </w:rPr>
    </w:pPr>
    <w:r w:rsidRPr="00870B05">
      <w:t>Last updated</w:t>
    </w:r>
    <w:r>
      <w:t xml:space="preserve"> – </w:t>
    </w:r>
    <w:r w:rsidR="00FD5091">
      <w:t>31 May</w:t>
    </w:r>
    <w:r>
      <w:t xml:space="preserve"> 20</w:t>
    </w:r>
    <w:r w:rsidR="00060B05">
      <w:t>2</w:t>
    </w:r>
    <w:r w:rsidR="00F77513">
      <w:t>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6F42" w14:textId="77777777" w:rsidR="003F5CC7" w:rsidRDefault="003F5CC7" w:rsidP="006B56BB">
      <w:r>
        <w:separator/>
      </w:r>
    </w:p>
    <w:p w14:paraId="61332CC3" w14:textId="77777777" w:rsidR="003F5CC7" w:rsidRDefault="003F5CC7"/>
  </w:footnote>
  <w:footnote w:type="continuationSeparator" w:id="0">
    <w:p w14:paraId="27DE5731" w14:textId="77777777" w:rsidR="003F5CC7" w:rsidRDefault="003F5CC7" w:rsidP="006B56BB">
      <w:r>
        <w:continuationSeparator/>
      </w:r>
    </w:p>
    <w:p w14:paraId="17C3B352" w14:textId="77777777" w:rsidR="003F5CC7" w:rsidRDefault="003F5CC7"/>
  </w:footnote>
  <w:footnote w:type="continuationNotice" w:id="1">
    <w:p w14:paraId="597BF6E4" w14:textId="77777777" w:rsidR="003F5CC7" w:rsidRDefault="003F5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9BD4165"/>
    <w:multiLevelType w:val="hybridMultilevel"/>
    <w:tmpl w:val="FFF04C8C"/>
    <w:lvl w:ilvl="0" w:tplc="0C090001">
      <w:start w:val="1"/>
      <w:numFmt w:val="bullet"/>
      <w:lvlText w:val=""/>
      <w:lvlJc w:val="left"/>
      <w:rPr>
        <w:rFonts w:ascii="Symbol" w:hAnsi="Symbol" w:hint="default"/>
      </w:rPr>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25615147">
    <w:abstractNumId w:val="7"/>
  </w:num>
  <w:num w:numId="2" w16cid:durableId="318921739">
    <w:abstractNumId w:val="18"/>
  </w:num>
  <w:num w:numId="3" w16cid:durableId="796723573">
    <w:abstractNumId w:val="20"/>
  </w:num>
  <w:num w:numId="4" w16cid:durableId="765465722">
    <w:abstractNumId w:val="8"/>
  </w:num>
  <w:num w:numId="5" w16cid:durableId="924338575">
    <w:abstractNumId w:val="8"/>
    <w:lvlOverride w:ilvl="0">
      <w:startOverride w:val="1"/>
    </w:lvlOverride>
  </w:num>
  <w:num w:numId="6" w16cid:durableId="857279701">
    <w:abstractNumId w:val="9"/>
  </w:num>
  <w:num w:numId="7" w16cid:durableId="1985742754">
    <w:abstractNumId w:val="16"/>
  </w:num>
  <w:num w:numId="8" w16cid:durableId="716242997">
    <w:abstractNumId w:val="19"/>
  </w:num>
  <w:num w:numId="9" w16cid:durableId="968130052">
    <w:abstractNumId w:val="5"/>
  </w:num>
  <w:num w:numId="10" w16cid:durableId="900141413">
    <w:abstractNumId w:val="4"/>
  </w:num>
  <w:num w:numId="11" w16cid:durableId="1858276031">
    <w:abstractNumId w:val="3"/>
  </w:num>
  <w:num w:numId="12" w16cid:durableId="1368292194">
    <w:abstractNumId w:val="2"/>
  </w:num>
  <w:num w:numId="13" w16cid:durableId="151145049">
    <w:abstractNumId w:val="6"/>
  </w:num>
  <w:num w:numId="14" w16cid:durableId="222644814">
    <w:abstractNumId w:val="1"/>
  </w:num>
  <w:num w:numId="15" w16cid:durableId="234359432">
    <w:abstractNumId w:val="0"/>
  </w:num>
  <w:num w:numId="16" w16cid:durableId="580916026">
    <w:abstractNumId w:val="21"/>
  </w:num>
  <w:num w:numId="17" w16cid:durableId="389696355">
    <w:abstractNumId w:val="10"/>
  </w:num>
  <w:num w:numId="18" w16cid:durableId="1563908007">
    <w:abstractNumId w:val="12"/>
  </w:num>
  <w:num w:numId="19" w16cid:durableId="1777165883">
    <w:abstractNumId w:val="14"/>
  </w:num>
  <w:num w:numId="20" w16cid:durableId="1336807360">
    <w:abstractNumId w:val="10"/>
  </w:num>
  <w:num w:numId="21" w16cid:durableId="71320677">
    <w:abstractNumId w:val="14"/>
  </w:num>
  <w:num w:numId="22" w16cid:durableId="1161581744">
    <w:abstractNumId w:val="21"/>
  </w:num>
  <w:num w:numId="23" w16cid:durableId="1292009077">
    <w:abstractNumId w:val="18"/>
  </w:num>
  <w:num w:numId="24" w16cid:durableId="937297561">
    <w:abstractNumId w:val="20"/>
  </w:num>
  <w:num w:numId="25" w16cid:durableId="322126585">
    <w:abstractNumId w:val="8"/>
  </w:num>
  <w:num w:numId="26" w16cid:durableId="296498926">
    <w:abstractNumId w:val="17"/>
  </w:num>
  <w:num w:numId="27" w16cid:durableId="127479821">
    <w:abstractNumId w:val="11"/>
  </w:num>
  <w:num w:numId="28" w16cid:durableId="1882982725">
    <w:abstractNumId w:val="13"/>
  </w:num>
  <w:num w:numId="29" w16cid:durableId="1890989420">
    <w:abstractNumId w:val="13"/>
  </w:num>
  <w:num w:numId="30" w16cid:durableId="1785808501">
    <w:abstractNumId w:val="15"/>
  </w:num>
  <w:num w:numId="31" w16cid:durableId="2382521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23B6"/>
    <w:rsid w:val="0001460F"/>
    <w:rsid w:val="00014F94"/>
    <w:rsid w:val="00017129"/>
    <w:rsid w:val="00022629"/>
    <w:rsid w:val="00024DFE"/>
    <w:rsid w:val="00025954"/>
    <w:rsid w:val="00026139"/>
    <w:rsid w:val="00027601"/>
    <w:rsid w:val="00030EBF"/>
    <w:rsid w:val="000312DC"/>
    <w:rsid w:val="00033321"/>
    <w:rsid w:val="000338E5"/>
    <w:rsid w:val="00033ECC"/>
    <w:rsid w:val="0003422F"/>
    <w:rsid w:val="000443C5"/>
    <w:rsid w:val="00046FF0"/>
    <w:rsid w:val="00050176"/>
    <w:rsid w:val="00050342"/>
    <w:rsid w:val="00060B05"/>
    <w:rsid w:val="00064168"/>
    <w:rsid w:val="00067456"/>
    <w:rsid w:val="00071506"/>
    <w:rsid w:val="0007154F"/>
    <w:rsid w:val="000802DB"/>
    <w:rsid w:val="00080BAC"/>
    <w:rsid w:val="00081AB1"/>
    <w:rsid w:val="00090316"/>
    <w:rsid w:val="00093981"/>
    <w:rsid w:val="00095843"/>
    <w:rsid w:val="000B067A"/>
    <w:rsid w:val="000B1540"/>
    <w:rsid w:val="000B1E53"/>
    <w:rsid w:val="000B33FD"/>
    <w:rsid w:val="000B4ABA"/>
    <w:rsid w:val="000B5664"/>
    <w:rsid w:val="000C1CA8"/>
    <w:rsid w:val="000C43D7"/>
    <w:rsid w:val="000C4B16"/>
    <w:rsid w:val="000C50C3"/>
    <w:rsid w:val="000C5E14"/>
    <w:rsid w:val="000C7B2A"/>
    <w:rsid w:val="000D0542"/>
    <w:rsid w:val="000D0BD8"/>
    <w:rsid w:val="000D21F6"/>
    <w:rsid w:val="000D4500"/>
    <w:rsid w:val="000D7AEA"/>
    <w:rsid w:val="000E2C66"/>
    <w:rsid w:val="000F123C"/>
    <w:rsid w:val="000F2FED"/>
    <w:rsid w:val="000F7D03"/>
    <w:rsid w:val="00101A94"/>
    <w:rsid w:val="0010324A"/>
    <w:rsid w:val="00103F2B"/>
    <w:rsid w:val="0010616D"/>
    <w:rsid w:val="00110478"/>
    <w:rsid w:val="00113913"/>
    <w:rsid w:val="00114DC7"/>
    <w:rsid w:val="0011711B"/>
    <w:rsid w:val="00117F8A"/>
    <w:rsid w:val="00121B9B"/>
    <w:rsid w:val="00122ADC"/>
    <w:rsid w:val="001245EF"/>
    <w:rsid w:val="00130F59"/>
    <w:rsid w:val="00133EC0"/>
    <w:rsid w:val="00141778"/>
    <w:rsid w:val="00141CE5"/>
    <w:rsid w:val="00144908"/>
    <w:rsid w:val="00144B54"/>
    <w:rsid w:val="00153C99"/>
    <w:rsid w:val="00156D96"/>
    <w:rsid w:val="001571C7"/>
    <w:rsid w:val="00157C2F"/>
    <w:rsid w:val="00161094"/>
    <w:rsid w:val="00167BB1"/>
    <w:rsid w:val="001738E0"/>
    <w:rsid w:val="0017665C"/>
    <w:rsid w:val="00177AD2"/>
    <w:rsid w:val="001815A8"/>
    <w:rsid w:val="001840FA"/>
    <w:rsid w:val="00190079"/>
    <w:rsid w:val="0019622E"/>
    <w:rsid w:val="001966A7"/>
    <w:rsid w:val="001A4627"/>
    <w:rsid w:val="001A4979"/>
    <w:rsid w:val="001B15D3"/>
    <w:rsid w:val="001B3443"/>
    <w:rsid w:val="001B4AC8"/>
    <w:rsid w:val="001C0326"/>
    <w:rsid w:val="001C192F"/>
    <w:rsid w:val="001C3C42"/>
    <w:rsid w:val="001D4A3B"/>
    <w:rsid w:val="001D7869"/>
    <w:rsid w:val="001F0D41"/>
    <w:rsid w:val="002026CD"/>
    <w:rsid w:val="002033FC"/>
    <w:rsid w:val="002044BB"/>
    <w:rsid w:val="00210B09"/>
    <w:rsid w:val="00210C9E"/>
    <w:rsid w:val="00211840"/>
    <w:rsid w:val="002152C8"/>
    <w:rsid w:val="00220E5F"/>
    <w:rsid w:val="002212B5"/>
    <w:rsid w:val="00226668"/>
    <w:rsid w:val="00233809"/>
    <w:rsid w:val="00240046"/>
    <w:rsid w:val="00246D5F"/>
    <w:rsid w:val="0024797F"/>
    <w:rsid w:val="0025119E"/>
    <w:rsid w:val="00251269"/>
    <w:rsid w:val="002535C0"/>
    <w:rsid w:val="002579FE"/>
    <w:rsid w:val="00260552"/>
    <w:rsid w:val="0026311C"/>
    <w:rsid w:val="00263854"/>
    <w:rsid w:val="00263A53"/>
    <w:rsid w:val="0026668C"/>
    <w:rsid w:val="00266AC1"/>
    <w:rsid w:val="0027178C"/>
    <w:rsid w:val="00271954"/>
    <w:rsid w:val="002719FA"/>
    <w:rsid w:val="00272668"/>
    <w:rsid w:val="0027330B"/>
    <w:rsid w:val="00273732"/>
    <w:rsid w:val="00274855"/>
    <w:rsid w:val="002803AD"/>
    <w:rsid w:val="00282052"/>
    <w:rsid w:val="002831A3"/>
    <w:rsid w:val="0028519E"/>
    <w:rsid w:val="002856A5"/>
    <w:rsid w:val="002872ED"/>
    <w:rsid w:val="002905C2"/>
    <w:rsid w:val="00295AF2"/>
    <w:rsid w:val="00295C91"/>
    <w:rsid w:val="00297151"/>
    <w:rsid w:val="002A6FF1"/>
    <w:rsid w:val="002B20E6"/>
    <w:rsid w:val="002B42A3"/>
    <w:rsid w:val="002B6D7E"/>
    <w:rsid w:val="002C0CDD"/>
    <w:rsid w:val="002C38C4"/>
    <w:rsid w:val="002C46AA"/>
    <w:rsid w:val="002E1A1D"/>
    <w:rsid w:val="002E4081"/>
    <w:rsid w:val="002E5B78"/>
    <w:rsid w:val="002F3AE3"/>
    <w:rsid w:val="0030464B"/>
    <w:rsid w:val="0030786C"/>
    <w:rsid w:val="003233DE"/>
    <w:rsid w:val="0032466B"/>
    <w:rsid w:val="00327691"/>
    <w:rsid w:val="00332209"/>
    <w:rsid w:val="003330EB"/>
    <w:rsid w:val="0034095A"/>
    <w:rsid w:val="003415FD"/>
    <w:rsid w:val="003429F0"/>
    <w:rsid w:val="00344F51"/>
    <w:rsid w:val="00345A82"/>
    <w:rsid w:val="0035097A"/>
    <w:rsid w:val="0035165C"/>
    <w:rsid w:val="00353BD0"/>
    <w:rsid w:val="003540A4"/>
    <w:rsid w:val="00357BCC"/>
    <w:rsid w:val="00360E4E"/>
    <w:rsid w:val="00370AAA"/>
    <w:rsid w:val="00371382"/>
    <w:rsid w:val="00371D9B"/>
    <w:rsid w:val="00375F77"/>
    <w:rsid w:val="00381BBE"/>
    <w:rsid w:val="00382903"/>
    <w:rsid w:val="003846FF"/>
    <w:rsid w:val="00385043"/>
    <w:rsid w:val="003857D4"/>
    <w:rsid w:val="00385AD4"/>
    <w:rsid w:val="00385C01"/>
    <w:rsid w:val="00387924"/>
    <w:rsid w:val="0039384D"/>
    <w:rsid w:val="00395C23"/>
    <w:rsid w:val="00397B97"/>
    <w:rsid w:val="003A2E4F"/>
    <w:rsid w:val="003A3A17"/>
    <w:rsid w:val="003A4438"/>
    <w:rsid w:val="003A5013"/>
    <w:rsid w:val="003A5078"/>
    <w:rsid w:val="003A62DD"/>
    <w:rsid w:val="003A775A"/>
    <w:rsid w:val="003B0A79"/>
    <w:rsid w:val="003B213A"/>
    <w:rsid w:val="003B43AD"/>
    <w:rsid w:val="003C0FEC"/>
    <w:rsid w:val="003C1580"/>
    <w:rsid w:val="003C2AC8"/>
    <w:rsid w:val="003D033A"/>
    <w:rsid w:val="003D17F9"/>
    <w:rsid w:val="003D2D88"/>
    <w:rsid w:val="003D41EA"/>
    <w:rsid w:val="003D4850"/>
    <w:rsid w:val="003D535A"/>
    <w:rsid w:val="003E2941"/>
    <w:rsid w:val="003E5265"/>
    <w:rsid w:val="003F0955"/>
    <w:rsid w:val="003F5CC7"/>
    <w:rsid w:val="003F5F4D"/>
    <w:rsid w:val="003F646F"/>
    <w:rsid w:val="00400F00"/>
    <w:rsid w:val="00404F8B"/>
    <w:rsid w:val="00405256"/>
    <w:rsid w:val="00405ADD"/>
    <w:rsid w:val="00406E5A"/>
    <w:rsid w:val="00410031"/>
    <w:rsid w:val="00411160"/>
    <w:rsid w:val="00415C81"/>
    <w:rsid w:val="00416047"/>
    <w:rsid w:val="004219A4"/>
    <w:rsid w:val="00422158"/>
    <w:rsid w:val="00431777"/>
    <w:rsid w:val="00432378"/>
    <w:rsid w:val="0043289E"/>
    <w:rsid w:val="0043782A"/>
    <w:rsid w:val="00440D65"/>
    <w:rsid w:val="00442C58"/>
    <w:rsid w:val="004435E6"/>
    <w:rsid w:val="00447E31"/>
    <w:rsid w:val="00453923"/>
    <w:rsid w:val="00454B9B"/>
    <w:rsid w:val="00455DAE"/>
    <w:rsid w:val="00457858"/>
    <w:rsid w:val="004604E1"/>
    <w:rsid w:val="00460B0B"/>
    <w:rsid w:val="00461023"/>
    <w:rsid w:val="00462FAC"/>
    <w:rsid w:val="00464631"/>
    <w:rsid w:val="00464B79"/>
    <w:rsid w:val="00467BBF"/>
    <w:rsid w:val="0048593C"/>
    <w:rsid w:val="004867E2"/>
    <w:rsid w:val="004871BB"/>
    <w:rsid w:val="004878F2"/>
    <w:rsid w:val="004929A9"/>
    <w:rsid w:val="004A3333"/>
    <w:rsid w:val="004A78D9"/>
    <w:rsid w:val="004B2CD6"/>
    <w:rsid w:val="004B360C"/>
    <w:rsid w:val="004B6C54"/>
    <w:rsid w:val="004C1BCD"/>
    <w:rsid w:val="004C30F7"/>
    <w:rsid w:val="004C6BCF"/>
    <w:rsid w:val="004D58BF"/>
    <w:rsid w:val="004E4335"/>
    <w:rsid w:val="004E5226"/>
    <w:rsid w:val="004F13EE"/>
    <w:rsid w:val="004F1515"/>
    <w:rsid w:val="004F2022"/>
    <w:rsid w:val="004F2814"/>
    <w:rsid w:val="004F7C05"/>
    <w:rsid w:val="00501C94"/>
    <w:rsid w:val="00506432"/>
    <w:rsid w:val="00506E82"/>
    <w:rsid w:val="00514E88"/>
    <w:rsid w:val="0052051D"/>
    <w:rsid w:val="00530049"/>
    <w:rsid w:val="00530666"/>
    <w:rsid w:val="0053218D"/>
    <w:rsid w:val="00545EE6"/>
    <w:rsid w:val="005550E7"/>
    <w:rsid w:val="005564FB"/>
    <w:rsid w:val="005572C7"/>
    <w:rsid w:val="005650ED"/>
    <w:rsid w:val="00566664"/>
    <w:rsid w:val="005712CA"/>
    <w:rsid w:val="00572A7F"/>
    <w:rsid w:val="00575754"/>
    <w:rsid w:val="00575D95"/>
    <w:rsid w:val="00580B13"/>
    <w:rsid w:val="00581FBA"/>
    <w:rsid w:val="0058426C"/>
    <w:rsid w:val="005858A4"/>
    <w:rsid w:val="00591E20"/>
    <w:rsid w:val="0059247A"/>
    <w:rsid w:val="00592609"/>
    <w:rsid w:val="00595408"/>
    <w:rsid w:val="00595544"/>
    <w:rsid w:val="00595E84"/>
    <w:rsid w:val="005A0C59"/>
    <w:rsid w:val="005A48EB"/>
    <w:rsid w:val="005A6CFB"/>
    <w:rsid w:val="005B2165"/>
    <w:rsid w:val="005C1E4B"/>
    <w:rsid w:val="005C5062"/>
    <w:rsid w:val="005C5AEB"/>
    <w:rsid w:val="005C5FB8"/>
    <w:rsid w:val="005D4815"/>
    <w:rsid w:val="005D5F4E"/>
    <w:rsid w:val="005E0A3F"/>
    <w:rsid w:val="005E1AF9"/>
    <w:rsid w:val="005E2D76"/>
    <w:rsid w:val="005E6883"/>
    <w:rsid w:val="005E772F"/>
    <w:rsid w:val="005E78C6"/>
    <w:rsid w:val="005F4ECA"/>
    <w:rsid w:val="006004B6"/>
    <w:rsid w:val="00602EBD"/>
    <w:rsid w:val="00602FB2"/>
    <w:rsid w:val="00603935"/>
    <w:rsid w:val="006041BE"/>
    <w:rsid w:val="006043C7"/>
    <w:rsid w:val="00612323"/>
    <w:rsid w:val="00614ABA"/>
    <w:rsid w:val="00616784"/>
    <w:rsid w:val="00616D0E"/>
    <w:rsid w:val="00620315"/>
    <w:rsid w:val="00624B52"/>
    <w:rsid w:val="0062700D"/>
    <w:rsid w:val="00630794"/>
    <w:rsid w:val="00631DF4"/>
    <w:rsid w:val="006335DA"/>
    <w:rsid w:val="00634175"/>
    <w:rsid w:val="0063574E"/>
    <w:rsid w:val="006408AC"/>
    <w:rsid w:val="006427B2"/>
    <w:rsid w:val="00642F20"/>
    <w:rsid w:val="00645430"/>
    <w:rsid w:val="006511B6"/>
    <w:rsid w:val="00652568"/>
    <w:rsid w:val="00657FF8"/>
    <w:rsid w:val="00663978"/>
    <w:rsid w:val="00663F71"/>
    <w:rsid w:val="00667ADE"/>
    <w:rsid w:val="00670D99"/>
    <w:rsid w:val="00670E2B"/>
    <w:rsid w:val="00673157"/>
    <w:rsid w:val="006734BB"/>
    <w:rsid w:val="0067697A"/>
    <w:rsid w:val="006821EB"/>
    <w:rsid w:val="00696D38"/>
    <w:rsid w:val="006A1BED"/>
    <w:rsid w:val="006A4EBC"/>
    <w:rsid w:val="006B2286"/>
    <w:rsid w:val="006B56BB"/>
    <w:rsid w:val="006C085B"/>
    <w:rsid w:val="006C1668"/>
    <w:rsid w:val="006C2168"/>
    <w:rsid w:val="006C3179"/>
    <w:rsid w:val="006C342C"/>
    <w:rsid w:val="006C77A8"/>
    <w:rsid w:val="006D051D"/>
    <w:rsid w:val="006D4098"/>
    <w:rsid w:val="006D4461"/>
    <w:rsid w:val="006D7681"/>
    <w:rsid w:val="006D7B2E"/>
    <w:rsid w:val="006E02EA"/>
    <w:rsid w:val="006E0968"/>
    <w:rsid w:val="006E2AF6"/>
    <w:rsid w:val="006E5836"/>
    <w:rsid w:val="006F5073"/>
    <w:rsid w:val="00701275"/>
    <w:rsid w:val="00701D52"/>
    <w:rsid w:val="007023A9"/>
    <w:rsid w:val="007026E8"/>
    <w:rsid w:val="00705E45"/>
    <w:rsid w:val="00707F56"/>
    <w:rsid w:val="007117BE"/>
    <w:rsid w:val="00712453"/>
    <w:rsid w:val="00713558"/>
    <w:rsid w:val="0071462C"/>
    <w:rsid w:val="007157FD"/>
    <w:rsid w:val="00716FD5"/>
    <w:rsid w:val="00720D08"/>
    <w:rsid w:val="007263B9"/>
    <w:rsid w:val="007274AB"/>
    <w:rsid w:val="007334F8"/>
    <w:rsid w:val="007339CD"/>
    <w:rsid w:val="007359D8"/>
    <w:rsid w:val="007362D4"/>
    <w:rsid w:val="00737AA9"/>
    <w:rsid w:val="007530C9"/>
    <w:rsid w:val="007619BC"/>
    <w:rsid w:val="00764BB3"/>
    <w:rsid w:val="0076672A"/>
    <w:rsid w:val="00770B51"/>
    <w:rsid w:val="00770FCF"/>
    <w:rsid w:val="00771D25"/>
    <w:rsid w:val="00771ECA"/>
    <w:rsid w:val="00775E45"/>
    <w:rsid w:val="00776E74"/>
    <w:rsid w:val="00782717"/>
    <w:rsid w:val="00785169"/>
    <w:rsid w:val="007954AB"/>
    <w:rsid w:val="007A14C5"/>
    <w:rsid w:val="007A4A10"/>
    <w:rsid w:val="007A4BB1"/>
    <w:rsid w:val="007B1750"/>
    <w:rsid w:val="007B1760"/>
    <w:rsid w:val="007B1B54"/>
    <w:rsid w:val="007B5855"/>
    <w:rsid w:val="007B6D17"/>
    <w:rsid w:val="007C1FDC"/>
    <w:rsid w:val="007C31DD"/>
    <w:rsid w:val="007C44B2"/>
    <w:rsid w:val="007C6D9C"/>
    <w:rsid w:val="007C7DDB"/>
    <w:rsid w:val="007D2CC7"/>
    <w:rsid w:val="007D673D"/>
    <w:rsid w:val="007E0068"/>
    <w:rsid w:val="007E0FB8"/>
    <w:rsid w:val="007E244B"/>
    <w:rsid w:val="007E4D09"/>
    <w:rsid w:val="007F1CE6"/>
    <w:rsid w:val="007F2220"/>
    <w:rsid w:val="007F4B3E"/>
    <w:rsid w:val="0080408D"/>
    <w:rsid w:val="00805DF6"/>
    <w:rsid w:val="00807A89"/>
    <w:rsid w:val="008127AF"/>
    <w:rsid w:val="00812B46"/>
    <w:rsid w:val="00815700"/>
    <w:rsid w:val="0082246B"/>
    <w:rsid w:val="008264EB"/>
    <w:rsid w:val="00826B8F"/>
    <w:rsid w:val="00831E8A"/>
    <w:rsid w:val="008328B5"/>
    <w:rsid w:val="00835C76"/>
    <w:rsid w:val="00836806"/>
    <w:rsid w:val="008376E2"/>
    <w:rsid w:val="00843049"/>
    <w:rsid w:val="008437CA"/>
    <w:rsid w:val="00845BE8"/>
    <w:rsid w:val="0085209B"/>
    <w:rsid w:val="0085280C"/>
    <w:rsid w:val="00854446"/>
    <w:rsid w:val="00856B66"/>
    <w:rsid w:val="008601AC"/>
    <w:rsid w:val="00861A5F"/>
    <w:rsid w:val="00863186"/>
    <w:rsid w:val="008644AD"/>
    <w:rsid w:val="00865735"/>
    <w:rsid w:val="00865DDB"/>
    <w:rsid w:val="00867538"/>
    <w:rsid w:val="00871B54"/>
    <w:rsid w:val="00873D90"/>
    <w:rsid w:val="00873FC8"/>
    <w:rsid w:val="00884C63"/>
    <w:rsid w:val="00885908"/>
    <w:rsid w:val="008864B7"/>
    <w:rsid w:val="008869D3"/>
    <w:rsid w:val="00890037"/>
    <w:rsid w:val="0089640F"/>
    <w:rsid w:val="0089677E"/>
    <w:rsid w:val="00896933"/>
    <w:rsid w:val="008A05BC"/>
    <w:rsid w:val="008A0A22"/>
    <w:rsid w:val="008A28C3"/>
    <w:rsid w:val="008A7438"/>
    <w:rsid w:val="008B1334"/>
    <w:rsid w:val="008B25C7"/>
    <w:rsid w:val="008B4E2D"/>
    <w:rsid w:val="008B7839"/>
    <w:rsid w:val="008C0278"/>
    <w:rsid w:val="008C0EFA"/>
    <w:rsid w:val="008C23FC"/>
    <w:rsid w:val="008C24E9"/>
    <w:rsid w:val="008D0533"/>
    <w:rsid w:val="008D35E7"/>
    <w:rsid w:val="008D377B"/>
    <w:rsid w:val="008D42CB"/>
    <w:rsid w:val="008D48C9"/>
    <w:rsid w:val="008D6381"/>
    <w:rsid w:val="008E0C77"/>
    <w:rsid w:val="008E57E2"/>
    <w:rsid w:val="008E625F"/>
    <w:rsid w:val="008E6E2A"/>
    <w:rsid w:val="008F264D"/>
    <w:rsid w:val="008F715D"/>
    <w:rsid w:val="008F7595"/>
    <w:rsid w:val="008F7A3E"/>
    <w:rsid w:val="009040E9"/>
    <w:rsid w:val="009074E1"/>
    <w:rsid w:val="009112F7"/>
    <w:rsid w:val="009122AF"/>
    <w:rsid w:val="00912D54"/>
    <w:rsid w:val="0091389F"/>
    <w:rsid w:val="00916A5F"/>
    <w:rsid w:val="009208F7"/>
    <w:rsid w:val="00921649"/>
    <w:rsid w:val="00922517"/>
    <w:rsid w:val="00922722"/>
    <w:rsid w:val="009261E6"/>
    <w:rsid w:val="009268E1"/>
    <w:rsid w:val="009271EE"/>
    <w:rsid w:val="009344AE"/>
    <w:rsid w:val="009344DE"/>
    <w:rsid w:val="00942D89"/>
    <w:rsid w:val="00945E7F"/>
    <w:rsid w:val="009557C1"/>
    <w:rsid w:val="00955FDB"/>
    <w:rsid w:val="00960D6E"/>
    <w:rsid w:val="00974B08"/>
    <w:rsid w:val="00974B59"/>
    <w:rsid w:val="00975F74"/>
    <w:rsid w:val="0098340B"/>
    <w:rsid w:val="00986830"/>
    <w:rsid w:val="009924C3"/>
    <w:rsid w:val="00993102"/>
    <w:rsid w:val="009A4434"/>
    <w:rsid w:val="009B129E"/>
    <w:rsid w:val="009B1570"/>
    <w:rsid w:val="009B43DA"/>
    <w:rsid w:val="009C1460"/>
    <w:rsid w:val="009C5DE7"/>
    <w:rsid w:val="009C6F10"/>
    <w:rsid w:val="009C77B1"/>
    <w:rsid w:val="009D148F"/>
    <w:rsid w:val="009D3D70"/>
    <w:rsid w:val="009E204F"/>
    <w:rsid w:val="009E6F7E"/>
    <w:rsid w:val="009E7A57"/>
    <w:rsid w:val="009F4803"/>
    <w:rsid w:val="009F4F6A"/>
    <w:rsid w:val="00A01138"/>
    <w:rsid w:val="00A079A6"/>
    <w:rsid w:val="00A118C7"/>
    <w:rsid w:val="00A13EB5"/>
    <w:rsid w:val="00A14BD2"/>
    <w:rsid w:val="00A15DE9"/>
    <w:rsid w:val="00A16E36"/>
    <w:rsid w:val="00A20C2B"/>
    <w:rsid w:val="00A22A30"/>
    <w:rsid w:val="00A24961"/>
    <w:rsid w:val="00A24B10"/>
    <w:rsid w:val="00A277EF"/>
    <w:rsid w:val="00A30E9B"/>
    <w:rsid w:val="00A31F34"/>
    <w:rsid w:val="00A421D4"/>
    <w:rsid w:val="00A4512D"/>
    <w:rsid w:val="00A50244"/>
    <w:rsid w:val="00A533DB"/>
    <w:rsid w:val="00A627D7"/>
    <w:rsid w:val="00A64747"/>
    <w:rsid w:val="00A656C7"/>
    <w:rsid w:val="00A705AF"/>
    <w:rsid w:val="00A719F6"/>
    <w:rsid w:val="00A72454"/>
    <w:rsid w:val="00A727CC"/>
    <w:rsid w:val="00A72D14"/>
    <w:rsid w:val="00A74EB1"/>
    <w:rsid w:val="00A77696"/>
    <w:rsid w:val="00A80557"/>
    <w:rsid w:val="00A81D33"/>
    <w:rsid w:val="00A8341C"/>
    <w:rsid w:val="00A86DFD"/>
    <w:rsid w:val="00A90226"/>
    <w:rsid w:val="00A91E89"/>
    <w:rsid w:val="00A930AE"/>
    <w:rsid w:val="00AA1A95"/>
    <w:rsid w:val="00AA260F"/>
    <w:rsid w:val="00AA6190"/>
    <w:rsid w:val="00AB05FF"/>
    <w:rsid w:val="00AB121A"/>
    <w:rsid w:val="00AB1EE7"/>
    <w:rsid w:val="00AB4B37"/>
    <w:rsid w:val="00AB5762"/>
    <w:rsid w:val="00AC2679"/>
    <w:rsid w:val="00AC4BE4"/>
    <w:rsid w:val="00AC77D5"/>
    <w:rsid w:val="00AC7A46"/>
    <w:rsid w:val="00AD05E6"/>
    <w:rsid w:val="00AD0D3F"/>
    <w:rsid w:val="00AD3253"/>
    <w:rsid w:val="00AE1D7D"/>
    <w:rsid w:val="00AE2A8B"/>
    <w:rsid w:val="00AE3F64"/>
    <w:rsid w:val="00AF7386"/>
    <w:rsid w:val="00AF7934"/>
    <w:rsid w:val="00B00B81"/>
    <w:rsid w:val="00B03F8A"/>
    <w:rsid w:val="00B04091"/>
    <w:rsid w:val="00B04580"/>
    <w:rsid w:val="00B04B09"/>
    <w:rsid w:val="00B11186"/>
    <w:rsid w:val="00B16A51"/>
    <w:rsid w:val="00B2147C"/>
    <w:rsid w:val="00B238F5"/>
    <w:rsid w:val="00B31A42"/>
    <w:rsid w:val="00B32222"/>
    <w:rsid w:val="00B3618D"/>
    <w:rsid w:val="00B36233"/>
    <w:rsid w:val="00B42851"/>
    <w:rsid w:val="00B45350"/>
    <w:rsid w:val="00B45AC7"/>
    <w:rsid w:val="00B52BA0"/>
    <w:rsid w:val="00B5372F"/>
    <w:rsid w:val="00B53987"/>
    <w:rsid w:val="00B54AF1"/>
    <w:rsid w:val="00B56BBF"/>
    <w:rsid w:val="00B61129"/>
    <w:rsid w:val="00B64A64"/>
    <w:rsid w:val="00B67E7F"/>
    <w:rsid w:val="00B764A1"/>
    <w:rsid w:val="00B76DB3"/>
    <w:rsid w:val="00B777DB"/>
    <w:rsid w:val="00B77C4E"/>
    <w:rsid w:val="00B839B2"/>
    <w:rsid w:val="00B90F3F"/>
    <w:rsid w:val="00B91652"/>
    <w:rsid w:val="00B94252"/>
    <w:rsid w:val="00B95D8A"/>
    <w:rsid w:val="00B9715A"/>
    <w:rsid w:val="00BA14BE"/>
    <w:rsid w:val="00BA2732"/>
    <w:rsid w:val="00BA293D"/>
    <w:rsid w:val="00BA49BC"/>
    <w:rsid w:val="00BA56B7"/>
    <w:rsid w:val="00BA7A1E"/>
    <w:rsid w:val="00BB1680"/>
    <w:rsid w:val="00BB1B3D"/>
    <w:rsid w:val="00BB2F6C"/>
    <w:rsid w:val="00BB3875"/>
    <w:rsid w:val="00BB5860"/>
    <w:rsid w:val="00BB5BC7"/>
    <w:rsid w:val="00BB6AAD"/>
    <w:rsid w:val="00BC19A8"/>
    <w:rsid w:val="00BC4A19"/>
    <w:rsid w:val="00BC4E6D"/>
    <w:rsid w:val="00BC726F"/>
    <w:rsid w:val="00BD0617"/>
    <w:rsid w:val="00BD0A9E"/>
    <w:rsid w:val="00BD2E9B"/>
    <w:rsid w:val="00BD4279"/>
    <w:rsid w:val="00BD7FB2"/>
    <w:rsid w:val="00BE31C2"/>
    <w:rsid w:val="00BE3ED5"/>
    <w:rsid w:val="00C00930"/>
    <w:rsid w:val="00C060AD"/>
    <w:rsid w:val="00C113BF"/>
    <w:rsid w:val="00C118AB"/>
    <w:rsid w:val="00C2176E"/>
    <w:rsid w:val="00C22451"/>
    <w:rsid w:val="00C23430"/>
    <w:rsid w:val="00C24853"/>
    <w:rsid w:val="00C27D67"/>
    <w:rsid w:val="00C30840"/>
    <w:rsid w:val="00C435AF"/>
    <w:rsid w:val="00C4631F"/>
    <w:rsid w:val="00C47CDE"/>
    <w:rsid w:val="00C50E16"/>
    <w:rsid w:val="00C52057"/>
    <w:rsid w:val="00C52EBB"/>
    <w:rsid w:val="00C55258"/>
    <w:rsid w:val="00C64AFD"/>
    <w:rsid w:val="00C665D0"/>
    <w:rsid w:val="00C728F3"/>
    <w:rsid w:val="00C75FA3"/>
    <w:rsid w:val="00C80EDB"/>
    <w:rsid w:val="00C82EEB"/>
    <w:rsid w:val="00C9346B"/>
    <w:rsid w:val="00C942B1"/>
    <w:rsid w:val="00C96F5A"/>
    <w:rsid w:val="00C971DC"/>
    <w:rsid w:val="00CA036F"/>
    <w:rsid w:val="00CA16B7"/>
    <w:rsid w:val="00CA36C0"/>
    <w:rsid w:val="00CA583E"/>
    <w:rsid w:val="00CA62AE"/>
    <w:rsid w:val="00CB03B8"/>
    <w:rsid w:val="00CB4F04"/>
    <w:rsid w:val="00CB5B1A"/>
    <w:rsid w:val="00CB5D32"/>
    <w:rsid w:val="00CC220B"/>
    <w:rsid w:val="00CC5C43"/>
    <w:rsid w:val="00CD02AE"/>
    <w:rsid w:val="00CD0E4E"/>
    <w:rsid w:val="00CD2A4F"/>
    <w:rsid w:val="00CE03CA"/>
    <w:rsid w:val="00CE22F1"/>
    <w:rsid w:val="00CE3271"/>
    <w:rsid w:val="00CE50F2"/>
    <w:rsid w:val="00CE6502"/>
    <w:rsid w:val="00CE7F5C"/>
    <w:rsid w:val="00CF4DE7"/>
    <w:rsid w:val="00CF7D3C"/>
    <w:rsid w:val="00D00F74"/>
    <w:rsid w:val="00D01F09"/>
    <w:rsid w:val="00D02B6A"/>
    <w:rsid w:val="00D03527"/>
    <w:rsid w:val="00D147EB"/>
    <w:rsid w:val="00D34667"/>
    <w:rsid w:val="00D401E1"/>
    <w:rsid w:val="00D408B4"/>
    <w:rsid w:val="00D411C5"/>
    <w:rsid w:val="00D44330"/>
    <w:rsid w:val="00D524C8"/>
    <w:rsid w:val="00D54A16"/>
    <w:rsid w:val="00D57E32"/>
    <w:rsid w:val="00D6591A"/>
    <w:rsid w:val="00D67656"/>
    <w:rsid w:val="00D70E24"/>
    <w:rsid w:val="00D72B61"/>
    <w:rsid w:val="00D73B4A"/>
    <w:rsid w:val="00D75713"/>
    <w:rsid w:val="00D9291C"/>
    <w:rsid w:val="00D940D2"/>
    <w:rsid w:val="00D947D8"/>
    <w:rsid w:val="00DA3D1D"/>
    <w:rsid w:val="00DB5026"/>
    <w:rsid w:val="00DB6286"/>
    <w:rsid w:val="00DB645F"/>
    <w:rsid w:val="00DB76E9"/>
    <w:rsid w:val="00DC0A67"/>
    <w:rsid w:val="00DC1D5E"/>
    <w:rsid w:val="00DC5220"/>
    <w:rsid w:val="00DD2058"/>
    <w:rsid w:val="00DD2061"/>
    <w:rsid w:val="00DD7DAB"/>
    <w:rsid w:val="00DE1F20"/>
    <w:rsid w:val="00DE3355"/>
    <w:rsid w:val="00DF0C60"/>
    <w:rsid w:val="00DF3151"/>
    <w:rsid w:val="00DF486F"/>
    <w:rsid w:val="00DF5B5B"/>
    <w:rsid w:val="00DF752A"/>
    <w:rsid w:val="00DF7619"/>
    <w:rsid w:val="00E03054"/>
    <w:rsid w:val="00E042D8"/>
    <w:rsid w:val="00E07EE7"/>
    <w:rsid w:val="00E1103B"/>
    <w:rsid w:val="00E17B44"/>
    <w:rsid w:val="00E20F27"/>
    <w:rsid w:val="00E22443"/>
    <w:rsid w:val="00E25B1F"/>
    <w:rsid w:val="00E278D3"/>
    <w:rsid w:val="00E27FEA"/>
    <w:rsid w:val="00E330B2"/>
    <w:rsid w:val="00E34522"/>
    <w:rsid w:val="00E4086F"/>
    <w:rsid w:val="00E43B3C"/>
    <w:rsid w:val="00E50188"/>
    <w:rsid w:val="00E50BB3"/>
    <w:rsid w:val="00E50BC6"/>
    <w:rsid w:val="00E515CB"/>
    <w:rsid w:val="00E52260"/>
    <w:rsid w:val="00E56A1C"/>
    <w:rsid w:val="00E60003"/>
    <w:rsid w:val="00E639B6"/>
    <w:rsid w:val="00E6434B"/>
    <w:rsid w:val="00E6463D"/>
    <w:rsid w:val="00E71492"/>
    <w:rsid w:val="00E72E9B"/>
    <w:rsid w:val="00E7612A"/>
    <w:rsid w:val="00E850C3"/>
    <w:rsid w:val="00E87DF2"/>
    <w:rsid w:val="00E9462E"/>
    <w:rsid w:val="00EA470E"/>
    <w:rsid w:val="00EA47A7"/>
    <w:rsid w:val="00EA57EB"/>
    <w:rsid w:val="00EB208C"/>
    <w:rsid w:val="00EB3226"/>
    <w:rsid w:val="00EC213A"/>
    <w:rsid w:val="00EC524B"/>
    <w:rsid w:val="00EC7744"/>
    <w:rsid w:val="00ED0DAD"/>
    <w:rsid w:val="00ED0F46"/>
    <w:rsid w:val="00ED2373"/>
    <w:rsid w:val="00ED24F9"/>
    <w:rsid w:val="00ED2779"/>
    <w:rsid w:val="00ED2E38"/>
    <w:rsid w:val="00ED36B0"/>
    <w:rsid w:val="00ED48A0"/>
    <w:rsid w:val="00ED5B1E"/>
    <w:rsid w:val="00EE3E8A"/>
    <w:rsid w:val="00EF58B8"/>
    <w:rsid w:val="00EF6ECA"/>
    <w:rsid w:val="00F024E1"/>
    <w:rsid w:val="00F06C10"/>
    <w:rsid w:val="00F1096F"/>
    <w:rsid w:val="00F12589"/>
    <w:rsid w:val="00F12595"/>
    <w:rsid w:val="00F134D9"/>
    <w:rsid w:val="00F1403D"/>
    <w:rsid w:val="00F1463F"/>
    <w:rsid w:val="00F21302"/>
    <w:rsid w:val="00F2430D"/>
    <w:rsid w:val="00F25F42"/>
    <w:rsid w:val="00F308D8"/>
    <w:rsid w:val="00F321DE"/>
    <w:rsid w:val="00F33178"/>
    <w:rsid w:val="00F33777"/>
    <w:rsid w:val="00F362E6"/>
    <w:rsid w:val="00F36493"/>
    <w:rsid w:val="00F40648"/>
    <w:rsid w:val="00F47DA2"/>
    <w:rsid w:val="00F50177"/>
    <w:rsid w:val="00F51321"/>
    <w:rsid w:val="00F519FC"/>
    <w:rsid w:val="00F51BB0"/>
    <w:rsid w:val="00F539F5"/>
    <w:rsid w:val="00F6239D"/>
    <w:rsid w:val="00F715D2"/>
    <w:rsid w:val="00F7274F"/>
    <w:rsid w:val="00F73EB9"/>
    <w:rsid w:val="00F74E84"/>
    <w:rsid w:val="00F76DEA"/>
    <w:rsid w:val="00F76FA8"/>
    <w:rsid w:val="00F77513"/>
    <w:rsid w:val="00F85AFE"/>
    <w:rsid w:val="00F93F08"/>
    <w:rsid w:val="00F94CED"/>
    <w:rsid w:val="00FA02BB"/>
    <w:rsid w:val="00FA2CEE"/>
    <w:rsid w:val="00FA318C"/>
    <w:rsid w:val="00FA33E0"/>
    <w:rsid w:val="00FA567B"/>
    <w:rsid w:val="00FB25FB"/>
    <w:rsid w:val="00FB3293"/>
    <w:rsid w:val="00FB6E08"/>
    <w:rsid w:val="00FB6F92"/>
    <w:rsid w:val="00FC026E"/>
    <w:rsid w:val="00FC0C28"/>
    <w:rsid w:val="00FC5124"/>
    <w:rsid w:val="00FC57A0"/>
    <w:rsid w:val="00FC7E4D"/>
    <w:rsid w:val="00FD0C08"/>
    <w:rsid w:val="00FD1C5D"/>
    <w:rsid w:val="00FD4731"/>
    <w:rsid w:val="00FD5091"/>
    <w:rsid w:val="00FD6768"/>
    <w:rsid w:val="00FE44CC"/>
    <w:rsid w:val="00FF0AB0"/>
    <w:rsid w:val="00FF28AC"/>
    <w:rsid w:val="00FF2C30"/>
    <w:rsid w:val="00FF777D"/>
    <w:rsid w:val="00FF7DAA"/>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A14BD2"/>
    <w:rPr>
      <w:rFonts w:ascii="Arial" w:hAnsi="Arial" w:cs="Arial"/>
      <w:color w:val="000000" w:themeColor="text1"/>
      <w:sz w:val="22"/>
      <w:szCs w:val="24"/>
      <w:lang w:eastAsia="en-US"/>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14BD2"/>
    <w:pPr>
      <w:ind w:left="720"/>
      <w:contextualSpacing/>
    </w:pPr>
    <w:rPr>
      <w:rFonts w:cs="Arial"/>
    </w:rPr>
  </w:style>
  <w:style w:type="paragraph" w:styleId="Revision">
    <w:name w:val="Revision"/>
    <w:hidden/>
    <w:uiPriority w:val="99"/>
    <w:semiHidden/>
    <w:rsid w:val="002B6D7E"/>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4B6C54"/>
    <w:rPr>
      <w:sz w:val="16"/>
      <w:szCs w:val="16"/>
    </w:rPr>
  </w:style>
  <w:style w:type="paragraph" w:styleId="CommentSubject">
    <w:name w:val="annotation subject"/>
    <w:basedOn w:val="CommentText"/>
    <w:next w:val="CommentText"/>
    <w:link w:val="CommentSubjectChar"/>
    <w:semiHidden/>
    <w:unhideWhenUsed/>
    <w:rsid w:val="004B6C5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4B6C54"/>
    <w:rPr>
      <w:rFonts w:ascii="Arial" w:eastAsiaTheme="minorEastAsia" w:hAnsi="Arial" w:cstheme="minorBidi"/>
      <w:b/>
      <w:bCs/>
      <w:color w:val="000000" w:themeColor="text1"/>
      <w:lang w:eastAsia="en-US"/>
    </w:rPr>
  </w:style>
  <w:style w:type="paragraph" w:customStyle="1" w:styleId="Default">
    <w:name w:val="Default"/>
    <w:rsid w:val="003E2941"/>
    <w:pPr>
      <w:autoSpaceDE w:val="0"/>
      <w:autoSpaceDN w:val="0"/>
      <w:adjustRightInd w:val="0"/>
    </w:pPr>
    <w:rPr>
      <w:rFonts w:ascii="Arial Narrow" w:hAnsi="Arial Narrow" w:cs="Arial Narrow"/>
      <w:color w:val="000000"/>
      <w:sz w:val="24"/>
      <w:szCs w:val="24"/>
    </w:rPr>
  </w:style>
  <w:style w:type="paragraph" w:customStyle="1" w:styleId="Tabletext0">
    <w:name w:val="Tabletext"/>
    <w:aliases w:val="tt"/>
    <w:basedOn w:val="Normal"/>
    <w:link w:val="TabletextChar"/>
    <w:rsid w:val="0035165C"/>
    <w:pPr>
      <w:spacing w:before="60" w:after="0" w:line="240" w:lineRule="atLeast"/>
    </w:pPr>
    <w:rPr>
      <w:rFonts w:ascii="Times New Roman" w:hAnsi="Times New Roman"/>
      <w:color w:val="auto"/>
      <w:sz w:val="20"/>
      <w:szCs w:val="20"/>
      <w:lang w:eastAsia="en-AU"/>
    </w:rPr>
  </w:style>
  <w:style w:type="character" w:customStyle="1" w:styleId="TabletextChar">
    <w:name w:val="Tabletext Char"/>
    <w:aliases w:val="tt Char"/>
    <w:basedOn w:val="DefaultParagraphFont"/>
    <w:link w:val="Tabletext0"/>
    <w:locked/>
    <w:rsid w:val="0035165C"/>
  </w:style>
  <w:style w:type="character" w:customStyle="1" w:styleId="cf01">
    <w:name w:val="cf01"/>
    <w:basedOn w:val="DefaultParagraphFont"/>
    <w:rsid w:val="00ED36B0"/>
    <w:rPr>
      <w:rFonts w:ascii="Segoe UI" w:hAnsi="Segoe UI" w:cs="Segoe UI" w:hint="default"/>
      <w:sz w:val="18"/>
      <w:szCs w:val="18"/>
    </w:rPr>
  </w:style>
  <w:style w:type="character" w:customStyle="1" w:styleId="normaltextrun">
    <w:name w:val="normaltextrun"/>
    <w:basedOn w:val="DefaultParagraphFont"/>
    <w:rsid w:val="00770B51"/>
  </w:style>
  <w:style w:type="character" w:customStyle="1" w:styleId="eop">
    <w:name w:val="eop"/>
    <w:basedOn w:val="DefaultParagraphFont"/>
    <w:rsid w:val="00770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0129560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109736065">
      <w:bodyDiv w:val="1"/>
      <w:marLeft w:val="0"/>
      <w:marRight w:val="0"/>
      <w:marTop w:val="0"/>
      <w:marBottom w:val="0"/>
      <w:divBdr>
        <w:top w:val="none" w:sz="0" w:space="0" w:color="auto"/>
        <w:left w:val="none" w:sz="0" w:space="0" w:color="auto"/>
        <w:bottom w:val="none" w:sz="0" w:space="0" w:color="auto"/>
        <w:right w:val="none" w:sz="0" w:space="0" w:color="auto"/>
      </w:divBdr>
    </w:div>
    <w:div w:id="1182620872">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30017692">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901012635">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BDB27F8F2CD7839DCA2583B7000013BA/$File/1531%20Final%20PSD-Mar2019.pdf"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www.mbsonline.gov.au/internet/mbsonline/publishing.nsf/Content/download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theme" Target="theme/theme1.xml"/><Relationship Id="rId10" Type="http://schemas.openxmlformats.org/officeDocument/2006/relationships/hyperlink" Target="http://www.mbsonline.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gov.au/Details/F2022C00777" TargetMode="External"/><Relationship Id="rId14" Type="http://schemas.openxmlformats.org/officeDocument/2006/relationships/hyperlink" Target="https://www.health.gov.au/topics/private-health-insurance/private-health-insurance-reform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1468</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2024-06-17T23:59:00Z</dcterms:created>
  <dcterms:modified xsi:type="dcterms:W3CDTF">2024-06-24T02:08:00Z</dcterms:modified>
</cp:coreProperties>
</file>