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5BE0F1FD" w:rsidR="00BA2732" w:rsidRDefault="00311F60" w:rsidP="003D033A">
      <w:pPr>
        <w:pStyle w:val="Title"/>
      </w:pPr>
      <w:bookmarkStart w:id="0" w:name="_Hlk218786316"/>
      <w:r>
        <w:t xml:space="preserve">Patient </w:t>
      </w:r>
      <w:r w:rsidR="009D1F74">
        <w:t>e</w:t>
      </w:r>
      <w:r>
        <w:t xml:space="preserve">nd </w:t>
      </w:r>
      <w:r w:rsidR="009D1F74">
        <w:t>s</w:t>
      </w:r>
      <w:r>
        <w:t xml:space="preserve">upport </w:t>
      </w:r>
      <w:r w:rsidR="009D1F74">
        <w:t>services</w:t>
      </w:r>
      <w:r w:rsidR="00971FAA">
        <w:t xml:space="preserve"> </w:t>
      </w:r>
    </w:p>
    <w:p w14:paraId="6EFD4B5B" w14:textId="17937848" w:rsidR="00064168" w:rsidRDefault="00064168" w:rsidP="006F5073">
      <w:bookmarkStart w:id="1" w:name="_Hlk4568006"/>
      <w:bookmarkEnd w:id="0"/>
      <w:r w:rsidRPr="00867595">
        <w:t xml:space="preserve">Last updated: </w:t>
      </w:r>
      <w:r w:rsidR="00FE71BA">
        <w:t>12</w:t>
      </w:r>
      <w:r w:rsidR="009C2000">
        <w:t xml:space="preserve"> </w:t>
      </w:r>
      <w:r w:rsidR="00FE71BA">
        <w:t>February</w:t>
      </w:r>
      <w:r w:rsidR="009C2000">
        <w:t xml:space="preserve"> 2026</w:t>
      </w:r>
    </w:p>
    <w:bookmarkEnd w:id="1"/>
    <w:p w14:paraId="5B6ED717" w14:textId="32B8BC52" w:rsidR="00B72C79" w:rsidRDefault="00064168" w:rsidP="006F5073">
      <w:pPr>
        <w:pStyle w:val="ListBullet"/>
      </w:pPr>
      <w:r w:rsidRPr="006F5073">
        <w:t xml:space="preserve">From </w:t>
      </w:r>
      <w:r w:rsidR="00311F60">
        <w:t>1 March 2026</w:t>
      </w:r>
      <w:r w:rsidRPr="006F5073">
        <w:t xml:space="preserve">, </w:t>
      </w:r>
      <w:r w:rsidR="00B72C79" w:rsidRPr="006F5073">
        <w:t>M</w:t>
      </w:r>
      <w:r w:rsidR="00B72C79">
        <w:t xml:space="preserve">edicare Benefits Schedule (MBS) </w:t>
      </w:r>
      <w:r w:rsidR="007427FF">
        <w:t>p</w:t>
      </w:r>
      <w:r w:rsidR="00DE3ED5">
        <w:t>atient</w:t>
      </w:r>
      <w:r w:rsidR="007427FF">
        <w:t xml:space="preserve"> e</w:t>
      </w:r>
      <w:r w:rsidR="00DE3ED5">
        <w:t xml:space="preserve">nd </w:t>
      </w:r>
      <w:r w:rsidR="007427FF">
        <w:t>s</w:t>
      </w:r>
      <w:r w:rsidR="00DE3ED5">
        <w:t xml:space="preserve">upport (PES) </w:t>
      </w:r>
      <w:r w:rsidRPr="006F5073">
        <w:t xml:space="preserve">items </w:t>
      </w:r>
      <w:r w:rsidR="00DE3ED5">
        <w:t xml:space="preserve">are being introduced </w:t>
      </w:r>
      <w:r w:rsidRPr="006F5073">
        <w:t>for</w:t>
      </w:r>
      <w:r w:rsidR="00311F60">
        <w:t xml:space="preserve"> </w:t>
      </w:r>
      <w:r w:rsidR="00FE71BA">
        <w:t>general practitioners (</w:t>
      </w:r>
      <w:r w:rsidR="00311F60">
        <w:t>GPs</w:t>
      </w:r>
      <w:r w:rsidR="00FE71BA">
        <w:t>)</w:t>
      </w:r>
      <w:r w:rsidR="00311F60">
        <w:t>,</w:t>
      </w:r>
      <w:r w:rsidR="00FE71BA">
        <w:t xml:space="preserve"> p</w:t>
      </w:r>
      <w:r w:rsidR="00311F60">
        <w:t xml:space="preserve">rescribed </w:t>
      </w:r>
      <w:r w:rsidR="00FE71BA">
        <w:t>m</w:t>
      </w:r>
      <w:r w:rsidR="00311F60">
        <w:t>edical</w:t>
      </w:r>
      <w:r w:rsidR="00FE71BA">
        <w:t xml:space="preserve"> p</w:t>
      </w:r>
      <w:r w:rsidR="00DB61DD">
        <w:t>ractitioners (</w:t>
      </w:r>
      <w:r w:rsidR="00311F60">
        <w:t xml:space="preserve">PMPs) and </w:t>
      </w:r>
      <w:r w:rsidR="000C1FD2">
        <w:t>p</w:t>
      </w:r>
      <w:r w:rsidR="00F71EE1">
        <w:t xml:space="preserve">articipating </w:t>
      </w:r>
      <w:r w:rsidR="000C1FD2">
        <w:t>n</w:t>
      </w:r>
      <w:r w:rsidR="00311F60">
        <w:t xml:space="preserve">urse </w:t>
      </w:r>
      <w:r w:rsidR="000C1FD2">
        <w:t>p</w:t>
      </w:r>
      <w:r w:rsidR="00311F60">
        <w:t>ractitioners</w:t>
      </w:r>
      <w:r w:rsidR="000D4B58">
        <w:t xml:space="preserve"> (NPs)</w:t>
      </w:r>
    </w:p>
    <w:p w14:paraId="7F88D4DD" w14:textId="3170661B" w:rsidR="00064168" w:rsidRPr="006F5073" w:rsidRDefault="00B72C79" w:rsidP="006F5073">
      <w:pPr>
        <w:pStyle w:val="ListBullet"/>
      </w:pPr>
      <w:r>
        <w:t xml:space="preserve">MBS PES items are for </w:t>
      </w:r>
      <w:proofErr w:type="gramStart"/>
      <w:r w:rsidR="002718D2">
        <w:t>face to face</w:t>
      </w:r>
      <w:proofErr w:type="gramEnd"/>
      <w:r w:rsidR="00137470">
        <w:t xml:space="preserve"> clinical support </w:t>
      </w:r>
      <w:r w:rsidR="003A4913">
        <w:t xml:space="preserve">to patients </w:t>
      </w:r>
      <w:r w:rsidR="00137470">
        <w:t xml:space="preserve">during </w:t>
      </w:r>
      <w:r w:rsidR="00953F8D">
        <w:t xml:space="preserve">video </w:t>
      </w:r>
      <w:r w:rsidR="0032289C">
        <w:t>consultations</w:t>
      </w:r>
      <w:r w:rsidR="00137470">
        <w:t xml:space="preserve"> with </w:t>
      </w:r>
      <w:r w:rsidR="00953F8D">
        <w:t xml:space="preserve">a </w:t>
      </w:r>
      <w:r>
        <w:t xml:space="preserve">private </w:t>
      </w:r>
      <w:r w:rsidR="004B4C5F">
        <w:t>s</w:t>
      </w:r>
      <w:r w:rsidR="00137470">
        <w:t xml:space="preserve">pecialist </w:t>
      </w:r>
      <w:r w:rsidR="00953F8D">
        <w:t>or</w:t>
      </w:r>
      <w:r w:rsidR="00137470">
        <w:t xml:space="preserve"> </w:t>
      </w:r>
      <w:r w:rsidR="004B4C5F">
        <w:t>co</w:t>
      </w:r>
      <w:r w:rsidR="00137470">
        <w:t xml:space="preserve">nsultant </w:t>
      </w:r>
      <w:r w:rsidR="004B4C5F">
        <w:t>p</w:t>
      </w:r>
      <w:r w:rsidR="00137470">
        <w:t>hysician</w:t>
      </w:r>
      <w:r w:rsidR="00064168" w:rsidRPr="006F5073">
        <w:t>.</w:t>
      </w:r>
    </w:p>
    <w:p w14:paraId="24C2D88B" w14:textId="4E970D78" w:rsidR="00064168" w:rsidRDefault="006F0EFA" w:rsidP="006F5073">
      <w:pPr>
        <w:pStyle w:val="ListBullet"/>
      </w:pPr>
      <w:r>
        <w:t>PES</w:t>
      </w:r>
      <w:r w:rsidR="00DB61DD">
        <w:t xml:space="preserve"> services </w:t>
      </w:r>
      <w:r w:rsidR="000E3887">
        <w:t xml:space="preserve">further enable </w:t>
      </w:r>
      <w:r w:rsidR="001235C5">
        <w:t>a multidisciplinary approach</w:t>
      </w:r>
      <w:r w:rsidR="00B91DCC">
        <w:t xml:space="preserve">. PES </w:t>
      </w:r>
      <w:r w:rsidR="004D061C">
        <w:t xml:space="preserve">can improve </w:t>
      </w:r>
      <w:r w:rsidR="00F71EE1">
        <w:t xml:space="preserve">video attendances </w:t>
      </w:r>
      <w:r w:rsidR="001235C5">
        <w:t xml:space="preserve">for patients </w:t>
      </w:r>
      <w:r w:rsidR="00D127DA">
        <w:t>by allowing physical assessment</w:t>
      </w:r>
      <w:r w:rsidR="004D061C">
        <w:t xml:space="preserve">, </w:t>
      </w:r>
      <w:r w:rsidR="00D127DA">
        <w:t>effective collaboration of care</w:t>
      </w:r>
      <w:r w:rsidR="004D061C">
        <w:t>,</w:t>
      </w:r>
      <w:r w:rsidR="00D127DA">
        <w:t xml:space="preserve"> and </w:t>
      </w:r>
      <w:r w:rsidR="004D061C">
        <w:t xml:space="preserve">a </w:t>
      </w:r>
      <w:r w:rsidR="00D127DA">
        <w:t xml:space="preserve">handover between providers </w:t>
      </w:r>
      <w:r w:rsidR="004D061C">
        <w:t>(</w:t>
      </w:r>
      <w:r w:rsidR="00B91DCC">
        <w:t>with the</w:t>
      </w:r>
      <w:r w:rsidR="00D127DA">
        <w:t xml:space="preserve"> patient</w:t>
      </w:r>
      <w:r w:rsidR="00B91DCC">
        <w:t xml:space="preserve"> present</w:t>
      </w:r>
      <w:r w:rsidR="004D061C">
        <w:t xml:space="preserve">) during their </w:t>
      </w:r>
      <w:r w:rsidR="000E3887">
        <w:t xml:space="preserve">video </w:t>
      </w:r>
      <w:r w:rsidR="004D061C">
        <w:t>consultation</w:t>
      </w:r>
      <w:r w:rsidR="00064168" w:rsidRPr="00867595">
        <w:t>.</w:t>
      </w:r>
    </w:p>
    <w:p w14:paraId="67DF4DF8" w14:textId="13244885" w:rsidR="00A141ED" w:rsidRPr="00867595" w:rsidRDefault="00A141ED" w:rsidP="006F5073">
      <w:pPr>
        <w:pStyle w:val="ListBullet"/>
      </w:pPr>
      <w:r>
        <w:t xml:space="preserve">As </w:t>
      </w:r>
      <w:r w:rsidR="003961E2">
        <w:t>PES</w:t>
      </w:r>
      <w:r>
        <w:t xml:space="preserve"> </w:t>
      </w:r>
      <w:r w:rsidR="00A364F2">
        <w:t xml:space="preserve">MBS </w:t>
      </w:r>
      <w:r>
        <w:t xml:space="preserve">items are face to face with the </w:t>
      </w:r>
      <w:r w:rsidR="00231903">
        <w:t>patient’s</w:t>
      </w:r>
      <w:r>
        <w:t xml:space="preserve"> primary provider </w:t>
      </w:r>
      <w:r w:rsidR="006C6B8C">
        <w:t xml:space="preserve">(GP, PMP or </w:t>
      </w:r>
      <w:r w:rsidR="000D4B58">
        <w:t>NP</w:t>
      </w:r>
      <w:r w:rsidR="00BC49E2">
        <w:t>)</w:t>
      </w:r>
      <w:r w:rsidR="004D061C">
        <w:t>,</w:t>
      </w:r>
      <w:r w:rsidR="006C6B8C">
        <w:t xml:space="preserve"> these items will</w:t>
      </w:r>
      <w:r w:rsidR="000E3887">
        <w:t xml:space="preserve"> also</w:t>
      </w:r>
      <w:r w:rsidR="006C6B8C">
        <w:t xml:space="preserve"> qualify </w:t>
      </w:r>
      <w:r w:rsidR="00B72C79">
        <w:t xml:space="preserve">patients for future non-referred telehealth services </w:t>
      </w:r>
      <w:r w:rsidR="000E3887">
        <w:t>under</w:t>
      </w:r>
      <w:r w:rsidR="006C6B8C">
        <w:t xml:space="preserve"> the </w:t>
      </w:r>
      <w:hyperlink r:id="rId8" w:history="1">
        <w:r w:rsidR="00B91DCC" w:rsidRPr="00B42676">
          <w:rPr>
            <w:rStyle w:val="Hyperlink"/>
          </w:rPr>
          <w:t>E</w:t>
        </w:r>
        <w:r w:rsidR="006C6B8C" w:rsidRPr="00B42676">
          <w:rPr>
            <w:rStyle w:val="Hyperlink"/>
          </w:rPr>
          <w:t xml:space="preserve">ligible </w:t>
        </w:r>
        <w:r w:rsidR="00B91DCC" w:rsidRPr="00B42676">
          <w:rPr>
            <w:rStyle w:val="Hyperlink"/>
          </w:rPr>
          <w:t>T</w:t>
        </w:r>
        <w:r w:rsidR="006C6B8C" w:rsidRPr="00B42676">
          <w:rPr>
            <w:rStyle w:val="Hyperlink"/>
          </w:rPr>
          <w:t xml:space="preserve">elehealth </w:t>
        </w:r>
        <w:r w:rsidR="00B91DCC" w:rsidRPr="00B42676">
          <w:rPr>
            <w:rStyle w:val="Hyperlink"/>
          </w:rPr>
          <w:t>P</w:t>
        </w:r>
        <w:r w:rsidR="006C6B8C" w:rsidRPr="00B42676">
          <w:rPr>
            <w:rStyle w:val="Hyperlink"/>
          </w:rPr>
          <w:t xml:space="preserve">ractitioner </w:t>
        </w:r>
        <w:r w:rsidR="00B91DCC" w:rsidRPr="00B42676">
          <w:rPr>
            <w:rStyle w:val="Hyperlink"/>
          </w:rPr>
          <w:t>R</w:t>
        </w:r>
        <w:r w:rsidR="006C6B8C" w:rsidRPr="00B42676">
          <w:rPr>
            <w:rStyle w:val="Hyperlink"/>
          </w:rPr>
          <w:t>ule</w:t>
        </w:r>
      </w:hyperlink>
      <w:r w:rsidR="00BC49E2">
        <w:t xml:space="preserve"> with that </w:t>
      </w:r>
      <w:r w:rsidR="00B72C79">
        <w:t>provider</w:t>
      </w:r>
      <w:r w:rsidR="00C21ED1">
        <w:t xml:space="preserve">. </w:t>
      </w:r>
    </w:p>
    <w:p w14:paraId="44460BF5" w14:textId="29A2ED51" w:rsidR="00064168" w:rsidRPr="00867595" w:rsidRDefault="00064168" w:rsidP="00064168">
      <w:pPr>
        <w:pStyle w:val="Heading2"/>
      </w:pPr>
      <w:r w:rsidRPr="00867595">
        <w:t>What are the changes?</w:t>
      </w:r>
    </w:p>
    <w:p w14:paraId="67AD72C4" w14:textId="6DAF4AE8" w:rsidR="00064168" w:rsidRPr="00867595" w:rsidRDefault="00064168" w:rsidP="002A11B2">
      <w:pPr>
        <w:rPr>
          <w:szCs w:val="22"/>
        </w:rPr>
      </w:pPr>
      <w:r w:rsidRPr="00867595">
        <w:rPr>
          <w:szCs w:val="22"/>
        </w:rPr>
        <w:t xml:space="preserve">Effective </w:t>
      </w:r>
      <w:r w:rsidR="00D127DA" w:rsidRPr="00083707">
        <w:rPr>
          <w:b/>
          <w:bCs/>
          <w:szCs w:val="22"/>
        </w:rPr>
        <w:t xml:space="preserve">1 </w:t>
      </w:r>
      <w:r w:rsidR="006239EC" w:rsidRPr="00083707">
        <w:rPr>
          <w:b/>
          <w:bCs/>
          <w:szCs w:val="22"/>
        </w:rPr>
        <w:t>March 2026</w:t>
      </w:r>
      <w:r w:rsidRPr="00867595">
        <w:rPr>
          <w:szCs w:val="22"/>
        </w:rPr>
        <w:t xml:space="preserve">, </w:t>
      </w:r>
      <w:r w:rsidR="00A60D55">
        <w:rPr>
          <w:szCs w:val="22"/>
        </w:rPr>
        <w:t xml:space="preserve">32 new </w:t>
      </w:r>
      <w:r w:rsidR="00C21ED1">
        <w:rPr>
          <w:szCs w:val="22"/>
        </w:rPr>
        <w:t xml:space="preserve">PES </w:t>
      </w:r>
      <w:r w:rsidR="006239EC">
        <w:rPr>
          <w:szCs w:val="22"/>
        </w:rPr>
        <w:t xml:space="preserve">MBS </w:t>
      </w:r>
      <w:r w:rsidR="00A60D55">
        <w:rPr>
          <w:szCs w:val="22"/>
        </w:rPr>
        <w:t>items will be introduced</w:t>
      </w:r>
      <w:r w:rsidRPr="00867595">
        <w:rPr>
          <w:szCs w:val="22"/>
        </w:rPr>
        <w:t>. Th</w:t>
      </w:r>
      <w:r w:rsidR="00A60D55">
        <w:rPr>
          <w:szCs w:val="22"/>
        </w:rPr>
        <w:t>is includes items for GPs</w:t>
      </w:r>
      <w:r w:rsidR="004329DD">
        <w:rPr>
          <w:szCs w:val="22"/>
        </w:rPr>
        <w:t>, PMPs and NPs</w:t>
      </w:r>
      <w:r w:rsidR="00C07359">
        <w:rPr>
          <w:szCs w:val="22"/>
        </w:rPr>
        <w:t xml:space="preserve">. These services </w:t>
      </w:r>
      <w:r w:rsidR="00436472">
        <w:rPr>
          <w:szCs w:val="22"/>
        </w:rPr>
        <w:t xml:space="preserve">are available nationally and </w:t>
      </w:r>
      <w:r w:rsidR="00C07359">
        <w:rPr>
          <w:szCs w:val="22"/>
        </w:rPr>
        <w:t xml:space="preserve">can be conducted </w:t>
      </w:r>
      <w:r w:rsidR="00F604EB">
        <w:rPr>
          <w:szCs w:val="22"/>
        </w:rPr>
        <w:t>in consulting rooms, out of consulting rooms</w:t>
      </w:r>
      <w:r w:rsidR="00B91DCC">
        <w:rPr>
          <w:szCs w:val="22"/>
        </w:rPr>
        <w:t>,</w:t>
      </w:r>
      <w:r w:rsidR="00F604EB">
        <w:rPr>
          <w:szCs w:val="22"/>
        </w:rPr>
        <w:t xml:space="preserve"> and in residential aged care facilities. </w:t>
      </w:r>
      <w:r w:rsidR="00436472">
        <w:rPr>
          <w:szCs w:val="22"/>
        </w:rPr>
        <w:t xml:space="preserve">These services are a </w:t>
      </w:r>
      <w:r w:rsidR="00436472" w:rsidRPr="00F71E6E">
        <w:rPr>
          <w:b/>
          <w:bCs/>
          <w:szCs w:val="22"/>
        </w:rPr>
        <w:t>professional face to face attendance</w:t>
      </w:r>
      <w:r w:rsidR="00436472">
        <w:rPr>
          <w:szCs w:val="22"/>
        </w:rPr>
        <w:t xml:space="preserve"> and </w:t>
      </w:r>
      <w:r w:rsidR="00081E8D">
        <w:rPr>
          <w:szCs w:val="22"/>
        </w:rPr>
        <w:t>are</w:t>
      </w:r>
      <w:r w:rsidR="00436472">
        <w:rPr>
          <w:szCs w:val="22"/>
        </w:rPr>
        <w:t xml:space="preserve"> designed for the patient’s primary provider to support them through a </w:t>
      </w:r>
      <w:r w:rsidR="00436472" w:rsidRPr="00F71E6E">
        <w:rPr>
          <w:b/>
          <w:bCs/>
          <w:szCs w:val="22"/>
        </w:rPr>
        <w:t>video conference</w:t>
      </w:r>
      <w:r w:rsidR="00436472">
        <w:rPr>
          <w:szCs w:val="22"/>
        </w:rPr>
        <w:t xml:space="preserve"> with a </w:t>
      </w:r>
      <w:r w:rsidR="003D77CD">
        <w:rPr>
          <w:szCs w:val="22"/>
        </w:rPr>
        <w:t>s</w:t>
      </w:r>
      <w:r w:rsidR="00436472">
        <w:rPr>
          <w:szCs w:val="22"/>
        </w:rPr>
        <w:t xml:space="preserve">pecialist or </w:t>
      </w:r>
      <w:r w:rsidR="003D77CD">
        <w:rPr>
          <w:szCs w:val="22"/>
        </w:rPr>
        <w:t>c</w:t>
      </w:r>
      <w:r w:rsidR="00436472">
        <w:rPr>
          <w:szCs w:val="22"/>
        </w:rPr>
        <w:t xml:space="preserve">onsultant </w:t>
      </w:r>
      <w:r w:rsidR="003D77CD">
        <w:rPr>
          <w:szCs w:val="22"/>
        </w:rPr>
        <w:t>p</w:t>
      </w:r>
      <w:r w:rsidR="00436472">
        <w:rPr>
          <w:szCs w:val="22"/>
        </w:rPr>
        <w:t>hysician</w:t>
      </w:r>
      <w:r w:rsidR="009423FB">
        <w:rPr>
          <w:szCs w:val="22"/>
        </w:rPr>
        <w:t xml:space="preserve"> also working in private practice. </w:t>
      </w:r>
    </w:p>
    <w:p w14:paraId="42BD5171" w14:textId="77777777" w:rsidR="00064168" w:rsidRDefault="00064168" w:rsidP="00064168">
      <w:pPr>
        <w:pStyle w:val="Heading2"/>
      </w:pPr>
      <w:r>
        <w:t>Why are the changes being made?</w:t>
      </w:r>
    </w:p>
    <w:p w14:paraId="4B7BA53A" w14:textId="78D99D1D" w:rsidR="00064168" w:rsidRPr="00867595" w:rsidRDefault="00064168" w:rsidP="00064168">
      <w:bookmarkStart w:id="2" w:name="_Hlk535386664"/>
      <w:r>
        <w:t xml:space="preserve">These changes </w:t>
      </w:r>
      <w:r w:rsidR="00D4383E">
        <w:t xml:space="preserve">implement a recommendation by the </w:t>
      </w:r>
      <w:r>
        <w:t>MBS Review </w:t>
      </w:r>
      <w:r w:rsidR="00DE151F">
        <w:t>Advisory Committee (MRAC)</w:t>
      </w:r>
      <w:r>
        <w:t xml:space="preserve"> </w:t>
      </w:r>
      <w:r w:rsidR="00D4383E">
        <w:t xml:space="preserve">in its </w:t>
      </w:r>
      <w:r w:rsidR="00DE151F">
        <w:t>post implementation review of MBS telehealth</w:t>
      </w:r>
      <w:r w:rsidR="003D77CD">
        <w:t xml:space="preserve"> services</w:t>
      </w:r>
      <w:r>
        <w:t xml:space="preserve">. More information about the </w:t>
      </w:r>
      <w:r w:rsidR="00DE151F">
        <w:t>MRAC</w:t>
      </w:r>
      <w:r>
        <w:t xml:space="preserve"> is available in</w:t>
      </w:r>
      <w:r w:rsidR="00C130D7">
        <w:t xml:space="preserve"> on the </w:t>
      </w:r>
      <w:r w:rsidR="00685897">
        <w:t>Department</w:t>
      </w:r>
      <w:r w:rsidR="00995C06">
        <w:t xml:space="preserve"> of Health, Disability and </w:t>
      </w:r>
      <w:r w:rsidR="00BA7275">
        <w:t>Ageing’s</w:t>
      </w:r>
      <w:r w:rsidR="00995C06">
        <w:t xml:space="preserve"> (the department’s)</w:t>
      </w:r>
      <w:r w:rsidR="00685897">
        <w:t xml:space="preserve"> </w:t>
      </w:r>
      <w:hyperlink r:id="rId9" w:history="1">
        <w:r w:rsidR="00685897" w:rsidRPr="00685897">
          <w:rPr>
            <w:rStyle w:val="Hyperlink"/>
          </w:rPr>
          <w:t>website</w:t>
        </w:r>
      </w:hyperlink>
      <w:r w:rsidR="00AD4F3C">
        <w:t xml:space="preserve">, as is </w:t>
      </w:r>
      <w:r w:rsidR="002C4628">
        <w:t xml:space="preserve">the </w:t>
      </w:r>
      <w:hyperlink r:id="rId10" w:history="1">
        <w:r w:rsidR="002C4628" w:rsidRPr="00AD4F3C">
          <w:rPr>
            <w:rStyle w:val="Hyperlink"/>
          </w:rPr>
          <w:t>final report</w:t>
        </w:r>
      </w:hyperlink>
      <w:r w:rsidR="002C4628">
        <w:t xml:space="preserve"> </w:t>
      </w:r>
      <w:r w:rsidR="00AD4F3C">
        <w:t xml:space="preserve">including MRAC </w:t>
      </w:r>
      <w:r w:rsidR="002C4628">
        <w:t>recommendations</w:t>
      </w:r>
      <w:r>
        <w:t xml:space="preserve">. </w:t>
      </w:r>
    </w:p>
    <w:bookmarkEnd w:id="2"/>
    <w:p w14:paraId="4B2559AC" w14:textId="17D3616E" w:rsidR="00064168" w:rsidRDefault="00064168" w:rsidP="00064168">
      <w:pPr>
        <w:pStyle w:val="Heading2"/>
      </w:pPr>
      <w:r>
        <w:t>What does this mean for providers?</w:t>
      </w:r>
    </w:p>
    <w:p w14:paraId="552C31FE" w14:textId="16398F6C" w:rsidR="00BF062A" w:rsidRDefault="000E3887" w:rsidP="003D6EF8">
      <w:pPr>
        <w:rPr>
          <w:szCs w:val="22"/>
        </w:rPr>
      </w:pPr>
      <w:r>
        <w:rPr>
          <w:szCs w:val="22"/>
        </w:rPr>
        <w:t xml:space="preserve">PES </w:t>
      </w:r>
      <w:r w:rsidR="003D6EF8">
        <w:rPr>
          <w:szCs w:val="22"/>
        </w:rPr>
        <w:t>services are available nationally</w:t>
      </w:r>
      <w:r>
        <w:rPr>
          <w:szCs w:val="22"/>
        </w:rPr>
        <w:t xml:space="preserve">. They </w:t>
      </w:r>
      <w:r w:rsidR="003D6EF8">
        <w:rPr>
          <w:szCs w:val="22"/>
        </w:rPr>
        <w:t>are designed to</w:t>
      </w:r>
      <w:r w:rsidR="00BF062A">
        <w:rPr>
          <w:szCs w:val="22"/>
        </w:rPr>
        <w:t xml:space="preserve"> enable patients to access video consultations</w:t>
      </w:r>
      <w:r w:rsidR="004A0C6C">
        <w:rPr>
          <w:szCs w:val="22"/>
        </w:rPr>
        <w:t>, optimising care</w:t>
      </w:r>
      <w:r w:rsidR="00BF062A">
        <w:rPr>
          <w:szCs w:val="22"/>
        </w:rPr>
        <w:t>, while also improving</w:t>
      </w:r>
      <w:r>
        <w:rPr>
          <w:szCs w:val="22"/>
        </w:rPr>
        <w:t xml:space="preserve"> the</w:t>
      </w:r>
      <w:r w:rsidR="00BF062A">
        <w:rPr>
          <w:szCs w:val="22"/>
        </w:rPr>
        <w:t xml:space="preserve"> </w:t>
      </w:r>
      <w:r w:rsidR="004A0C6C">
        <w:rPr>
          <w:szCs w:val="22"/>
        </w:rPr>
        <w:t xml:space="preserve">avenue for </w:t>
      </w:r>
      <w:r w:rsidR="00BF062A">
        <w:rPr>
          <w:szCs w:val="22"/>
        </w:rPr>
        <w:t xml:space="preserve">communication between care-team members. </w:t>
      </w:r>
    </w:p>
    <w:p w14:paraId="3EABEAC6" w14:textId="481B5343" w:rsidR="00BF062A" w:rsidRDefault="00BF062A" w:rsidP="003D6EF8">
      <w:pPr>
        <w:rPr>
          <w:szCs w:val="22"/>
        </w:rPr>
      </w:pPr>
      <w:r>
        <w:rPr>
          <w:szCs w:val="22"/>
        </w:rPr>
        <w:t>P</w:t>
      </w:r>
      <w:r w:rsidR="003D6EF8">
        <w:rPr>
          <w:szCs w:val="22"/>
        </w:rPr>
        <w:t xml:space="preserve">roviders </w:t>
      </w:r>
      <w:r>
        <w:rPr>
          <w:szCs w:val="22"/>
        </w:rPr>
        <w:t xml:space="preserve">using these items </w:t>
      </w:r>
      <w:r w:rsidR="003D6EF8">
        <w:rPr>
          <w:szCs w:val="22"/>
        </w:rPr>
        <w:t xml:space="preserve">must meet the requirements of a professional attendance </w:t>
      </w:r>
      <w:r w:rsidR="001A7CED">
        <w:rPr>
          <w:szCs w:val="22"/>
        </w:rPr>
        <w:t>to</w:t>
      </w:r>
      <w:r w:rsidR="003D6EF8">
        <w:rPr>
          <w:szCs w:val="22"/>
        </w:rPr>
        <w:t xml:space="preserve"> </w:t>
      </w:r>
      <w:r>
        <w:rPr>
          <w:szCs w:val="22"/>
        </w:rPr>
        <w:t xml:space="preserve">claim </w:t>
      </w:r>
      <w:r w:rsidR="003D6EF8">
        <w:rPr>
          <w:szCs w:val="22"/>
        </w:rPr>
        <w:t>the service.</w:t>
      </w:r>
      <w:r w:rsidR="00FE6E85">
        <w:rPr>
          <w:szCs w:val="22"/>
        </w:rPr>
        <w:t xml:space="preserve">  </w:t>
      </w:r>
      <w:r>
        <w:rPr>
          <w:szCs w:val="22"/>
        </w:rPr>
        <w:t>Please read item description to note their requirements.</w:t>
      </w:r>
    </w:p>
    <w:p w14:paraId="61FDFE73" w14:textId="734F4A34" w:rsidR="00101F0F" w:rsidRDefault="00BF062A" w:rsidP="003D6EF8">
      <w:pPr>
        <w:rPr>
          <w:szCs w:val="22"/>
        </w:rPr>
      </w:pPr>
      <w:r>
        <w:rPr>
          <w:szCs w:val="22"/>
        </w:rPr>
        <w:t xml:space="preserve">MBS PES </w:t>
      </w:r>
      <w:r w:rsidR="003D6EF8">
        <w:rPr>
          <w:szCs w:val="22"/>
        </w:rPr>
        <w:t xml:space="preserve">services can only be </w:t>
      </w:r>
      <w:r>
        <w:rPr>
          <w:szCs w:val="22"/>
        </w:rPr>
        <w:t xml:space="preserve">claimed if a private </w:t>
      </w:r>
      <w:r w:rsidR="00D01CF7">
        <w:rPr>
          <w:szCs w:val="22"/>
        </w:rPr>
        <w:t>s</w:t>
      </w:r>
      <w:r w:rsidR="003D6EF8">
        <w:rPr>
          <w:szCs w:val="22"/>
        </w:rPr>
        <w:t xml:space="preserve">pecialist or </w:t>
      </w:r>
      <w:r w:rsidR="00D01CF7">
        <w:rPr>
          <w:szCs w:val="22"/>
        </w:rPr>
        <w:t>c</w:t>
      </w:r>
      <w:r w:rsidR="003D6EF8">
        <w:rPr>
          <w:szCs w:val="22"/>
        </w:rPr>
        <w:t xml:space="preserve">onsultant </w:t>
      </w:r>
      <w:r w:rsidR="00D01CF7">
        <w:rPr>
          <w:szCs w:val="22"/>
        </w:rPr>
        <w:t>p</w:t>
      </w:r>
      <w:r w:rsidR="003D6EF8">
        <w:rPr>
          <w:szCs w:val="22"/>
        </w:rPr>
        <w:t xml:space="preserve">hysician </w:t>
      </w:r>
      <w:r w:rsidR="00E0696C">
        <w:rPr>
          <w:szCs w:val="22"/>
        </w:rPr>
        <w:t xml:space="preserve">referred to the patient </w:t>
      </w:r>
      <w:r w:rsidR="00F841BA">
        <w:rPr>
          <w:szCs w:val="22"/>
        </w:rPr>
        <w:t xml:space="preserve">has </w:t>
      </w:r>
      <w:r w:rsidR="003D6EF8">
        <w:rPr>
          <w:szCs w:val="22"/>
        </w:rPr>
        <w:t>also bill</w:t>
      </w:r>
      <w:r w:rsidR="00F841BA">
        <w:rPr>
          <w:szCs w:val="22"/>
        </w:rPr>
        <w:t>ed</w:t>
      </w:r>
      <w:r w:rsidR="003D6EF8">
        <w:rPr>
          <w:szCs w:val="22"/>
        </w:rPr>
        <w:t xml:space="preserve"> </w:t>
      </w:r>
      <w:r>
        <w:rPr>
          <w:szCs w:val="22"/>
        </w:rPr>
        <w:t>a relevant MBS video consultation</w:t>
      </w:r>
      <w:r w:rsidR="007B5528">
        <w:rPr>
          <w:szCs w:val="22"/>
        </w:rPr>
        <w:t xml:space="preserve"> (</w:t>
      </w:r>
      <w:r w:rsidR="008F729E">
        <w:rPr>
          <w:szCs w:val="22"/>
        </w:rPr>
        <w:t>including</w:t>
      </w:r>
      <w:r w:rsidR="003C75CB">
        <w:rPr>
          <w:szCs w:val="22"/>
        </w:rPr>
        <w:t xml:space="preserve"> Group A40 </w:t>
      </w:r>
      <w:r w:rsidR="003C75CB">
        <w:rPr>
          <w:szCs w:val="22"/>
        </w:rPr>
        <w:lastRenderedPageBreak/>
        <w:t xml:space="preserve">subgroups 4, 5, 6, 17, 23, 25, 31, 33, 35, 37, 44 and items </w:t>
      </w:r>
      <w:hyperlink r:id="rId11" w:history="1">
        <w:r w:rsidR="003C75CB" w:rsidRPr="003C75CB">
          <w:rPr>
            <w:rStyle w:val="Hyperlink"/>
            <w:szCs w:val="22"/>
          </w:rPr>
          <w:t>291, 293, 296, 300, 302, 304, 306, 308, 310, 312, 314, 316, 318 or 319 when used with item 294</w:t>
        </w:r>
      </w:hyperlink>
      <w:r w:rsidR="007B5528">
        <w:rPr>
          <w:szCs w:val="22"/>
        </w:rPr>
        <w:t>)</w:t>
      </w:r>
      <w:r w:rsidR="003D6EF8">
        <w:rPr>
          <w:szCs w:val="22"/>
        </w:rPr>
        <w:t>.</w:t>
      </w:r>
      <w:r w:rsidR="00E0696C">
        <w:rPr>
          <w:szCs w:val="22"/>
        </w:rPr>
        <w:t xml:space="preserve"> </w:t>
      </w:r>
    </w:p>
    <w:p w14:paraId="2304B91F" w14:textId="17F466D8" w:rsidR="003C75CB" w:rsidRDefault="003C75CB" w:rsidP="003D6EF8">
      <w:pPr>
        <w:rPr>
          <w:szCs w:val="22"/>
        </w:rPr>
      </w:pPr>
      <w:r>
        <w:rPr>
          <w:szCs w:val="22"/>
        </w:rPr>
        <w:t xml:space="preserve">Providers </w:t>
      </w:r>
      <w:r w:rsidR="00135BDE">
        <w:rPr>
          <w:szCs w:val="22"/>
        </w:rPr>
        <w:t xml:space="preserve">using </w:t>
      </w:r>
      <w:r>
        <w:rPr>
          <w:szCs w:val="22"/>
        </w:rPr>
        <w:t xml:space="preserve">the </w:t>
      </w:r>
      <w:r w:rsidR="00C26D8D">
        <w:rPr>
          <w:szCs w:val="22"/>
        </w:rPr>
        <w:t xml:space="preserve">PES items </w:t>
      </w:r>
      <w:r>
        <w:rPr>
          <w:szCs w:val="22"/>
        </w:rPr>
        <w:t>are encouraged to confirm the</w:t>
      </w:r>
      <w:r w:rsidR="002753FD">
        <w:rPr>
          <w:szCs w:val="22"/>
        </w:rPr>
        <w:t xml:space="preserve"> </w:t>
      </w:r>
      <w:r w:rsidR="00153893">
        <w:rPr>
          <w:szCs w:val="22"/>
        </w:rPr>
        <w:t>s</w:t>
      </w:r>
      <w:r w:rsidR="00C26D8D">
        <w:rPr>
          <w:szCs w:val="22"/>
        </w:rPr>
        <w:t>pecialist</w:t>
      </w:r>
      <w:r>
        <w:rPr>
          <w:szCs w:val="22"/>
        </w:rPr>
        <w:t xml:space="preserve"> or </w:t>
      </w:r>
      <w:r w:rsidR="00153893">
        <w:rPr>
          <w:szCs w:val="22"/>
        </w:rPr>
        <w:t>c</w:t>
      </w:r>
      <w:r>
        <w:rPr>
          <w:szCs w:val="22"/>
        </w:rPr>
        <w:t xml:space="preserve">onsultant </w:t>
      </w:r>
      <w:r w:rsidR="00153893">
        <w:rPr>
          <w:szCs w:val="22"/>
        </w:rPr>
        <w:t>p</w:t>
      </w:r>
      <w:r>
        <w:rPr>
          <w:szCs w:val="22"/>
        </w:rPr>
        <w:t xml:space="preserve">hysician will also be submitting a claim to the MBS prior to claiming the item. </w:t>
      </w:r>
      <w:r w:rsidR="00101F0F">
        <w:rPr>
          <w:szCs w:val="22"/>
        </w:rPr>
        <w:t>If a video attendance is not being billed to the MBS</w:t>
      </w:r>
      <w:r w:rsidR="00985DC9">
        <w:rPr>
          <w:szCs w:val="22"/>
        </w:rPr>
        <w:t>,</w:t>
      </w:r>
      <w:r w:rsidR="00101F0F">
        <w:rPr>
          <w:szCs w:val="22"/>
        </w:rPr>
        <w:t xml:space="preserve"> </w:t>
      </w:r>
      <w:r w:rsidR="00F769E3">
        <w:rPr>
          <w:szCs w:val="22"/>
        </w:rPr>
        <w:t xml:space="preserve">the </w:t>
      </w:r>
      <w:r w:rsidR="00101F0F">
        <w:rPr>
          <w:szCs w:val="22"/>
        </w:rPr>
        <w:t>patient</w:t>
      </w:r>
      <w:r w:rsidR="002753FD">
        <w:rPr>
          <w:szCs w:val="22"/>
        </w:rPr>
        <w:t>-</w:t>
      </w:r>
      <w:r w:rsidR="00101F0F">
        <w:rPr>
          <w:szCs w:val="22"/>
        </w:rPr>
        <w:t xml:space="preserve">side provider </w:t>
      </w:r>
      <w:r w:rsidR="003C1C1C">
        <w:rPr>
          <w:szCs w:val="22"/>
        </w:rPr>
        <w:t xml:space="preserve">cannot use PES items </w:t>
      </w:r>
      <w:r w:rsidR="00E84364">
        <w:rPr>
          <w:szCs w:val="22"/>
        </w:rPr>
        <w:t>(</w:t>
      </w:r>
      <w:r w:rsidR="00B72C79">
        <w:rPr>
          <w:szCs w:val="22"/>
        </w:rPr>
        <w:t xml:space="preserve">though they may consider if </w:t>
      </w:r>
      <w:r w:rsidR="00101F0F">
        <w:rPr>
          <w:szCs w:val="22"/>
        </w:rPr>
        <w:t xml:space="preserve">a general </w:t>
      </w:r>
      <w:r w:rsidR="006317DC">
        <w:rPr>
          <w:szCs w:val="22"/>
        </w:rPr>
        <w:t xml:space="preserve">attendance </w:t>
      </w:r>
      <w:r w:rsidR="003C1C1C">
        <w:rPr>
          <w:szCs w:val="22"/>
        </w:rPr>
        <w:t>or another</w:t>
      </w:r>
      <w:r w:rsidR="00101F0F">
        <w:rPr>
          <w:szCs w:val="22"/>
        </w:rPr>
        <w:t xml:space="preserve"> </w:t>
      </w:r>
      <w:r w:rsidR="0038676C">
        <w:rPr>
          <w:szCs w:val="22"/>
        </w:rPr>
        <w:t>face-to-face</w:t>
      </w:r>
      <w:r w:rsidR="003C1C1C">
        <w:rPr>
          <w:szCs w:val="22"/>
        </w:rPr>
        <w:t xml:space="preserve"> </w:t>
      </w:r>
      <w:r w:rsidR="00101F0F">
        <w:rPr>
          <w:szCs w:val="22"/>
        </w:rPr>
        <w:t xml:space="preserve">item </w:t>
      </w:r>
      <w:r w:rsidR="00B72C79">
        <w:rPr>
          <w:szCs w:val="22"/>
        </w:rPr>
        <w:t xml:space="preserve">is </w:t>
      </w:r>
      <w:r w:rsidR="00101F0F">
        <w:rPr>
          <w:szCs w:val="22"/>
        </w:rPr>
        <w:t xml:space="preserve">appropriate to </w:t>
      </w:r>
      <w:r w:rsidR="00B72C79">
        <w:rPr>
          <w:szCs w:val="22"/>
        </w:rPr>
        <w:t>claim</w:t>
      </w:r>
      <w:r w:rsidR="00E84364">
        <w:rPr>
          <w:szCs w:val="22"/>
        </w:rPr>
        <w:t>)</w:t>
      </w:r>
      <w:r w:rsidR="00101F0F">
        <w:rPr>
          <w:szCs w:val="22"/>
        </w:rPr>
        <w:t xml:space="preserve">. </w:t>
      </w:r>
      <w:r w:rsidR="003D5680">
        <w:rPr>
          <w:szCs w:val="22"/>
        </w:rPr>
        <w:t xml:space="preserve">Specialists and </w:t>
      </w:r>
      <w:r w:rsidR="003B6A4B">
        <w:rPr>
          <w:szCs w:val="22"/>
        </w:rPr>
        <w:t>c</w:t>
      </w:r>
      <w:r w:rsidR="003D5680">
        <w:rPr>
          <w:szCs w:val="22"/>
        </w:rPr>
        <w:t xml:space="preserve">onsultant </w:t>
      </w:r>
      <w:r w:rsidR="003B6A4B">
        <w:rPr>
          <w:szCs w:val="22"/>
        </w:rPr>
        <w:t>p</w:t>
      </w:r>
      <w:r w:rsidR="003D5680">
        <w:rPr>
          <w:szCs w:val="22"/>
        </w:rPr>
        <w:t xml:space="preserve">hysicians who conduct the service via audio only consultations do not meet the requirements of a video attendance </w:t>
      </w:r>
      <w:r w:rsidR="006317DC">
        <w:rPr>
          <w:szCs w:val="22"/>
        </w:rPr>
        <w:t xml:space="preserve">required for PES items. </w:t>
      </w:r>
    </w:p>
    <w:p w14:paraId="770F44A8" w14:textId="385458BB" w:rsidR="008F729E" w:rsidRDefault="00570B43" w:rsidP="003D6EF8">
      <w:pPr>
        <w:rPr>
          <w:szCs w:val="22"/>
        </w:rPr>
      </w:pPr>
      <w:proofErr w:type="gramStart"/>
      <w:r>
        <w:rPr>
          <w:szCs w:val="22"/>
        </w:rPr>
        <w:t>As</w:t>
      </w:r>
      <w:r w:rsidR="00E0696C">
        <w:rPr>
          <w:szCs w:val="22"/>
        </w:rPr>
        <w:t xml:space="preserve"> long as</w:t>
      </w:r>
      <w:proofErr w:type="gramEnd"/>
      <w:r w:rsidR="00E0696C">
        <w:rPr>
          <w:szCs w:val="22"/>
        </w:rPr>
        <w:t xml:space="preserve"> the </w:t>
      </w:r>
      <w:r w:rsidR="00B12324">
        <w:rPr>
          <w:szCs w:val="22"/>
        </w:rPr>
        <w:t>s</w:t>
      </w:r>
      <w:r w:rsidR="007B5528">
        <w:rPr>
          <w:szCs w:val="22"/>
        </w:rPr>
        <w:t xml:space="preserve">pecialist or </w:t>
      </w:r>
      <w:r w:rsidR="00B12324">
        <w:rPr>
          <w:szCs w:val="22"/>
        </w:rPr>
        <w:t>co</w:t>
      </w:r>
      <w:r w:rsidR="007B5528">
        <w:rPr>
          <w:szCs w:val="22"/>
        </w:rPr>
        <w:t xml:space="preserve">nsultant </w:t>
      </w:r>
      <w:r w:rsidR="00B12324">
        <w:rPr>
          <w:szCs w:val="22"/>
        </w:rPr>
        <w:t>p</w:t>
      </w:r>
      <w:r w:rsidR="007B5528">
        <w:rPr>
          <w:szCs w:val="22"/>
        </w:rPr>
        <w:t xml:space="preserve">hysician </w:t>
      </w:r>
      <w:r w:rsidR="00E0696C">
        <w:rPr>
          <w:szCs w:val="22"/>
        </w:rPr>
        <w:t>video consultation meets the requirements of</w:t>
      </w:r>
      <w:r w:rsidR="007B5528">
        <w:rPr>
          <w:szCs w:val="22"/>
        </w:rPr>
        <w:t xml:space="preserve"> its item description</w:t>
      </w:r>
      <w:r>
        <w:rPr>
          <w:szCs w:val="22"/>
        </w:rPr>
        <w:t>,</w:t>
      </w:r>
      <w:r w:rsidR="00DE3350">
        <w:rPr>
          <w:szCs w:val="22"/>
        </w:rPr>
        <w:t xml:space="preserve"> </w:t>
      </w:r>
      <w:r w:rsidR="007B5528">
        <w:rPr>
          <w:szCs w:val="22"/>
        </w:rPr>
        <w:t xml:space="preserve">this item can be </w:t>
      </w:r>
      <w:r w:rsidR="006317DC">
        <w:rPr>
          <w:szCs w:val="22"/>
        </w:rPr>
        <w:t xml:space="preserve">used </w:t>
      </w:r>
      <w:r w:rsidR="007B5528">
        <w:rPr>
          <w:szCs w:val="22"/>
        </w:rPr>
        <w:t>with the GP</w:t>
      </w:r>
      <w:r w:rsidR="003D5680">
        <w:rPr>
          <w:szCs w:val="22"/>
        </w:rPr>
        <w:t>, PMP</w:t>
      </w:r>
      <w:r w:rsidR="007B5528">
        <w:rPr>
          <w:szCs w:val="22"/>
        </w:rPr>
        <w:t xml:space="preserve"> or NP claiming </w:t>
      </w:r>
      <w:r w:rsidR="00985DC9">
        <w:rPr>
          <w:szCs w:val="22"/>
        </w:rPr>
        <w:t>PES</w:t>
      </w:r>
      <w:r w:rsidR="007B5528">
        <w:rPr>
          <w:szCs w:val="22"/>
        </w:rPr>
        <w:t xml:space="preserve"> </w:t>
      </w:r>
      <w:r w:rsidR="008F729E">
        <w:rPr>
          <w:szCs w:val="22"/>
        </w:rPr>
        <w:t>items</w:t>
      </w:r>
      <w:r w:rsidR="007B5528">
        <w:rPr>
          <w:szCs w:val="22"/>
        </w:rPr>
        <w:t>.</w:t>
      </w:r>
      <w:r w:rsidR="00C26D8D">
        <w:rPr>
          <w:szCs w:val="22"/>
        </w:rPr>
        <w:t xml:space="preserve"> </w:t>
      </w:r>
      <w:r w:rsidR="00DE3350">
        <w:rPr>
          <w:szCs w:val="22"/>
        </w:rPr>
        <w:t>For purposes of</w:t>
      </w:r>
      <w:r w:rsidR="003D5680">
        <w:rPr>
          <w:szCs w:val="22"/>
        </w:rPr>
        <w:t xml:space="preserve"> selecting</w:t>
      </w:r>
      <w:r w:rsidR="00DE3350">
        <w:rPr>
          <w:szCs w:val="22"/>
        </w:rPr>
        <w:t xml:space="preserve"> time tier</w:t>
      </w:r>
      <w:r>
        <w:rPr>
          <w:szCs w:val="22"/>
        </w:rPr>
        <w:t>ing</w:t>
      </w:r>
      <w:r w:rsidR="003D5680">
        <w:rPr>
          <w:szCs w:val="22"/>
        </w:rPr>
        <w:t xml:space="preserve"> PES items</w:t>
      </w:r>
      <w:r>
        <w:rPr>
          <w:szCs w:val="22"/>
        </w:rPr>
        <w:t>,</w:t>
      </w:r>
      <w:r w:rsidR="00DE3350">
        <w:rPr>
          <w:szCs w:val="22"/>
        </w:rPr>
        <w:t xml:space="preserve"> consults begin and end on patient</w:t>
      </w:r>
      <w:r w:rsidR="00797C8E">
        <w:rPr>
          <w:szCs w:val="22"/>
        </w:rPr>
        <w:t>’</w:t>
      </w:r>
      <w:r w:rsidR="00DE3350">
        <w:rPr>
          <w:szCs w:val="22"/>
        </w:rPr>
        <w:t xml:space="preserve">s presence during the consult </w:t>
      </w:r>
      <w:r w:rsidR="003D5680">
        <w:rPr>
          <w:szCs w:val="22"/>
        </w:rPr>
        <w:t xml:space="preserve">with the face-to-face provider </w:t>
      </w:r>
      <w:r>
        <w:rPr>
          <w:szCs w:val="22"/>
        </w:rPr>
        <w:t>but</w:t>
      </w:r>
      <w:r w:rsidR="00DE3350">
        <w:rPr>
          <w:szCs w:val="22"/>
        </w:rPr>
        <w:t xml:space="preserve"> may extend beyond time with the video </w:t>
      </w:r>
      <w:r w:rsidR="00DE3350" w:rsidRPr="0011334E">
        <w:rPr>
          <w:szCs w:val="22"/>
        </w:rPr>
        <w:t xml:space="preserve">end </w:t>
      </w:r>
      <w:r w:rsidR="00DE3350">
        <w:rPr>
          <w:szCs w:val="22"/>
        </w:rPr>
        <w:t>provider.</w:t>
      </w:r>
    </w:p>
    <w:p w14:paraId="17D12339" w14:textId="2416072B" w:rsidR="00A50398" w:rsidRDefault="008F729E" w:rsidP="003D6EF8">
      <w:pPr>
        <w:rPr>
          <w:szCs w:val="22"/>
        </w:rPr>
      </w:pPr>
      <w:r>
        <w:rPr>
          <w:szCs w:val="22"/>
        </w:rPr>
        <w:t xml:space="preserve">These services are </w:t>
      </w:r>
      <w:r w:rsidR="006317DC">
        <w:rPr>
          <w:szCs w:val="22"/>
        </w:rPr>
        <w:t xml:space="preserve">intended to complement planned </w:t>
      </w:r>
      <w:r w:rsidR="00B12324">
        <w:rPr>
          <w:szCs w:val="22"/>
        </w:rPr>
        <w:t>s</w:t>
      </w:r>
      <w:r w:rsidR="006317DC">
        <w:rPr>
          <w:szCs w:val="22"/>
        </w:rPr>
        <w:t xml:space="preserve">pecialist or </w:t>
      </w:r>
      <w:r w:rsidR="00B12324">
        <w:rPr>
          <w:szCs w:val="22"/>
        </w:rPr>
        <w:t>c</w:t>
      </w:r>
      <w:r w:rsidR="006317DC">
        <w:rPr>
          <w:szCs w:val="22"/>
        </w:rPr>
        <w:t xml:space="preserve">onsultant </w:t>
      </w:r>
      <w:r w:rsidR="00B12324">
        <w:rPr>
          <w:szCs w:val="22"/>
        </w:rPr>
        <w:t>p</w:t>
      </w:r>
      <w:r w:rsidR="006317DC">
        <w:rPr>
          <w:szCs w:val="22"/>
        </w:rPr>
        <w:t xml:space="preserve">hysician care with additional </w:t>
      </w:r>
      <w:r>
        <w:rPr>
          <w:szCs w:val="22"/>
        </w:rPr>
        <w:t xml:space="preserve">opportunities </w:t>
      </w:r>
      <w:r w:rsidR="006317DC">
        <w:rPr>
          <w:szCs w:val="22"/>
        </w:rPr>
        <w:t xml:space="preserve">to </w:t>
      </w:r>
      <w:r>
        <w:rPr>
          <w:szCs w:val="22"/>
        </w:rPr>
        <w:t>involve a patient’s primary care provider</w:t>
      </w:r>
      <w:r w:rsidR="00DE3350">
        <w:rPr>
          <w:szCs w:val="22"/>
        </w:rPr>
        <w:t xml:space="preserve">. PES services allow </w:t>
      </w:r>
      <w:r>
        <w:rPr>
          <w:szCs w:val="22"/>
        </w:rPr>
        <w:t xml:space="preserve">for more effective transfer of information whilst including the patient and allow for physical assessment where necessary. </w:t>
      </w:r>
      <w:r w:rsidR="003D5680" w:rsidDel="003D5680">
        <w:rPr>
          <w:szCs w:val="22"/>
        </w:rPr>
        <w:t xml:space="preserve"> </w:t>
      </w:r>
    </w:p>
    <w:p w14:paraId="7F7DA4F7" w14:textId="77777777" w:rsidR="00064168" w:rsidRDefault="00064168" w:rsidP="00064168">
      <w:pPr>
        <w:pStyle w:val="Heading2"/>
      </w:pPr>
      <w:r>
        <w:t>How will these changes affect patients</w:t>
      </w:r>
      <w:r w:rsidRPr="001A7FB7">
        <w:t>?</w:t>
      </w:r>
    </w:p>
    <w:p w14:paraId="7BD2AA3C" w14:textId="3891421A" w:rsidR="00064168" w:rsidRPr="006F5073" w:rsidRDefault="00AA4560" w:rsidP="006F5073">
      <w:r>
        <w:rPr>
          <w:rFonts w:cs="Arial"/>
          <w:szCs w:val="22"/>
        </w:rPr>
        <w:t xml:space="preserve">These changes will </w:t>
      </w:r>
      <w:r w:rsidR="00BF062A">
        <w:rPr>
          <w:rFonts w:cs="Arial"/>
          <w:szCs w:val="22"/>
        </w:rPr>
        <w:t xml:space="preserve">better </w:t>
      </w:r>
      <w:r>
        <w:rPr>
          <w:rFonts w:cs="Arial"/>
          <w:szCs w:val="22"/>
        </w:rPr>
        <w:t>en</w:t>
      </w:r>
      <w:r w:rsidR="002C66A0">
        <w:rPr>
          <w:rFonts w:cs="Arial"/>
          <w:szCs w:val="22"/>
        </w:rPr>
        <w:t>sure patients have clinical support during complex discussions</w:t>
      </w:r>
      <w:r w:rsidR="00BF062A">
        <w:rPr>
          <w:rFonts w:cs="Arial"/>
          <w:szCs w:val="22"/>
        </w:rPr>
        <w:t xml:space="preserve">. The PES component can help with patient observations requested by the remote </w:t>
      </w:r>
      <w:r w:rsidR="00E626E9">
        <w:rPr>
          <w:rFonts w:cs="Arial"/>
          <w:szCs w:val="22"/>
        </w:rPr>
        <w:t>s</w:t>
      </w:r>
      <w:r w:rsidR="00BF062A">
        <w:rPr>
          <w:rFonts w:cs="Arial"/>
          <w:szCs w:val="22"/>
        </w:rPr>
        <w:t xml:space="preserve">pecialist or </w:t>
      </w:r>
      <w:r w:rsidR="00E626E9">
        <w:rPr>
          <w:rFonts w:cs="Arial"/>
          <w:szCs w:val="22"/>
        </w:rPr>
        <w:t>c</w:t>
      </w:r>
      <w:r w:rsidR="00BF062A">
        <w:rPr>
          <w:rFonts w:cs="Arial"/>
          <w:szCs w:val="22"/>
        </w:rPr>
        <w:t xml:space="preserve">onsultant </w:t>
      </w:r>
      <w:proofErr w:type="gramStart"/>
      <w:r w:rsidR="00E626E9">
        <w:rPr>
          <w:rFonts w:cs="Arial"/>
          <w:szCs w:val="22"/>
        </w:rPr>
        <w:t>p</w:t>
      </w:r>
      <w:r w:rsidR="00BF062A">
        <w:rPr>
          <w:rFonts w:cs="Arial"/>
          <w:szCs w:val="22"/>
        </w:rPr>
        <w:t>hysician, and</w:t>
      </w:r>
      <w:proofErr w:type="gramEnd"/>
      <w:r w:rsidR="00BF062A">
        <w:rPr>
          <w:rFonts w:cs="Arial"/>
          <w:szCs w:val="22"/>
        </w:rPr>
        <w:t xml:space="preserve"> potentially assist the patient with comprehension and the translation of medical advice if necessary. </w:t>
      </w:r>
      <w:r w:rsidR="003D5680">
        <w:rPr>
          <w:szCs w:val="22"/>
        </w:rPr>
        <w:t xml:space="preserve">For patients unable to travel to their </w:t>
      </w:r>
      <w:r w:rsidR="00B87269">
        <w:rPr>
          <w:szCs w:val="22"/>
        </w:rPr>
        <w:t>c</w:t>
      </w:r>
      <w:r w:rsidR="003D5680">
        <w:rPr>
          <w:szCs w:val="22"/>
        </w:rPr>
        <w:t xml:space="preserve">onsultant </w:t>
      </w:r>
      <w:r w:rsidR="00B87269">
        <w:rPr>
          <w:szCs w:val="22"/>
        </w:rPr>
        <w:t>p</w:t>
      </w:r>
      <w:r w:rsidR="003D5680">
        <w:rPr>
          <w:szCs w:val="22"/>
        </w:rPr>
        <w:t xml:space="preserve">hysician or </w:t>
      </w:r>
      <w:r w:rsidR="00B87269">
        <w:rPr>
          <w:szCs w:val="22"/>
        </w:rPr>
        <w:t>s</w:t>
      </w:r>
      <w:r w:rsidR="003D5680">
        <w:rPr>
          <w:szCs w:val="22"/>
        </w:rPr>
        <w:t xml:space="preserve">pecialist this reduces costs </w:t>
      </w:r>
      <w:r w:rsidR="006317DC">
        <w:rPr>
          <w:szCs w:val="22"/>
        </w:rPr>
        <w:t xml:space="preserve">and time </w:t>
      </w:r>
      <w:r w:rsidR="003D5680">
        <w:rPr>
          <w:szCs w:val="22"/>
        </w:rPr>
        <w:t xml:space="preserve">associated with travel.   </w:t>
      </w:r>
    </w:p>
    <w:p w14:paraId="1AA84E52" w14:textId="01CBB3C3" w:rsidR="00570B43" w:rsidRDefault="00570B43" w:rsidP="00570B43">
      <w:pPr>
        <w:pStyle w:val="Heading2"/>
      </w:pPr>
      <w:r>
        <w:t>H</w:t>
      </w:r>
      <w:r w:rsidRPr="00A50398">
        <w:t>ow</w:t>
      </w:r>
      <w:r>
        <w:t xml:space="preserve"> could</w:t>
      </w:r>
      <w:r w:rsidRPr="00A50398">
        <w:t xml:space="preserve"> Patient End Support be utilised</w:t>
      </w:r>
      <w:r>
        <w:t>?</w:t>
      </w:r>
      <w:r w:rsidRPr="00A50398">
        <w:t xml:space="preserve">  </w:t>
      </w:r>
    </w:p>
    <w:p w14:paraId="649B8C51" w14:textId="71C7BD2E" w:rsidR="00F769E3" w:rsidRDefault="00570B43" w:rsidP="00570B43">
      <w:r>
        <w:t xml:space="preserve">Example 1: </w:t>
      </w:r>
      <w:r w:rsidR="00F769E3">
        <w:t xml:space="preserve">Housebound patient </w:t>
      </w:r>
    </w:p>
    <w:p w14:paraId="45D1676C" w14:textId="23C48121" w:rsidR="00570B43" w:rsidRDefault="00570B43" w:rsidP="00570B43">
      <w:r>
        <w:t xml:space="preserve">A patient is housebound and requires a physical assessment as a part of their </w:t>
      </w:r>
      <w:r w:rsidR="00953741">
        <w:t xml:space="preserve">video </w:t>
      </w:r>
      <w:r>
        <w:t xml:space="preserve">consultation with a </w:t>
      </w:r>
      <w:r w:rsidR="00F869CE">
        <w:t>s</w:t>
      </w:r>
      <w:r>
        <w:t xml:space="preserve">pecialist or </w:t>
      </w:r>
      <w:r w:rsidR="00F869CE">
        <w:t>c</w:t>
      </w:r>
      <w:r>
        <w:t xml:space="preserve">onsultant </w:t>
      </w:r>
      <w:r w:rsidR="00F869CE">
        <w:t>p</w:t>
      </w:r>
      <w:r>
        <w:t xml:space="preserve">hysician. GPs, PMPs and NPs could </w:t>
      </w:r>
      <w:r w:rsidR="006317DC">
        <w:t xml:space="preserve">use </w:t>
      </w:r>
      <w:r>
        <w:t xml:space="preserve">out of consulting room PES items to provide </w:t>
      </w:r>
      <w:r w:rsidR="00710A02">
        <w:t xml:space="preserve">this </w:t>
      </w:r>
      <w:r>
        <w:t xml:space="preserve">support to the patient from their home. This could include a physical exam of the patient and </w:t>
      </w:r>
      <w:r w:rsidR="003D5680">
        <w:t xml:space="preserve">or necessary home </w:t>
      </w:r>
      <w:r>
        <w:t xml:space="preserve">assessment.  </w:t>
      </w:r>
    </w:p>
    <w:p w14:paraId="70B3083D" w14:textId="7C2080A0" w:rsidR="00F769E3" w:rsidRDefault="00570B43" w:rsidP="00570B43">
      <w:r>
        <w:t xml:space="preserve">Example 2: </w:t>
      </w:r>
      <w:r w:rsidR="00F769E3">
        <w:t>Residential Aged Care</w:t>
      </w:r>
      <w:r w:rsidR="009914D3">
        <w:t xml:space="preserve"> </w:t>
      </w:r>
      <w:r w:rsidR="007D1514">
        <w:t>Facility</w:t>
      </w:r>
      <w:r w:rsidR="00070291">
        <w:t xml:space="preserve"> </w:t>
      </w:r>
    </w:p>
    <w:p w14:paraId="0D796697" w14:textId="7E9F2309" w:rsidR="00570B43" w:rsidRDefault="00570B43" w:rsidP="00570B43">
      <w:r>
        <w:t xml:space="preserve">An elderly patient is living in a Residential Aged Care </w:t>
      </w:r>
      <w:r w:rsidR="00070291">
        <w:t>Facility</w:t>
      </w:r>
      <w:r w:rsidR="00733927">
        <w:t xml:space="preserve">, </w:t>
      </w:r>
      <w:r w:rsidR="00233BAA">
        <w:t>comes from a</w:t>
      </w:r>
      <w:r w:rsidR="00733927">
        <w:t xml:space="preserve"> culturally</w:t>
      </w:r>
      <w:r>
        <w:t xml:space="preserve"> </w:t>
      </w:r>
      <w:r w:rsidR="00733927">
        <w:t xml:space="preserve">and linguistically diverse </w:t>
      </w:r>
      <w:r w:rsidR="00233BAA">
        <w:t xml:space="preserve">background, </w:t>
      </w:r>
      <w:r>
        <w:t xml:space="preserve">and has difficulty understanding all the clinical details discussed during </w:t>
      </w:r>
      <w:r w:rsidR="00953741">
        <w:t xml:space="preserve">video </w:t>
      </w:r>
      <w:r w:rsidR="002E0E40">
        <w:t>consultation</w:t>
      </w:r>
      <w:r w:rsidR="00953741">
        <w:t>s</w:t>
      </w:r>
      <w:r w:rsidR="002E0E40">
        <w:t xml:space="preserve"> with </w:t>
      </w:r>
      <w:r w:rsidR="00AF04A3">
        <w:t>their</w:t>
      </w:r>
      <w:r w:rsidR="002E0E40">
        <w:t xml:space="preserve"> </w:t>
      </w:r>
      <w:r w:rsidR="00F869CE">
        <w:t>s</w:t>
      </w:r>
      <w:r>
        <w:t xml:space="preserve">pecialist </w:t>
      </w:r>
      <w:r w:rsidR="002E0E40">
        <w:t>or</w:t>
      </w:r>
      <w:r>
        <w:t xml:space="preserve"> </w:t>
      </w:r>
      <w:r w:rsidR="00F869CE">
        <w:t>c</w:t>
      </w:r>
      <w:r>
        <w:t xml:space="preserve">onsultant </w:t>
      </w:r>
      <w:r w:rsidR="00F869CE">
        <w:t>p</w:t>
      </w:r>
      <w:r>
        <w:t>hysician. GPs, PMP</w:t>
      </w:r>
      <w:r w:rsidR="00843E59">
        <w:t>s</w:t>
      </w:r>
      <w:r>
        <w:t xml:space="preserve"> or NPs could </w:t>
      </w:r>
      <w:r w:rsidR="0028079E">
        <w:t>use a PES item to provide support</w:t>
      </w:r>
      <w:r w:rsidR="006664A1">
        <w:t xml:space="preserve"> </w:t>
      </w:r>
      <w:r w:rsidR="00992375">
        <w:t xml:space="preserve">in the Residential Aged Care </w:t>
      </w:r>
      <w:r w:rsidR="00070291">
        <w:t>Facility</w:t>
      </w:r>
      <w:r w:rsidR="00992375">
        <w:t xml:space="preserve">, </w:t>
      </w:r>
      <w:r w:rsidR="006317DC">
        <w:t>use</w:t>
      </w:r>
      <w:r w:rsidR="00992375">
        <w:t xml:space="preserve"> the video conferencing </w:t>
      </w:r>
      <w:r w:rsidR="006317DC">
        <w:t>capability</w:t>
      </w:r>
      <w:r w:rsidR="00992375">
        <w:t>,</w:t>
      </w:r>
      <w:r w:rsidR="0028079E">
        <w:t xml:space="preserve"> and </w:t>
      </w:r>
      <w:r>
        <w:t>explain</w:t>
      </w:r>
      <w:r w:rsidR="00E57017">
        <w:t xml:space="preserve"> clinical</w:t>
      </w:r>
      <w:r>
        <w:t xml:space="preserve"> information in </w:t>
      </w:r>
      <w:r w:rsidR="006317DC">
        <w:t xml:space="preserve">plain language to engage the patient in their care </w:t>
      </w:r>
      <w:r w:rsidR="00843E59">
        <w:t>t</w:t>
      </w:r>
      <w:r>
        <w:t>hrough</w:t>
      </w:r>
      <w:r w:rsidR="005146C4">
        <w:t>out</w:t>
      </w:r>
      <w:r>
        <w:t xml:space="preserve"> the </w:t>
      </w:r>
      <w:r w:rsidR="00AF04A3">
        <w:t xml:space="preserve">video </w:t>
      </w:r>
      <w:r>
        <w:t xml:space="preserve">consultation.  </w:t>
      </w:r>
    </w:p>
    <w:p w14:paraId="17857013" w14:textId="77777777" w:rsidR="00F769E3" w:rsidRDefault="00570B43" w:rsidP="00570B43">
      <w:r>
        <w:t xml:space="preserve">Example 3: </w:t>
      </w:r>
      <w:r w:rsidR="00F769E3">
        <w:t>Rural</w:t>
      </w:r>
    </w:p>
    <w:p w14:paraId="056165DB" w14:textId="02BB3D3A" w:rsidR="00570B43" w:rsidRDefault="00570B43" w:rsidP="00570B43">
      <w:r>
        <w:t>A patient with a chronic illness lives in a rural setting</w:t>
      </w:r>
      <w:r w:rsidR="00AB0737">
        <w:t xml:space="preserve">, </w:t>
      </w:r>
      <w:r w:rsidR="00FB481D">
        <w:t xml:space="preserve">is inexperienced at using video conferencing technology, and </w:t>
      </w:r>
      <w:r w:rsidR="00AB0737">
        <w:t xml:space="preserve">cannot travel to a </w:t>
      </w:r>
      <w:r w:rsidR="00797C8E">
        <w:t>face-to-face</w:t>
      </w:r>
      <w:r w:rsidR="00AB0737">
        <w:t xml:space="preserve"> appointment with</w:t>
      </w:r>
      <w:r w:rsidR="007875B1">
        <w:t xml:space="preserve"> their </w:t>
      </w:r>
      <w:r w:rsidR="00F869CE">
        <w:t>s</w:t>
      </w:r>
      <w:r w:rsidR="007875B1">
        <w:t xml:space="preserve">pecialist </w:t>
      </w:r>
      <w:r w:rsidR="007875B1">
        <w:lastRenderedPageBreak/>
        <w:t xml:space="preserve">or </w:t>
      </w:r>
      <w:r w:rsidR="005774BB">
        <w:t>c</w:t>
      </w:r>
      <w:r w:rsidR="007875B1">
        <w:t xml:space="preserve">onsultant </w:t>
      </w:r>
      <w:r w:rsidR="005774BB">
        <w:t>p</w:t>
      </w:r>
      <w:r w:rsidR="007875B1">
        <w:t>hysician</w:t>
      </w:r>
      <w:r w:rsidR="006B0875">
        <w:t xml:space="preserve">. The appointment also requires some physical observations. </w:t>
      </w:r>
      <w:r>
        <w:t xml:space="preserve">The </w:t>
      </w:r>
      <w:r w:rsidR="008D30EA">
        <w:t xml:space="preserve">patient’s local </w:t>
      </w:r>
      <w:r>
        <w:t>GP</w:t>
      </w:r>
      <w:r w:rsidR="000E2160">
        <w:t>, PMP or NP</w:t>
      </w:r>
      <w:r>
        <w:t xml:space="preserve"> can provide </w:t>
      </w:r>
      <w:r w:rsidR="006317DC">
        <w:t xml:space="preserve">the patient with </w:t>
      </w:r>
      <w:r>
        <w:t>support</w:t>
      </w:r>
      <w:r w:rsidR="008D30EA">
        <w:t xml:space="preserve"> </w:t>
      </w:r>
      <w:r w:rsidR="006317DC">
        <w:t xml:space="preserve">or access </w:t>
      </w:r>
      <w:r>
        <w:t>at their practice</w:t>
      </w:r>
      <w:r w:rsidR="006317DC">
        <w:t>,</w:t>
      </w:r>
      <w:r w:rsidR="008D30EA">
        <w:t xml:space="preserve"> by enabling the video consultation</w:t>
      </w:r>
      <w:r w:rsidR="00A1677A">
        <w:t xml:space="preserve"> </w:t>
      </w:r>
      <w:r w:rsidR="004C58E7">
        <w:t xml:space="preserve">to occur </w:t>
      </w:r>
      <w:r w:rsidR="00A1677A">
        <w:t>from that location</w:t>
      </w:r>
      <w:r w:rsidR="006317DC">
        <w:t xml:space="preserve">. The service might include </w:t>
      </w:r>
      <w:r>
        <w:t xml:space="preserve">physical </w:t>
      </w:r>
      <w:r w:rsidR="006317DC">
        <w:t>observations in real time with GP, PMP or NP assistance</w:t>
      </w:r>
      <w:r>
        <w:t xml:space="preserve">. This allows the </w:t>
      </w:r>
      <w:r w:rsidR="00CB465F">
        <w:t>s</w:t>
      </w:r>
      <w:r>
        <w:t xml:space="preserve">pecialist or </w:t>
      </w:r>
      <w:r w:rsidR="00CB465F">
        <w:t>c</w:t>
      </w:r>
      <w:r>
        <w:t xml:space="preserve">onsultant </w:t>
      </w:r>
      <w:r w:rsidR="00A06B9E">
        <w:t>p</w:t>
      </w:r>
      <w:r>
        <w:t>hysician to make quicker decisions</w:t>
      </w:r>
      <w:r w:rsidR="004C58E7">
        <w:t xml:space="preserve"> </w:t>
      </w:r>
      <w:r w:rsidR="008D30EA">
        <w:t>and</w:t>
      </w:r>
      <w:r>
        <w:t xml:space="preserve"> </w:t>
      </w:r>
      <w:r w:rsidR="006317DC">
        <w:t xml:space="preserve">provide advice directly </w:t>
      </w:r>
      <w:r>
        <w:t>to the GP, PMP or NP</w:t>
      </w:r>
      <w:r w:rsidR="00B10FC6">
        <w:t>, including any changes to care or follow-up investigations.</w:t>
      </w:r>
      <w:r>
        <w:t xml:space="preserve"> </w:t>
      </w:r>
    </w:p>
    <w:p w14:paraId="5BD9BE80" w14:textId="038127F1" w:rsidR="00064168" w:rsidRDefault="00064168" w:rsidP="00064168">
      <w:pPr>
        <w:pStyle w:val="Heading2"/>
      </w:pPr>
      <w:r w:rsidRPr="001A7FB7">
        <w:t>Who was consulted on the changes?</w:t>
      </w:r>
    </w:p>
    <w:p w14:paraId="52AE1316" w14:textId="2EFF0E86" w:rsidR="0087356D" w:rsidRPr="00B24222" w:rsidRDefault="0087356D" w:rsidP="0087356D">
      <w:pPr>
        <w:pStyle w:val="Heading2"/>
        <w:rPr>
          <w:b w:val="0"/>
          <w:bCs w:val="0"/>
          <w:iCs w:val="0"/>
          <w:color w:val="000000" w:themeColor="text1"/>
          <w:sz w:val="22"/>
          <w:szCs w:val="22"/>
        </w:rPr>
      </w:pPr>
      <w:r w:rsidRPr="00B24222">
        <w:rPr>
          <w:b w:val="0"/>
          <w:bCs w:val="0"/>
          <w:iCs w:val="0"/>
          <w:color w:val="000000" w:themeColor="text1"/>
          <w:sz w:val="22"/>
          <w:szCs w:val="22"/>
        </w:rPr>
        <w:t>Th</w:t>
      </w:r>
      <w:r w:rsidR="00855218">
        <w:rPr>
          <w:b w:val="0"/>
          <w:bCs w:val="0"/>
          <w:iCs w:val="0"/>
          <w:color w:val="000000" w:themeColor="text1"/>
          <w:sz w:val="22"/>
          <w:szCs w:val="22"/>
        </w:rPr>
        <w:t>is change</w:t>
      </w:r>
      <w:r w:rsidR="00386CE1">
        <w:rPr>
          <w:b w:val="0"/>
          <w:bCs w:val="0"/>
          <w:iCs w:val="0"/>
          <w:color w:val="000000" w:themeColor="text1"/>
          <w:sz w:val="22"/>
          <w:szCs w:val="22"/>
        </w:rPr>
        <w:t xml:space="preserve"> </w:t>
      </w:r>
      <w:r w:rsidRPr="00B24222">
        <w:rPr>
          <w:b w:val="0"/>
          <w:bCs w:val="0"/>
          <w:iCs w:val="0"/>
          <w:color w:val="000000" w:themeColor="text1"/>
          <w:sz w:val="22"/>
          <w:szCs w:val="22"/>
        </w:rPr>
        <w:t>was</w:t>
      </w:r>
      <w:r w:rsidRPr="0087356D">
        <w:rPr>
          <w:b w:val="0"/>
          <w:bCs w:val="0"/>
          <w:iCs w:val="0"/>
          <w:color w:val="000000" w:themeColor="text1"/>
          <w:sz w:val="22"/>
          <w:szCs w:val="22"/>
        </w:rPr>
        <w:t xml:space="preserve"> informed by stakeholder consultation</w:t>
      </w:r>
      <w:r w:rsidR="00386CE1">
        <w:rPr>
          <w:b w:val="0"/>
          <w:bCs w:val="0"/>
          <w:iCs w:val="0"/>
          <w:color w:val="000000" w:themeColor="text1"/>
          <w:sz w:val="22"/>
          <w:szCs w:val="22"/>
        </w:rPr>
        <w:t xml:space="preserve"> conducted through the </w:t>
      </w:r>
      <w:r w:rsidR="00C964E0">
        <w:rPr>
          <w:b w:val="0"/>
          <w:bCs w:val="0"/>
          <w:iCs w:val="0"/>
          <w:color w:val="000000" w:themeColor="text1"/>
          <w:sz w:val="22"/>
          <w:szCs w:val="22"/>
        </w:rPr>
        <w:t xml:space="preserve">MRAC’s </w:t>
      </w:r>
      <w:r w:rsidRPr="0087356D">
        <w:rPr>
          <w:b w:val="0"/>
          <w:bCs w:val="0"/>
          <w:iCs w:val="0"/>
          <w:color w:val="000000" w:themeColor="text1"/>
          <w:sz w:val="22"/>
          <w:szCs w:val="22"/>
        </w:rPr>
        <w:t xml:space="preserve">Post Implementation Review of </w:t>
      </w:r>
      <w:r w:rsidR="00386CE1">
        <w:rPr>
          <w:b w:val="0"/>
          <w:bCs w:val="0"/>
          <w:iCs w:val="0"/>
          <w:color w:val="000000" w:themeColor="text1"/>
          <w:sz w:val="22"/>
          <w:szCs w:val="22"/>
        </w:rPr>
        <w:t xml:space="preserve">MBS </w:t>
      </w:r>
      <w:r w:rsidRPr="0087356D">
        <w:rPr>
          <w:b w:val="0"/>
          <w:bCs w:val="0"/>
          <w:iCs w:val="0"/>
          <w:color w:val="000000" w:themeColor="text1"/>
          <w:sz w:val="22"/>
          <w:szCs w:val="22"/>
        </w:rPr>
        <w:t xml:space="preserve">Telehealth released in June </w:t>
      </w:r>
      <w:r w:rsidR="00EA6A0A" w:rsidRPr="0087356D">
        <w:rPr>
          <w:b w:val="0"/>
          <w:bCs w:val="0"/>
          <w:iCs w:val="0"/>
          <w:color w:val="000000" w:themeColor="text1"/>
          <w:sz w:val="22"/>
          <w:szCs w:val="22"/>
        </w:rPr>
        <w:t>2024.</w:t>
      </w:r>
    </w:p>
    <w:p w14:paraId="3AE1FCFB" w14:textId="7C3A540F" w:rsidR="009C2000" w:rsidRDefault="009C2000" w:rsidP="00064168">
      <w:pPr>
        <w:pStyle w:val="Heading2"/>
        <w:rPr>
          <w:b w:val="0"/>
          <w:bCs w:val="0"/>
          <w:iCs w:val="0"/>
          <w:color w:val="000000" w:themeColor="text1"/>
          <w:sz w:val="22"/>
          <w:szCs w:val="22"/>
        </w:rPr>
      </w:pPr>
      <w:r w:rsidRPr="009C2000">
        <w:rPr>
          <w:b w:val="0"/>
          <w:bCs w:val="0"/>
          <w:iCs w:val="0"/>
          <w:color w:val="000000" w:themeColor="text1"/>
          <w:sz w:val="22"/>
          <w:szCs w:val="22"/>
        </w:rPr>
        <w:t xml:space="preserve">The MRAC consulted broadly </w:t>
      </w:r>
      <w:r w:rsidR="00C964E0">
        <w:rPr>
          <w:b w:val="0"/>
          <w:bCs w:val="0"/>
          <w:iCs w:val="0"/>
          <w:color w:val="000000" w:themeColor="text1"/>
          <w:sz w:val="22"/>
          <w:szCs w:val="22"/>
        </w:rPr>
        <w:t>with</w:t>
      </w:r>
      <w:r w:rsidRPr="009C2000">
        <w:rPr>
          <w:b w:val="0"/>
          <w:bCs w:val="0"/>
          <w:iCs w:val="0"/>
          <w:color w:val="000000" w:themeColor="text1"/>
          <w:sz w:val="22"/>
          <w:szCs w:val="22"/>
        </w:rPr>
        <w:t xml:space="preserve"> </w:t>
      </w:r>
      <w:r w:rsidR="00C964E0">
        <w:rPr>
          <w:b w:val="0"/>
          <w:bCs w:val="0"/>
          <w:iCs w:val="0"/>
          <w:color w:val="000000" w:themeColor="text1"/>
          <w:sz w:val="22"/>
          <w:szCs w:val="22"/>
        </w:rPr>
        <w:t>m</w:t>
      </w:r>
      <w:r w:rsidRPr="009C2000">
        <w:rPr>
          <w:b w:val="0"/>
          <w:bCs w:val="0"/>
          <w:iCs w:val="0"/>
          <w:color w:val="000000" w:themeColor="text1"/>
          <w:sz w:val="22"/>
          <w:szCs w:val="22"/>
        </w:rPr>
        <w:t>ore than 450 submissions received and considered by the MRAC</w:t>
      </w:r>
      <w:r w:rsidR="00C964E0">
        <w:rPr>
          <w:b w:val="0"/>
          <w:bCs w:val="0"/>
          <w:iCs w:val="0"/>
          <w:color w:val="000000" w:themeColor="text1"/>
          <w:sz w:val="22"/>
          <w:szCs w:val="22"/>
        </w:rPr>
        <w:t xml:space="preserve"> (</w:t>
      </w:r>
      <w:r w:rsidRPr="009C2000">
        <w:rPr>
          <w:b w:val="0"/>
          <w:bCs w:val="0"/>
          <w:iCs w:val="0"/>
          <w:color w:val="000000" w:themeColor="text1"/>
          <w:sz w:val="22"/>
          <w:szCs w:val="22"/>
        </w:rPr>
        <w:t>from industry stakeholders, consumers, individual providers, organisations and researchers</w:t>
      </w:r>
      <w:r w:rsidR="00C964E0">
        <w:rPr>
          <w:b w:val="0"/>
          <w:bCs w:val="0"/>
          <w:iCs w:val="0"/>
          <w:color w:val="000000" w:themeColor="text1"/>
          <w:sz w:val="22"/>
          <w:szCs w:val="22"/>
        </w:rPr>
        <w:t>)</w:t>
      </w:r>
      <w:r w:rsidRPr="009C2000">
        <w:rPr>
          <w:b w:val="0"/>
          <w:bCs w:val="0"/>
          <w:iCs w:val="0"/>
          <w:color w:val="000000" w:themeColor="text1"/>
          <w:sz w:val="22"/>
          <w:szCs w:val="22"/>
        </w:rPr>
        <w:t>.</w:t>
      </w:r>
    </w:p>
    <w:p w14:paraId="32E82B19" w14:textId="100F0FDA" w:rsidR="00064168" w:rsidRDefault="00064168" w:rsidP="00064168">
      <w:pPr>
        <w:pStyle w:val="Heading2"/>
      </w:pPr>
      <w:r w:rsidRPr="001A7FB7">
        <w:t>How will the changes be monitored</w:t>
      </w:r>
      <w:r>
        <w:t xml:space="preserve"> and reviewed</w:t>
      </w:r>
      <w:r w:rsidRPr="001A7FB7">
        <w:t>?</w:t>
      </w:r>
    </w:p>
    <w:p w14:paraId="41BBDDBB" w14:textId="41B25CE1"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3B5508">
        <w:rPr>
          <w:szCs w:val="22"/>
        </w:rPr>
        <w:t xml:space="preserve">department’s </w:t>
      </w:r>
      <w:r w:rsidRPr="00D20254">
        <w:rPr>
          <w:szCs w:val="22"/>
        </w:rPr>
        <w:t xml:space="preserve">compliance program can be found on its website at </w:t>
      </w:r>
      <w:hyperlink r:id="rId12"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3"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4"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5"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Services Australia on the Provider Enquiry Line – 13 21 50. </w:t>
      </w:r>
    </w:p>
    <w:p w14:paraId="77F66027" w14:textId="02C26ECB" w:rsidR="002839E9" w:rsidRDefault="00064168" w:rsidP="00083707">
      <w:pPr>
        <w:rPr>
          <w:rFonts w:eastAsiaTheme="majorEastAsia" w:cstheme="majorBidi"/>
          <w:b/>
          <w:color w:val="3F4A75"/>
          <w:kern w:val="28"/>
          <w:sz w:val="48"/>
          <w:szCs w:val="52"/>
        </w:rPr>
      </w:pPr>
      <w:r w:rsidRPr="00867595">
        <w:rPr>
          <w:szCs w:val="22"/>
        </w:rPr>
        <w:t xml:space="preserve">The data file for software vendors when available can be accessed via the </w:t>
      </w:r>
      <w:hyperlink r:id="rId21" w:history="1">
        <w:r w:rsidR="00C02732" w:rsidRPr="00C02732">
          <w:rPr>
            <w:rStyle w:val="Hyperlink"/>
            <w:szCs w:val="22"/>
          </w:rPr>
          <w:t>Downloads</w:t>
        </w:r>
      </w:hyperlink>
      <w:r w:rsidRPr="00867595">
        <w:rPr>
          <w:szCs w:val="22"/>
        </w:rPr>
        <w:t xml:space="preserve"> page.</w:t>
      </w:r>
    </w:p>
    <w:p w14:paraId="3A0D21CF" w14:textId="28D33666" w:rsidR="0087356D" w:rsidRDefault="0087356D" w:rsidP="00D04138">
      <w:pPr>
        <w:pStyle w:val="Title"/>
      </w:pPr>
      <w:r>
        <w:lastRenderedPageBreak/>
        <w:t xml:space="preserve">Patient </w:t>
      </w:r>
      <w:r w:rsidR="00B72C79">
        <w:t>e</w:t>
      </w:r>
      <w:r>
        <w:t xml:space="preserve">nd </w:t>
      </w:r>
      <w:r w:rsidR="00B72C79">
        <w:t>s</w:t>
      </w:r>
      <w:r>
        <w:t>upport items for GP, PMP and NP (to take effect 1 March 2026)</w:t>
      </w:r>
    </w:p>
    <w:p w14:paraId="6FB745DE" w14:textId="66F070D4" w:rsidR="00030E6F" w:rsidRPr="00030E6F" w:rsidRDefault="00030E6F" w:rsidP="00030E6F">
      <w:pPr>
        <w:pStyle w:val="Heading2"/>
      </w:pPr>
      <w:r>
        <w:t xml:space="preserve">Patient </w:t>
      </w:r>
      <w:r w:rsidR="00B72C79">
        <w:t>e</w:t>
      </w:r>
      <w:r>
        <w:t xml:space="preserve">nd </w:t>
      </w:r>
      <w:r w:rsidR="00B72C79">
        <w:t>s</w:t>
      </w:r>
      <w:r>
        <w:t>upport items for GP</w:t>
      </w:r>
      <w:r w:rsidR="00EE78E2">
        <w:t>s</w:t>
      </w:r>
    </w:p>
    <w:p w14:paraId="4EC7ED9D" w14:textId="77777777" w:rsidR="00030E6F" w:rsidRDefault="00030E6F">
      <w:pPr>
        <w:spacing w:before="0" w:after="0" w:line="240" w:lineRule="auto"/>
      </w:pPr>
    </w:p>
    <w:p w14:paraId="5807768B" w14:textId="02B3122E" w:rsidR="0087356D" w:rsidRDefault="00D04138">
      <w:pPr>
        <w:spacing w:before="0" w:after="0" w:line="240" w:lineRule="auto"/>
      </w:pPr>
      <w:r>
        <w:t xml:space="preserve">Table 1: </w:t>
      </w:r>
      <w:r w:rsidRPr="00D04138">
        <w:t xml:space="preserve">Patient </w:t>
      </w:r>
      <w:r w:rsidR="00B72C79">
        <w:t>e</w:t>
      </w:r>
      <w:r w:rsidRPr="00D04138">
        <w:t xml:space="preserve">nd </w:t>
      </w:r>
      <w:r w:rsidR="00B72C79">
        <w:t>s</w:t>
      </w:r>
      <w:r w:rsidRPr="00D04138">
        <w:t>upport items for G</w:t>
      </w:r>
      <w:r>
        <w:t xml:space="preserve">P. Where </w:t>
      </w:r>
      <w:r w:rsidR="00EE4254">
        <w:t xml:space="preserve">the </w:t>
      </w:r>
      <w:r>
        <w:t>GP</w:t>
      </w:r>
      <w:r w:rsidR="004E6FD6">
        <w:t xml:space="preserve"> </w:t>
      </w:r>
      <w:proofErr w:type="gramStart"/>
      <w:r w:rsidR="00090EE5" w:rsidRPr="00090EE5">
        <w:t>is located in</w:t>
      </w:r>
      <w:proofErr w:type="gramEnd"/>
      <w:r w:rsidR="00090EE5" w:rsidRPr="00090EE5">
        <w:t xml:space="preserve"> the same room as the patient for the whole of the attendance </w:t>
      </w:r>
      <w:r w:rsidR="00090EE5">
        <w:t>during a video consultation with a</w:t>
      </w:r>
      <w:r w:rsidR="00090EE5" w:rsidRPr="004E6FD6">
        <w:t xml:space="preserve"> </w:t>
      </w:r>
      <w:r w:rsidR="00115393">
        <w:t>S</w:t>
      </w:r>
      <w:r w:rsidR="00090EE5" w:rsidRPr="004E6FD6">
        <w:t xml:space="preserve">pecialist or </w:t>
      </w:r>
      <w:r w:rsidR="00115393">
        <w:t>C</w:t>
      </w:r>
      <w:r w:rsidR="00090EE5" w:rsidRPr="004E6FD6">
        <w:t xml:space="preserve">onsultant </w:t>
      </w:r>
      <w:r w:rsidR="00115393">
        <w:t>P</w:t>
      </w:r>
      <w:r w:rsidR="00090EE5" w:rsidRPr="004E6FD6">
        <w:t>hysician</w:t>
      </w:r>
    </w:p>
    <w:tbl>
      <w:tblPr>
        <w:tblStyle w:val="GridTable4-Accent2"/>
        <w:tblW w:w="5000" w:type="pct"/>
        <w:tblLook w:val="04A0" w:firstRow="1" w:lastRow="0" w:firstColumn="1" w:lastColumn="0" w:noHBand="0" w:noVBand="1"/>
      </w:tblPr>
      <w:tblGrid>
        <w:gridCol w:w="1885"/>
        <w:gridCol w:w="2082"/>
        <w:gridCol w:w="2457"/>
        <w:gridCol w:w="2636"/>
      </w:tblGrid>
      <w:tr w:rsidR="00D04138" w14:paraId="0ACEF05E" w14:textId="49478A1F" w:rsidTr="00D60D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40" w:type="pct"/>
          </w:tcPr>
          <w:p w14:paraId="2EB25761" w14:textId="60931596" w:rsidR="00B05546" w:rsidRPr="002839E9" w:rsidRDefault="00B05546" w:rsidP="0087356D">
            <w:pPr>
              <w:rPr>
                <w:color w:val="FFFFFF" w:themeColor="background1"/>
              </w:rPr>
            </w:pPr>
            <w:r w:rsidRPr="002839E9">
              <w:rPr>
                <w:color w:val="FFFFFF" w:themeColor="background1"/>
              </w:rPr>
              <w:t>Service</w:t>
            </w:r>
          </w:p>
        </w:tc>
        <w:tc>
          <w:tcPr>
            <w:tcW w:w="1149" w:type="pct"/>
          </w:tcPr>
          <w:p w14:paraId="2EA0C41B" w14:textId="01327FC4" w:rsidR="00B05546" w:rsidRPr="002839E9" w:rsidRDefault="00B05546" w:rsidP="0087356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839E9">
              <w:rPr>
                <w:color w:val="FFFFFF" w:themeColor="background1"/>
              </w:rPr>
              <w:t xml:space="preserve">In Consultation rooms </w:t>
            </w:r>
          </w:p>
        </w:tc>
        <w:tc>
          <w:tcPr>
            <w:tcW w:w="1356" w:type="pct"/>
          </w:tcPr>
          <w:p w14:paraId="68382559" w14:textId="3B5D86F4" w:rsidR="00B05546" w:rsidRPr="002839E9" w:rsidRDefault="00D04138" w:rsidP="0087356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Outside</w:t>
            </w:r>
            <w:r w:rsidRPr="008570A1">
              <w:rPr>
                <w:color w:val="FFFFFF" w:themeColor="background1"/>
              </w:rPr>
              <w:t xml:space="preserve"> consulting rooms</w:t>
            </w:r>
          </w:p>
        </w:tc>
        <w:tc>
          <w:tcPr>
            <w:tcW w:w="1455" w:type="pct"/>
          </w:tcPr>
          <w:p w14:paraId="588A9124" w14:textId="2D145B9A" w:rsidR="00B05546" w:rsidRPr="00B05546" w:rsidRDefault="00D04138" w:rsidP="0087356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In </w:t>
            </w:r>
            <w:r w:rsidR="00B05546" w:rsidRPr="00B05546">
              <w:rPr>
                <w:color w:val="FFFFFF" w:themeColor="background1"/>
              </w:rPr>
              <w:t>residential aged care facilit</w:t>
            </w:r>
            <w:r>
              <w:rPr>
                <w:color w:val="FFFFFF" w:themeColor="background1"/>
              </w:rPr>
              <w:t>ies</w:t>
            </w:r>
          </w:p>
        </w:tc>
      </w:tr>
      <w:tr w:rsidR="00D04138" w14:paraId="44851C96" w14:textId="56EEEFAA" w:rsidTr="00D60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FE80E9B" w14:textId="525FB335" w:rsidR="00B05546" w:rsidRPr="002839E9" w:rsidRDefault="00B05546" w:rsidP="002839E9">
            <w:pPr>
              <w:ind w:left="23" w:hanging="23"/>
              <w:rPr>
                <w:lang w:eastAsia="en-AU"/>
              </w:rPr>
            </w:pPr>
            <w:r w:rsidRPr="00D04138">
              <w:rPr>
                <w:lang w:eastAsia="en-AU"/>
              </w:rPr>
              <w:t xml:space="preserve">Attendance  </w:t>
            </w:r>
            <w:r w:rsidR="00DF3A80">
              <w:rPr>
                <w:lang w:eastAsia="en-AU"/>
              </w:rPr>
              <w:t>lasting at least 6 minutes less than 20</w:t>
            </w:r>
          </w:p>
        </w:tc>
        <w:tc>
          <w:tcPr>
            <w:tcW w:w="1149" w:type="pct"/>
          </w:tcPr>
          <w:p w14:paraId="7B90C2D6" w14:textId="350F3DC8" w:rsidR="00B05546" w:rsidRPr="002839E9" w:rsidRDefault="00B05546" w:rsidP="008570A1">
            <w:pPr>
              <w:cnfStyle w:val="000000100000" w:firstRow="0" w:lastRow="0" w:firstColumn="0" w:lastColumn="0" w:oddVBand="0" w:evenVBand="0" w:oddHBand="1" w:evenHBand="0" w:firstRowFirstColumn="0" w:firstRowLastColumn="0" w:lastRowFirstColumn="0" w:lastRowLastColumn="0"/>
              <w:rPr>
                <w:lang w:eastAsia="en-AU"/>
              </w:rPr>
            </w:pPr>
            <w:r w:rsidRPr="002839E9">
              <w:rPr>
                <w:lang w:eastAsia="en-AU"/>
              </w:rPr>
              <w:t>2484</w:t>
            </w:r>
          </w:p>
        </w:tc>
        <w:tc>
          <w:tcPr>
            <w:tcW w:w="1356" w:type="pct"/>
          </w:tcPr>
          <w:p w14:paraId="3C80FF9A" w14:textId="12E32948" w:rsidR="00B05546" w:rsidRPr="002839E9" w:rsidRDefault="00B05546" w:rsidP="008570A1">
            <w:pPr>
              <w:cnfStyle w:val="000000100000" w:firstRow="0" w:lastRow="0" w:firstColumn="0" w:lastColumn="0" w:oddVBand="0" w:evenVBand="0" w:oddHBand="1" w:evenHBand="0" w:firstRowFirstColumn="0" w:firstRowLastColumn="0" w:lastRowFirstColumn="0" w:lastRowLastColumn="0"/>
              <w:rPr>
                <w:lang w:eastAsia="en-AU"/>
              </w:rPr>
            </w:pPr>
            <w:r w:rsidRPr="002839E9">
              <w:rPr>
                <w:lang w:eastAsia="en-AU"/>
              </w:rPr>
              <w:t>2485</w:t>
            </w:r>
          </w:p>
        </w:tc>
        <w:tc>
          <w:tcPr>
            <w:tcW w:w="1455" w:type="pct"/>
          </w:tcPr>
          <w:p w14:paraId="276D2194" w14:textId="48DC34A0" w:rsidR="00B05546" w:rsidRPr="002839E9" w:rsidRDefault="00B05546" w:rsidP="008570A1">
            <w:pPr>
              <w:cnfStyle w:val="000000100000" w:firstRow="0" w:lastRow="0" w:firstColumn="0" w:lastColumn="0" w:oddVBand="0" w:evenVBand="0" w:oddHBand="1" w:evenHBand="0" w:firstRowFirstColumn="0" w:firstRowLastColumn="0" w:lastRowFirstColumn="0" w:lastRowLastColumn="0"/>
              <w:rPr>
                <w:lang w:eastAsia="en-AU"/>
              </w:rPr>
            </w:pPr>
            <w:r w:rsidRPr="002839E9">
              <w:rPr>
                <w:lang w:eastAsia="en-AU"/>
              </w:rPr>
              <w:t>2486</w:t>
            </w:r>
          </w:p>
        </w:tc>
      </w:tr>
      <w:tr w:rsidR="00D04138" w:rsidRPr="009F30D6" w14:paraId="6B840A08" w14:textId="20ADF5EC" w:rsidTr="00D60D6C">
        <w:tc>
          <w:tcPr>
            <w:cnfStyle w:val="001000000000" w:firstRow="0" w:lastRow="0" w:firstColumn="1" w:lastColumn="0" w:oddVBand="0" w:evenVBand="0" w:oddHBand="0" w:evenHBand="0" w:firstRowFirstColumn="0" w:firstRowLastColumn="0" w:lastRowFirstColumn="0" w:lastRowLastColumn="0"/>
            <w:tcW w:w="1040" w:type="pct"/>
          </w:tcPr>
          <w:p w14:paraId="23F28660" w14:textId="55238A03" w:rsidR="00B05546" w:rsidRPr="002839E9" w:rsidRDefault="00B05546" w:rsidP="002839E9">
            <w:pPr>
              <w:pStyle w:val="ListBullet"/>
              <w:numPr>
                <w:ilvl w:val="0"/>
                <w:numId w:val="0"/>
              </w:numPr>
              <w:ind w:left="23" w:hanging="23"/>
            </w:pPr>
            <w:r w:rsidRPr="00D04138">
              <w:t xml:space="preserve">Attendance </w:t>
            </w:r>
            <w:r w:rsidR="00DF3A80">
              <w:t xml:space="preserve">lasting </w:t>
            </w:r>
            <w:r w:rsidRPr="00D04138">
              <w:t>at least 20 minutes</w:t>
            </w:r>
            <w:r w:rsidR="00DF3A80">
              <w:t xml:space="preserve"> less than 40 minutes </w:t>
            </w:r>
          </w:p>
        </w:tc>
        <w:tc>
          <w:tcPr>
            <w:tcW w:w="1149" w:type="pct"/>
          </w:tcPr>
          <w:p w14:paraId="2A19DE0E" w14:textId="776261B5" w:rsidR="00B05546" w:rsidRPr="009F30D6" w:rsidRDefault="00B05546" w:rsidP="008570A1">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rsidRPr="009F30D6">
              <w:t>2487</w:t>
            </w:r>
          </w:p>
        </w:tc>
        <w:tc>
          <w:tcPr>
            <w:tcW w:w="1356" w:type="pct"/>
          </w:tcPr>
          <w:p w14:paraId="3D687602" w14:textId="2D017756" w:rsidR="00B05546" w:rsidRPr="009F30D6" w:rsidRDefault="00B05546" w:rsidP="002839E9">
            <w:pPr>
              <w:cnfStyle w:val="000000000000" w:firstRow="0" w:lastRow="0" w:firstColumn="0" w:lastColumn="0" w:oddVBand="0" w:evenVBand="0" w:oddHBand="0" w:evenHBand="0" w:firstRowFirstColumn="0" w:firstRowLastColumn="0" w:lastRowFirstColumn="0" w:lastRowLastColumn="0"/>
              <w:rPr>
                <w:b/>
                <w:bCs/>
              </w:rPr>
            </w:pPr>
            <w:r w:rsidRPr="009F30D6">
              <w:t>2488</w:t>
            </w:r>
          </w:p>
        </w:tc>
        <w:tc>
          <w:tcPr>
            <w:tcW w:w="1455" w:type="pct"/>
          </w:tcPr>
          <w:p w14:paraId="4CC01954" w14:textId="1942DB85" w:rsidR="00B05546" w:rsidRPr="009F30D6" w:rsidRDefault="00B05546" w:rsidP="008570A1">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rsidRPr="009F30D6">
              <w:t>2489</w:t>
            </w:r>
          </w:p>
        </w:tc>
      </w:tr>
      <w:tr w:rsidR="00D04138" w:rsidRPr="009F30D6" w14:paraId="4AC8811E" w14:textId="00988702" w:rsidTr="00D60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F85E8AF" w14:textId="095644F3" w:rsidR="00B05546" w:rsidRPr="002839E9" w:rsidRDefault="00B05546" w:rsidP="002839E9">
            <w:pPr>
              <w:pStyle w:val="ListBullet"/>
              <w:numPr>
                <w:ilvl w:val="0"/>
                <w:numId w:val="0"/>
              </w:numPr>
              <w:ind w:left="23" w:hanging="23"/>
            </w:pPr>
            <w:r w:rsidRPr="00D04138">
              <w:t xml:space="preserve">Attendance </w:t>
            </w:r>
            <w:r w:rsidR="00936300">
              <w:t xml:space="preserve">lasting </w:t>
            </w:r>
            <w:r w:rsidRPr="00D04138">
              <w:t>at least 40 minutes</w:t>
            </w:r>
            <w:r w:rsidR="00936300">
              <w:t xml:space="preserve"> less than 60 minutes </w:t>
            </w:r>
          </w:p>
        </w:tc>
        <w:tc>
          <w:tcPr>
            <w:tcW w:w="1149" w:type="pct"/>
          </w:tcPr>
          <w:p w14:paraId="6F3C4C80" w14:textId="06B3F848" w:rsidR="00B05546" w:rsidRPr="009F30D6" w:rsidRDefault="002262AD" w:rsidP="008570A1">
            <w:pPr>
              <w:pStyle w:val="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rPr>
                <w:b/>
                <w:bCs/>
              </w:rPr>
            </w:pPr>
            <w:r w:rsidRPr="009F30D6">
              <w:t>2490</w:t>
            </w:r>
          </w:p>
        </w:tc>
        <w:tc>
          <w:tcPr>
            <w:tcW w:w="1356" w:type="pct"/>
          </w:tcPr>
          <w:p w14:paraId="774FC86A" w14:textId="257A4BC2" w:rsidR="00B05546" w:rsidRPr="009F30D6" w:rsidRDefault="002262AD" w:rsidP="008570A1">
            <w:pPr>
              <w:pStyle w:val="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rPr>
                <w:b/>
                <w:bCs/>
              </w:rPr>
            </w:pPr>
            <w:r w:rsidRPr="009F30D6">
              <w:t>2491</w:t>
            </w:r>
          </w:p>
        </w:tc>
        <w:tc>
          <w:tcPr>
            <w:tcW w:w="1455" w:type="pct"/>
          </w:tcPr>
          <w:p w14:paraId="768002E2" w14:textId="7AAFD5DD" w:rsidR="00B05546" w:rsidRPr="009F30D6" w:rsidRDefault="002262AD" w:rsidP="008570A1">
            <w:pPr>
              <w:pStyle w:val="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rPr>
                <w:b/>
                <w:bCs/>
              </w:rPr>
            </w:pPr>
            <w:r w:rsidRPr="009F30D6">
              <w:t>2492</w:t>
            </w:r>
          </w:p>
        </w:tc>
      </w:tr>
      <w:tr w:rsidR="00D04138" w:rsidRPr="009F30D6" w14:paraId="37252A00" w14:textId="27FB89EC" w:rsidTr="00D60D6C">
        <w:tc>
          <w:tcPr>
            <w:cnfStyle w:val="001000000000" w:firstRow="0" w:lastRow="0" w:firstColumn="1" w:lastColumn="0" w:oddVBand="0" w:evenVBand="0" w:oddHBand="0" w:evenHBand="0" w:firstRowFirstColumn="0" w:firstRowLastColumn="0" w:lastRowFirstColumn="0" w:lastRowLastColumn="0"/>
            <w:tcW w:w="1040" w:type="pct"/>
          </w:tcPr>
          <w:p w14:paraId="331E941F" w14:textId="1D49A45F" w:rsidR="00B05546" w:rsidRPr="002839E9" w:rsidRDefault="00B05546" w:rsidP="002839E9">
            <w:pPr>
              <w:pStyle w:val="ListBullet"/>
              <w:numPr>
                <w:ilvl w:val="0"/>
                <w:numId w:val="0"/>
              </w:numPr>
              <w:ind w:left="23" w:hanging="23"/>
            </w:pPr>
            <w:r w:rsidRPr="00D04138">
              <w:t xml:space="preserve">Attendance </w:t>
            </w:r>
            <w:r w:rsidR="00936300">
              <w:t xml:space="preserve">lasting </w:t>
            </w:r>
            <w:r w:rsidRPr="00D04138">
              <w:t xml:space="preserve">at least 60 minutes  </w:t>
            </w:r>
          </w:p>
        </w:tc>
        <w:tc>
          <w:tcPr>
            <w:tcW w:w="1149" w:type="pct"/>
          </w:tcPr>
          <w:p w14:paraId="4A637268" w14:textId="3BA9AAB5" w:rsidR="00B05546" w:rsidRPr="009F30D6" w:rsidRDefault="002262AD" w:rsidP="008570A1">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rsidRPr="009F30D6">
              <w:t>2493</w:t>
            </w:r>
          </w:p>
        </w:tc>
        <w:tc>
          <w:tcPr>
            <w:tcW w:w="1356" w:type="pct"/>
          </w:tcPr>
          <w:p w14:paraId="48565EB2" w14:textId="5290B331" w:rsidR="00B05546" w:rsidRPr="009F30D6" w:rsidRDefault="00156FC9" w:rsidP="008570A1">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rsidRPr="009F30D6">
              <w:t>2494</w:t>
            </w:r>
          </w:p>
        </w:tc>
        <w:tc>
          <w:tcPr>
            <w:tcW w:w="1455" w:type="pct"/>
          </w:tcPr>
          <w:p w14:paraId="77E6DE73" w14:textId="34693DBF" w:rsidR="00B05546" w:rsidRPr="009F30D6" w:rsidRDefault="00156FC9" w:rsidP="008570A1">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rsidRPr="009F30D6">
              <w:t>2495</w:t>
            </w:r>
          </w:p>
        </w:tc>
      </w:tr>
    </w:tbl>
    <w:p w14:paraId="26087A3D" w14:textId="77777777" w:rsidR="00156FC9" w:rsidRDefault="00156FC9">
      <w:pPr>
        <w:spacing w:before="0" w:after="0" w:line="240" w:lineRule="auto"/>
        <w:rPr>
          <w:lang w:eastAsia="en-AU"/>
        </w:rPr>
      </w:pPr>
    </w:p>
    <w:p w14:paraId="70C8355A" w14:textId="180A7B1E" w:rsidR="00030E6F" w:rsidRPr="00030E6F" w:rsidRDefault="00030E6F" w:rsidP="002839E9">
      <w:pPr>
        <w:pStyle w:val="Heading2"/>
      </w:pPr>
      <w:r>
        <w:t xml:space="preserve">Patient </w:t>
      </w:r>
      <w:r w:rsidR="00B72C79">
        <w:t>e</w:t>
      </w:r>
      <w:r>
        <w:t xml:space="preserve">nd </w:t>
      </w:r>
      <w:r w:rsidR="00B72C79">
        <w:t>s</w:t>
      </w:r>
      <w:r>
        <w:t>upport items for PMP</w:t>
      </w:r>
      <w:r w:rsidR="00EE78E2">
        <w:t>s</w:t>
      </w:r>
    </w:p>
    <w:p w14:paraId="5B676004" w14:textId="77777777" w:rsidR="00156FC9" w:rsidRDefault="00156FC9">
      <w:pPr>
        <w:spacing w:before="0" w:after="0" w:line="240" w:lineRule="auto"/>
      </w:pPr>
    </w:p>
    <w:p w14:paraId="51CEF733" w14:textId="62BE2FCA" w:rsidR="00D04138" w:rsidRDefault="00D04138" w:rsidP="00D04138">
      <w:pPr>
        <w:spacing w:before="0" w:after="0" w:line="240" w:lineRule="auto"/>
        <w:rPr>
          <w:lang w:eastAsia="en-AU"/>
        </w:rPr>
      </w:pPr>
      <w:r>
        <w:t xml:space="preserve">Table 2: </w:t>
      </w:r>
      <w:r w:rsidR="00EE4254" w:rsidRPr="00D04138">
        <w:t xml:space="preserve">Patient </w:t>
      </w:r>
      <w:r w:rsidR="00B72C79">
        <w:t>e</w:t>
      </w:r>
      <w:r w:rsidR="00EE4254" w:rsidRPr="00D04138">
        <w:t xml:space="preserve">nd </w:t>
      </w:r>
      <w:r w:rsidR="00B72C79">
        <w:t>s</w:t>
      </w:r>
      <w:r w:rsidR="00EE4254" w:rsidRPr="00D04138">
        <w:t xml:space="preserve">upport items for </w:t>
      </w:r>
      <w:r>
        <w:rPr>
          <w:lang w:eastAsia="en-AU"/>
        </w:rPr>
        <w:t>Prescribed Medical Practitioners</w:t>
      </w:r>
      <w:r w:rsidR="00EE4254">
        <w:rPr>
          <w:lang w:eastAsia="en-AU"/>
        </w:rPr>
        <w:t xml:space="preserve">. </w:t>
      </w:r>
      <w:r w:rsidR="00EE4254">
        <w:t xml:space="preserve">Where the </w:t>
      </w:r>
      <w:r w:rsidR="00115393">
        <w:t>P</w:t>
      </w:r>
      <w:r w:rsidR="008356F3" w:rsidRPr="008356F3">
        <w:t xml:space="preserve">rescribed </w:t>
      </w:r>
      <w:r w:rsidR="00115393">
        <w:t>M</w:t>
      </w:r>
      <w:r w:rsidR="008356F3" w:rsidRPr="008356F3">
        <w:t xml:space="preserve">edical </w:t>
      </w:r>
      <w:r w:rsidR="00115393">
        <w:t>P</w:t>
      </w:r>
      <w:r w:rsidR="008356F3" w:rsidRPr="008356F3">
        <w:t>ractitioner</w:t>
      </w:r>
      <w:r w:rsidR="00EE4254">
        <w:t xml:space="preserve"> </w:t>
      </w:r>
      <w:proofErr w:type="gramStart"/>
      <w:r w:rsidR="00090EE5" w:rsidRPr="00090EE5">
        <w:t>is located in</w:t>
      </w:r>
      <w:proofErr w:type="gramEnd"/>
      <w:r w:rsidR="00090EE5" w:rsidRPr="00090EE5">
        <w:t xml:space="preserve"> the same room as the patient for the whole of the attendance </w:t>
      </w:r>
      <w:r w:rsidR="00090EE5">
        <w:t>during a video consultation with a</w:t>
      </w:r>
      <w:r w:rsidR="00090EE5" w:rsidRPr="004E6FD6">
        <w:t xml:space="preserve"> </w:t>
      </w:r>
      <w:r w:rsidR="00115393">
        <w:t>S</w:t>
      </w:r>
      <w:r w:rsidR="00090EE5" w:rsidRPr="004E6FD6">
        <w:t xml:space="preserve">pecialist or </w:t>
      </w:r>
      <w:r w:rsidR="00115393">
        <w:t>C</w:t>
      </w:r>
      <w:r w:rsidR="00090EE5" w:rsidRPr="004E6FD6">
        <w:t xml:space="preserve">onsultant </w:t>
      </w:r>
      <w:r w:rsidR="00115393">
        <w:t>P</w:t>
      </w:r>
      <w:r w:rsidR="00090EE5" w:rsidRPr="004E6FD6">
        <w:t>hysician</w:t>
      </w:r>
      <w:r w:rsidR="00090EE5">
        <w:t>.</w:t>
      </w:r>
    </w:p>
    <w:tbl>
      <w:tblPr>
        <w:tblStyle w:val="GridTable4-Accent2"/>
        <w:tblW w:w="0" w:type="auto"/>
        <w:tblLook w:val="04A0" w:firstRow="1" w:lastRow="0" w:firstColumn="1" w:lastColumn="0" w:noHBand="0" w:noVBand="1"/>
      </w:tblPr>
      <w:tblGrid>
        <w:gridCol w:w="3272"/>
        <w:gridCol w:w="1881"/>
        <w:gridCol w:w="1851"/>
        <w:gridCol w:w="2056"/>
      </w:tblGrid>
      <w:tr w:rsidR="00D04138" w14:paraId="5BC998B1" w14:textId="77777777" w:rsidTr="002839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2CF65C9E" w14:textId="060E5644" w:rsidR="00D04138" w:rsidRPr="008570A1" w:rsidRDefault="00D04138" w:rsidP="00D04138">
            <w:pPr>
              <w:rPr>
                <w:color w:val="FFFFFF" w:themeColor="background1"/>
              </w:rPr>
            </w:pPr>
            <w:r>
              <w:rPr>
                <w:color w:val="FFFFFF" w:themeColor="background1"/>
              </w:rPr>
              <w:t>Service</w:t>
            </w:r>
          </w:p>
        </w:tc>
        <w:tc>
          <w:tcPr>
            <w:tcW w:w="0" w:type="auto"/>
          </w:tcPr>
          <w:p w14:paraId="024BDAD1" w14:textId="0B4865E1" w:rsidR="00D04138" w:rsidRPr="008570A1" w:rsidRDefault="00D04138" w:rsidP="00D04138">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570A1">
              <w:rPr>
                <w:color w:val="FFFFFF" w:themeColor="background1"/>
              </w:rPr>
              <w:t xml:space="preserve">In Consultation rooms </w:t>
            </w:r>
          </w:p>
        </w:tc>
        <w:tc>
          <w:tcPr>
            <w:tcW w:w="0" w:type="auto"/>
          </w:tcPr>
          <w:p w14:paraId="331626FE" w14:textId="145821A2" w:rsidR="00D04138" w:rsidRPr="008570A1" w:rsidRDefault="00D04138" w:rsidP="00D04138">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Outside</w:t>
            </w:r>
            <w:r w:rsidRPr="008570A1">
              <w:rPr>
                <w:color w:val="FFFFFF" w:themeColor="background1"/>
              </w:rPr>
              <w:t xml:space="preserve"> consulting rooms</w:t>
            </w:r>
          </w:p>
        </w:tc>
        <w:tc>
          <w:tcPr>
            <w:tcW w:w="0" w:type="auto"/>
          </w:tcPr>
          <w:p w14:paraId="73E2B869" w14:textId="71E3238B" w:rsidR="00D04138" w:rsidRPr="00B05546" w:rsidRDefault="00D04138" w:rsidP="00D04138">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In </w:t>
            </w:r>
            <w:r w:rsidRPr="00B05546">
              <w:rPr>
                <w:color w:val="FFFFFF" w:themeColor="background1"/>
              </w:rPr>
              <w:t>residential aged care facilit</w:t>
            </w:r>
            <w:r>
              <w:rPr>
                <w:color w:val="FFFFFF" w:themeColor="background1"/>
              </w:rPr>
              <w:t>ies</w:t>
            </w:r>
          </w:p>
        </w:tc>
      </w:tr>
      <w:tr w:rsidR="00D04138" w14:paraId="3B35A758" w14:textId="77777777" w:rsidTr="002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F3A494" w14:textId="113E677C" w:rsidR="00D04138" w:rsidRPr="002839E9" w:rsidRDefault="00D04138" w:rsidP="00D04138">
            <w:pPr>
              <w:rPr>
                <w:lang w:eastAsia="en-AU"/>
              </w:rPr>
            </w:pPr>
            <w:r w:rsidRPr="00D04138">
              <w:rPr>
                <w:lang w:eastAsia="en-AU"/>
              </w:rPr>
              <w:t>Attendance of more than 5 minutes but not more than 25 minutes</w:t>
            </w:r>
          </w:p>
        </w:tc>
        <w:tc>
          <w:tcPr>
            <w:tcW w:w="0" w:type="auto"/>
          </w:tcPr>
          <w:p w14:paraId="3559D6F1" w14:textId="6BA8048B" w:rsidR="00D04138" w:rsidRDefault="00D04138" w:rsidP="00D04138">
            <w:pPr>
              <w:cnfStyle w:val="000000100000" w:firstRow="0" w:lastRow="0" w:firstColumn="0" w:lastColumn="0" w:oddVBand="0" w:evenVBand="0" w:oddHBand="1" w:evenHBand="0" w:firstRowFirstColumn="0" w:firstRowLastColumn="0" w:lastRowFirstColumn="0" w:lastRowLastColumn="0"/>
              <w:rPr>
                <w:b/>
                <w:bCs/>
                <w:lang w:eastAsia="en-AU"/>
              </w:rPr>
            </w:pPr>
            <w:r w:rsidRPr="009F30D6">
              <w:t>373</w:t>
            </w:r>
          </w:p>
          <w:p w14:paraId="20FD9949" w14:textId="6B8E9285" w:rsidR="00D04138" w:rsidRPr="002839E9" w:rsidRDefault="00D04138" w:rsidP="002839E9">
            <w:pPr>
              <w:jc w:val="center"/>
              <w:cnfStyle w:val="000000100000" w:firstRow="0" w:lastRow="0" w:firstColumn="0" w:lastColumn="0" w:oddVBand="0" w:evenVBand="0" w:oddHBand="1" w:evenHBand="0" w:firstRowFirstColumn="0" w:firstRowLastColumn="0" w:lastRowFirstColumn="0" w:lastRowLastColumn="0"/>
              <w:rPr>
                <w:lang w:eastAsia="en-AU"/>
              </w:rPr>
            </w:pPr>
          </w:p>
        </w:tc>
        <w:tc>
          <w:tcPr>
            <w:tcW w:w="0" w:type="auto"/>
          </w:tcPr>
          <w:p w14:paraId="3BEE3EFD" w14:textId="4965624B" w:rsidR="00D04138" w:rsidRDefault="00D04138" w:rsidP="00D04138">
            <w:pPr>
              <w:cnfStyle w:val="000000100000" w:firstRow="0" w:lastRow="0" w:firstColumn="0" w:lastColumn="0" w:oddVBand="0" w:evenVBand="0" w:oddHBand="1" w:evenHBand="0" w:firstRowFirstColumn="0" w:firstRowLastColumn="0" w:lastRowFirstColumn="0" w:lastRowLastColumn="0"/>
              <w:rPr>
                <w:b/>
                <w:bCs/>
                <w:lang w:eastAsia="en-AU"/>
              </w:rPr>
            </w:pPr>
            <w:r w:rsidRPr="009F30D6">
              <w:t>374</w:t>
            </w:r>
          </w:p>
        </w:tc>
        <w:tc>
          <w:tcPr>
            <w:tcW w:w="0" w:type="auto"/>
          </w:tcPr>
          <w:p w14:paraId="3DF355F7" w14:textId="4EB42C0D" w:rsidR="00D04138" w:rsidRDefault="00D04138" w:rsidP="00D04138">
            <w:pPr>
              <w:cnfStyle w:val="000000100000" w:firstRow="0" w:lastRow="0" w:firstColumn="0" w:lastColumn="0" w:oddVBand="0" w:evenVBand="0" w:oddHBand="1" w:evenHBand="0" w:firstRowFirstColumn="0" w:firstRowLastColumn="0" w:lastRowFirstColumn="0" w:lastRowLastColumn="0"/>
              <w:rPr>
                <w:b/>
                <w:bCs/>
                <w:lang w:eastAsia="en-AU"/>
              </w:rPr>
            </w:pPr>
            <w:r w:rsidRPr="009F30D6">
              <w:t>375</w:t>
            </w:r>
          </w:p>
        </w:tc>
      </w:tr>
      <w:tr w:rsidR="00D04138" w:rsidRPr="009F30D6" w14:paraId="1377A390" w14:textId="77777777" w:rsidTr="002839E9">
        <w:tc>
          <w:tcPr>
            <w:cnfStyle w:val="001000000000" w:firstRow="0" w:lastRow="0" w:firstColumn="1" w:lastColumn="0" w:oddVBand="0" w:evenVBand="0" w:oddHBand="0" w:evenHBand="0" w:firstRowFirstColumn="0" w:firstRowLastColumn="0" w:lastRowFirstColumn="0" w:lastRowLastColumn="0"/>
            <w:tcW w:w="0" w:type="auto"/>
          </w:tcPr>
          <w:p w14:paraId="1461A0CE" w14:textId="275BFFC7" w:rsidR="00D04138" w:rsidRPr="002839E9" w:rsidRDefault="00D04138" w:rsidP="002839E9">
            <w:pPr>
              <w:pStyle w:val="ListBullet"/>
              <w:numPr>
                <w:ilvl w:val="0"/>
                <w:numId w:val="0"/>
              </w:numPr>
              <w:ind w:left="28" w:hanging="28"/>
            </w:pPr>
            <w:r w:rsidRPr="00D04138">
              <w:lastRenderedPageBreak/>
              <w:t>Attendance of more than 25 minutes but not more than 45 minutes</w:t>
            </w:r>
          </w:p>
        </w:tc>
        <w:tc>
          <w:tcPr>
            <w:tcW w:w="0" w:type="auto"/>
          </w:tcPr>
          <w:p w14:paraId="0062BD68" w14:textId="0C424C03" w:rsidR="00D04138" w:rsidRPr="009F30D6" w:rsidRDefault="00D04138" w:rsidP="00D04138">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rsidRPr="009F30D6">
              <w:t>376</w:t>
            </w:r>
          </w:p>
        </w:tc>
        <w:tc>
          <w:tcPr>
            <w:tcW w:w="0" w:type="auto"/>
          </w:tcPr>
          <w:p w14:paraId="6708E598" w14:textId="3D1DFA1C" w:rsidR="00D04138" w:rsidRPr="009F30D6" w:rsidRDefault="00D04138" w:rsidP="00D04138">
            <w:pPr>
              <w:cnfStyle w:val="000000000000" w:firstRow="0" w:lastRow="0" w:firstColumn="0" w:lastColumn="0" w:oddVBand="0" w:evenVBand="0" w:oddHBand="0" w:evenHBand="0" w:firstRowFirstColumn="0" w:firstRowLastColumn="0" w:lastRowFirstColumn="0" w:lastRowLastColumn="0"/>
              <w:rPr>
                <w:b/>
                <w:bCs/>
              </w:rPr>
            </w:pPr>
            <w:r w:rsidRPr="009F30D6">
              <w:t>377</w:t>
            </w:r>
          </w:p>
        </w:tc>
        <w:tc>
          <w:tcPr>
            <w:tcW w:w="0" w:type="auto"/>
          </w:tcPr>
          <w:p w14:paraId="5B5CD581" w14:textId="5E2B290D" w:rsidR="00D04138" w:rsidRPr="009F30D6" w:rsidRDefault="00D04138" w:rsidP="00D04138">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rsidRPr="009F30D6">
              <w:t>378</w:t>
            </w:r>
          </w:p>
        </w:tc>
      </w:tr>
      <w:tr w:rsidR="00D04138" w:rsidRPr="009F30D6" w14:paraId="5F5444C8" w14:textId="77777777" w:rsidTr="002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CA7BCA" w14:textId="68CA066B" w:rsidR="00D04138" w:rsidRPr="002839E9" w:rsidRDefault="00D04138" w:rsidP="002839E9">
            <w:pPr>
              <w:pStyle w:val="ListBullet"/>
              <w:numPr>
                <w:ilvl w:val="0"/>
                <w:numId w:val="0"/>
              </w:numPr>
              <w:ind w:left="28" w:hanging="28"/>
            </w:pPr>
            <w:r w:rsidRPr="00D04138">
              <w:t>Attendance of more than 45 minutes but not more than 60 minutes</w:t>
            </w:r>
          </w:p>
        </w:tc>
        <w:tc>
          <w:tcPr>
            <w:tcW w:w="0" w:type="auto"/>
          </w:tcPr>
          <w:p w14:paraId="50680ADD" w14:textId="4DA05388" w:rsidR="00D04138" w:rsidRDefault="00D04138" w:rsidP="00D04138">
            <w:pPr>
              <w:pStyle w:val="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rPr>
                <w:b/>
                <w:bCs/>
              </w:rPr>
            </w:pPr>
            <w:r w:rsidRPr="009F30D6">
              <w:t>379</w:t>
            </w:r>
          </w:p>
          <w:p w14:paraId="45FBE23A" w14:textId="5255CA69" w:rsidR="00D04138" w:rsidRPr="002839E9" w:rsidRDefault="00D04138" w:rsidP="002839E9">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064014AD" w14:textId="7CD49667" w:rsidR="00D04138" w:rsidRDefault="00D04138" w:rsidP="00D04138">
            <w:pPr>
              <w:pStyle w:val="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rPr>
                <w:b/>
                <w:bCs/>
              </w:rPr>
            </w:pPr>
            <w:r w:rsidRPr="009F30D6">
              <w:t>380</w:t>
            </w:r>
          </w:p>
          <w:p w14:paraId="6B22AFFF" w14:textId="38B351CC" w:rsidR="00D04138" w:rsidRPr="002839E9" w:rsidRDefault="00D04138" w:rsidP="002839E9">
            <w:pPr>
              <w:ind w:firstLine="720"/>
              <w:cnfStyle w:val="000000100000" w:firstRow="0" w:lastRow="0" w:firstColumn="0" w:lastColumn="0" w:oddVBand="0" w:evenVBand="0" w:oddHBand="1" w:evenHBand="0" w:firstRowFirstColumn="0" w:firstRowLastColumn="0" w:lastRowFirstColumn="0" w:lastRowLastColumn="0"/>
            </w:pPr>
          </w:p>
        </w:tc>
        <w:tc>
          <w:tcPr>
            <w:tcW w:w="0" w:type="auto"/>
          </w:tcPr>
          <w:p w14:paraId="2CC6BD2D" w14:textId="52372937" w:rsidR="00D04138" w:rsidRPr="009F30D6" w:rsidRDefault="00D04138" w:rsidP="00D04138">
            <w:pPr>
              <w:pStyle w:val="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rPr>
                <w:b/>
                <w:bCs/>
              </w:rPr>
            </w:pPr>
            <w:r w:rsidRPr="009F30D6">
              <w:t>38</w:t>
            </w:r>
            <w:r>
              <w:t>1</w:t>
            </w:r>
          </w:p>
        </w:tc>
      </w:tr>
      <w:tr w:rsidR="00D04138" w:rsidRPr="009F30D6" w14:paraId="100819F4" w14:textId="77777777" w:rsidTr="002839E9">
        <w:tc>
          <w:tcPr>
            <w:cnfStyle w:val="001000000000" w:firstRow="0" w:lastRow="0" w:firstColumn="1" w:lastColumn="0" w:oddVBand="0" w:evenVBand="0" w:oddHBand="0" w:evenHBand="0" w:firstRowFirstColumn="0" w:firstRowLastColumn="0" w:lastRowFirstColumn="0" w:lastRowLastColumn="0"/>
            <w:tcW w:w="0" w:type="auto"/>
          </w:tcPr>
          <w:p w14:paraId="3EDF99E7" w14:textId="5D906AE0" w:rsidR="00D04138" w:rsidRPr="002839E9" w:rsidRDefault="00D04138" w:rsidP="002839E9">
            <w:pPr>
              <w:pStyle w:val="ListBullet"/>
              <w:numPr>
                <w:ilvl w:val="0"/>
                <w:numId w:val="0"/>
              </w:numPr>
              <w:ind w:left="28" w:hanging="28"/>
            </w:pPr>
            <w:r w:rsidRPr="00D04138">
              <w:t>Attendance of more than 60 minutes</w:t>
            </w:r>
          </w:p>
        </w:tc>
        <w:tc>
          <w:tcPr>
            <w:tcW w:w="0" w:type="auto"/>
          </w:tcPr>
          <w:p w14:paraId="23200651" w14:textId="3BFAA3FE" w:rsidR="00D04138" w:rsidRPr="009F30D6" w:rsidRDefault="00D04138" w:rsidP="00D04138">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rsidRPr="009F30D6">
              <w:t>38</w:t>
            </w:r>
            <w:r>
              <w:t>2</w:t>
            </w:r>
          </w:p>
        </w:tc>
        <w:tc>
          <w:tcPr>
            <w:tcW w:w="0" w:type="auto"/>
          </w:tcPr>
          <w:p w14:paraId="1E9F0B46" w14:textId="26BE6724" w:rsidR="00D04138" w:rsidRPr="009F30D6" w:rsidRDefault="00D04138" w:rsidP="00D04138">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rsidRPr="009F30D6">
              <w:t>3</w:t>
            </w:r>
            <w:r>
              <w:t>90</w:t>
            </w:r>
          </w:p>
        </w:tc>
        <w:tc>
          <w:tcPr>
            <w:tcW w:w="0" w:type="auto"/>
          </w:tcPr>
          <w:p w14:paraId="56803899" w14:textId="45C4CE49" w:rsidR="00D04138" w:rsidRPr="009F30D6" w:rsidRDefault="00D04138" w:rsidP="00D04138">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rsidRPr="009F30D6">
              <w:t>3</w:t>
            </w:r>
            <w:r>
              <w:t>91</w:t>
            </w:r>
          </w:p>
        </w:tc>
      </w:tr>
    </w:tbl>
    <w:p w14:paraId="380ACEC6" w14:textId="77777777" w:rsidR="0087356D" w:rsidRDefault="0087356D">
      <w:pPr>
        <w:spacing w:before="0" w:after="0" w:line="240" w:lineRule="auto"/>
      </w:pPr>
    </w:p>
    <w:p w14:paraId="16BCEC83" w14:textId="66D76765" w:rsidR="00030E6F" w:rsidRPr="00030E6F" w:rsidRDefault="00030E6F" w:rsidP="002839E9">
      <w:pPr>
        <w:pStyle w:val="Heading2"/>
      </w:pPr>
      <w:r>
        <w:t xml:space="preserve">Patient </w:t>
      </w:r>
      <w:r w:rsidR="00B72C79">
        <w:t>e</w:t>
      </w:r>
      <w:r>
        <w:t xml:space="preserve">nd </w:t>
      </w:r>
      <w:r w:rsidR="00B72C79">
        <w:t>s</w:t>
      </w:r>
      <w:r>
        <w:t>upport items for NPs</w:t>
      </w:r>
    </w:p>
    <w:p w14:paraId="654E8F33" w14:textId="77777777" w:rsidR="005C1BB4" w:rsidRDefault="005C1BB4">
      <w:pPr>
        <w:spacing w:before="0" w:after="0" w:line="240" w:lineRule="auto"/>
      </w:pPr>
    </w:p>
    <w:p w14:paraId="4126AC5F" w14:textId="58337C08" w:rsidR="00030E6F" w:rsidRPr="00030E6F" w:rsidRDefault="00D04138">
      <w:pPr>
        <w:spacing w:before="0" w:after="0" w:line="240" w:lineRule="auto"/>
      </w:pPr>
      <w:r>
        <w:t>Table 3:</w:t>
      </w:r>
      <w:r w:rsidR="00EE4254">
        <w:t xml:space="preserve"> </w:t>
      </w:r>
      <w:r w:rsidR="00EE4254" w:rsidRPr="00D04138">
        <w:t xml:space="preserve">Patient End Support items for </w:t>
      </w:r>
      <w:r w:rsidR="00EE4254" w:rsidRPr="005C1BB4">
        <w:t>Participating Nurse Practitioner</w:t>
      </w:r>
      <w:r w:rsidR="00EE4254">
        <w:rPr>
          <w:lang w:eastAsia="en-AU"/>
        </w:rPr>
        <w:t xml:space="preserve">. </w:t>
      </w:r>
      <w:r w:rsidR="00EE4254">
        <w:t xml:space="preserve">Where the </w:t>
      </w:r>
      <w:r w:rsidR="00DF3A80">
        <w:t xml:space="preserve">Participating </w:t>
      </w:r>
      <w:r w:rsidR="00EE4254">
        <w:t xml:space="preserve">Nurse Practitioner </w:t>
      </w:r>
      <w:proofErr w:type="gramStart"/>
      <w:r w:rsidR="00090EE5" w:rsidRPr="00090EE5">
        <w:t>is located in</w:t>
      </w:r>
      <w:proofErr w:type="gramEnd"/>
      <w:r w:rsidR="00090EE5" w:rsidRPr="00090EE5">
        <w:t xml:space="preserve"> the same room as the patient for the whole of the attendance </w:t>
      </w:r>
      <w:r w:rsidR="00EE4254">
        <w:t>during a video consultation with a</w:t>
      </w:r>
      <w:r w:rsidR="00EE4254" w:rsidRPr="004E6FD6">
        <w:t xml:space="preserve"> </w:t>
      </w:r>
      <w:r w:rsidR="00115393">
        <w:t>S</w:t>
      </w:r>
      <w:r w:rsidR="00EE4254" w:rsidRPr="004E6FD6">
        <w:t xml:space="preserve">pecialist or </w:t>
      </w:r>
      <w:r w:rsidR="00115393">
        <w:t>C</w:t>
      </w:r>
      <w:r w:rsidR="00EE4254" w:rsidRPr="004E6FD6">
        <w:t xml:space="preserve">onsultant </w:t>
      </w:r>
      <w:r w:rsidR="00115393">
        <w:t>P</w:t>
      </w:r>
      <w:r w:rsidR="00EE4254" w:rsidRPr="004E6FD6">
        <w:t>hysician</w:t>
      </w:r>
    </w:p>
    <w:tbl>
      <w:tblPr>
        <w:tblStyle w:val="GridTable4-Accent2"/>
        <w:tblW w:w="5000" w:type="pct"/>
        <w:tblLook w:val="04A0" w:firstRow="1" w:lastRow="0" w:firstColumn="1" w:lastColumn="0" w:noHBand="0" w:noVBand="1"/>
      </w:tblPr>
      <w:tblGrid>
        <w:gridCol w:w="5987"/>
        <w:gridCol w:w="1744"/>
        <w:gridCol w:w="1329"/>
      </w:tblGrid>
      <w:tr w:rsidR="00030E6F" w14:paraId="323ED164" w14:textId="77777777" w:rsidTr="002839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3" w:type="pct"/>
          </w:tcPr>
          <w:p w14:paraId="1A90D92E" w14:textId="0B2C39B7" w:rsidR="005C1BB4" w:rsidRPr="008570A1" w:rsidRDefault="00030E6F" w:rsidP="008570A1">
            <w:pPr>
              <w:rPr>
                <w:color w:val="FFFFFF" w:themeColor="background1"/>
              </w:rPr>
            </w:pPr>
            <w:r>
              <w:rPr>
                <w:color w:val="FFFFFF" w:themeColor="background1"/>
              </w:rPr>
              <w:t>Ser</w:t>
            </w:r>
            <w:r w:rsidR="001D69FF">
              <w:rPr>
                <w:color w:val="FFFFFF" w:themeColor="background1"/>
              </w:rPr>
              <w:t>vice</w:t>
            </w:r>
          </w:p>
        </w:tc>
        <w:tc>
          <w:tcPr>
            <w:tcW w:w="1018" w:type="pct"/>
          </w:tcPr>
          <w:p w14:paraId="41E86E9C" w14:textId="77777777" w:rsidR="005C1BB4" w:rsidRPr="008570A1" w:rsidRDefault="005C1BB4" w:rsidP="008570A1">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570A1">
              <w:rPr>
                <w:color w:val="FFFFFF" w:themeColor="background1"/>
              </w:rPr>
              <w:t xml:space="preserve">In Consultation rooms </w:t>
            </w:r>
          </w:p>
        </w:tc>
        <w:tc>
          <w:tcPr>
            <w:tcW w:w="0" w:type="pct"/>
          </w:tcPr>
          <w:p w14:paraId="0CE839A8" w14:textId="5F60B4DB" w:rsidR="005C1BB4" w:rsidRPr="008570A1" w:rsidRDefault="00D04138" w:rsidP="008570A1">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Outside</w:t>
            </w:r>
            <w:r w:rsidR="005C1BB4" w:rsidRPr="008570A1">
              <w:rPr>
                <w:color w:val="FFFFFF" w:themeColor="background1"/>
              </w:rPr>
              <w:t xml:space="preserve"> consulting rooms</w:t>
            </w:r>
          </w:p>
        </w:tc>
      </w:tr>
      <w:tr w:rsidR="00030E6F" w14:paraId="4BD05225" w14:textId="77777777" w:rsidTr="002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3" w:type="pct"/>
          </w:tcPr>
          <w:p w14:paraId="2EF3BEE6" w14:textId="60ACEF26" w:rsidR="005C1BB4" w:rsidRPr="002839E9" w:rsidRDefault="005C1BB4" w:rsidP="008570A1">
            <w:pPr>
              <w:rPr>
                <w:lang w:eastAsia="en-AU"/>
              </w:rPr>
            </w:pPr>
            <w:r w:rsidRPr="00030E6F">
              <w:rPr>
                <w:lang w:eastAsia="en-AU"/>
              </w:rPr>
              <w:t>Attendance of more than 6 minutes but not more than 20 minutes</w:t>
            </w:r>
          </w:p>
        </w:tc>
        <w:tc>
          <w:tcPr>
            <w:tcW w:w="1018" w:type="pct"/>
          </w:tcPr>
          <w:p w14:paraId="10B6F4DF" w14:textId="18440EA8" w:rsidR="005C1BB4" w:rsidRPr="008570A1" w:rsidRDefault="005C1BB4" w:rsidP="002839E9">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82250</w:t>
            </w:r>
          </w:p>
        </w:tc>
        <w:tc>
          <w:tcPr>
            <w:tcW w:w="0" w:type="pct"/>
          </w:tcPr>
          <w:p w14:paraId="55DCC7E2" w14:textId="5D0C2418" w:rsidR="005C1BB4" w:rsidRDefault="005C1BB4" w:rsidP="008570A1">
            <w:pPr>
              <w:cnfStyle w:val="000000100000" w:firstRow="0" w:lastRow="0" w:firstColumn="0" w:lastColumn="0" w:oddVBand="0" w:evenVBand="0" w:oddHBand="1" w:evenHBand="0" w:firstRowFirstColumn="0" w:firstRowLastColumn="0" w:lastRowFirstColumn="0" w:lastRowLastColumn="0"/>
              <w:rPr>
                <w:b/>
                <w:bCs/>
                <w:lang w:eastAsia="en-AU"/>
              </w:rPr>
            </w:pPr>
            <w:r>
              <w:t>82251</w:t>
            </w:r>
          </w:p>
        </w:tc>
      </w:tr>
      <w:tr w:rsidR="00030E6F" w:rsidRPr="009F30D6" w14:paraId="64F9571F" w14:textId="77777777" w:rsidTr="002839E9">
        <w:tc>
          <w:tcPr>
            <w:cnfStyle w:val="001000000000" w:firstRow="0" w:lastRow="0" w:firstColumn="1" w:lastColumn="0" w:oddVBand="0" w:evenVBand="0" w:oddHBand="0" w:evenHBand="0" w:firstRowFirstColumn="0" w:firstRowLastColumn="0" w:lastRowFirstColumn="0" w:lastRowLastColumn="0"/>
            <w:tcW w:w="2813" w:type="pct"/>
          </w:tcPr>
          <w:p w14:paraId="11EC3EA5" w14:textId="087499D0" w:rsidR="005C1BB4" w:rsidRPr="00030E6F" w:rsidRDefault="005C1BB4" w:rsidP="008570A1">
            <w:pPr>
              <w:pStyle w:val="ListBullet"/>
              <w:numPr>
                <w:ilvl w:val="0"/>
                <w:numId w:val="0"/>
              </w:numPr>
              <w:ind w:left="28" w:hanging="28"/>
            </w:pPr>
            <w:r w:rsidRPr="00030E6F">
              <w:rPr>
                <w:lang w:eastAsia="en-AU"/>
              </w:rPr>
              <w:t>Attendance of more than 20 minutes but not more than 40 minutes</w:t>
            </w:r>
          </w:p>
        </w:tc>
        <w:tc>
          <w:tcPr>
            <w:tcW w:w="1018" w:type="pct"/>
          </w:tcPr>
          <w:p w14:paraId="2F2BF451" w14:textId="5C146C33" w:rsidR="005C1BB4" w:rsidRPr="009F30D6" w:rsidRDefault="005C1BB4" w:rsidP="008570A1">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t>82252</w:t>
            </w:r>
          </w:p>
        </w:tc>
        <w:tc>
          <w:tcPr>
            <w:tcW w:w="0" w:type="pct"/>
          </w:tcPr>
          <w:p w14:paraId="44489FFE" w14:textId="770ACD34" w:rsidR="005C1BB4" w:rsidRPr="009F30D6" w:rsidRDefault="005C1BB4" w:rsidP="008570A1">
            <w:pPr>
              <w:cnfStyle w:val="000000000000" w:firstRow="0" w:lastRow="0" w:firstColumn="0" w:lastColumn="0" w:oddVBand="0" w:evenVBand="0" w:oddHBand="0" w:evenHBand="0" w:firstRowFirstColumn="0" w:firstRowLastColumn="0" w:lastRowFirstColumn="0" w:lastRowLastColumn="0"/>
              <w:rPr>
                <w:b/>
                <w:bCs/>
              </w:rPr>
            </w:pPr>
            <w:r>
              <w:t>82253</w:t>
            </w:r>
          </w:p>
        </w:tc>
      </w:tr>
      <w:tr w:rsidR="00030E6F" w:rsidRPr="009F30D6" w14:paraId="48A8DECC" w14:textId="77777777" w:rsidTr="00283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3" w:type="pct"/>
          </w:tcPr>
          <w:p w14:paraId="4C902E7B" w14:textId="575E60C7" w:rsidR="005C1BB4" w:rsidRPr="002839E9" w:rsidRDefault="005C1BB4" w:rsidP="008570A1">
            <w:pPr>
              <w:pStyle w:val="ListBullet"/>
              <w:numPr>
                <w:ilvl w:val="0"/>
                <w:numId w:val="0"/>
              </w:numPr>
              <w:ind w:left="28" w:hanging="28"/>
            </w:pPr>
            <w:r w:rsidRPr="00030E6F">
              <w:rPr>
                <w:lang w:eastAsia="en-AU"/>
              </w:rPr>
              <w:t>Attendance of more than 40 minutes but not more than 60 minutes</w:t>
            </w:r>
          </w:p>
        </w:tc>
        <w:tc>
          <w:tcPr>
            <w:tcW w:w="1018" w:type="pct"/>
          </w:tcPr>
          <w:p w14:paraId="7C74BF8B" w14:textId="69793324" w:rsidR="005C1BB4" w:rsidRPr="008570A1" w:rsidRDefault="00D04138" w:rsidP="002839E9">
            <w:pPr>
              <w:cnfStyle w:val="000000100000" w:firstRow="0" w:lastRow="0" w:firstColumn="0" w:lastColumn="0" w:oddVBand="0" w:evenVBand="0" w:oddHBand="1" w:evenHBand="0" w:firstRowFirstColumn="0" w:firstRowLastColumn="0" w:lastRowFirstColumn="0" w:lastRowLastColumn="0"/>
            </w:pPr>
            <w:r>
              <w:t>82254</w:t>
            </w:r>
          </w:p>
        </w:tc>
        <w:tc>
          <w:tcPr>
            <w:tcW w:w="0" w:type="pct"/>
          </w:tcPr>
          <w:p w14:paraId="679EE84A" w14:textId="31184EEE" w:rsidR="005C1BB4" w:rsidRPr="008570A1" w:rsidRDefault="00D04138" w:rsidP="002839E9">
            <w:pPr>
              <w:cnfStyle w:val="000000100000" w:firstRow="0" w:lastRow="0" w:firstColumn="0" w:lastColumn="0" w:oddVBand="0" w:evenVBand="0" w:oddHBand="1" w:evenHBand="0" w:firstRowFirstColumn="0" w:firstRowLastColumn="0" w:lastRowFirstColumn="0" w:lastRowLastColumn="0"/>
            </w:pPr>
            <w:r>
              <w:t>82255</w:t>
            </w:r>
          </w:p>
        </w:tc>
      </w:tr>
      <w:tr w:rsidR="00030E6F" w:rsidRPr="009F30D6" w14:paraId="6E1B4D67" w14:textId="77777777" w:rsidTr="002839E9">
        <w:tc>
          <w:tcPr>
            <w:cnfStyle w:val="001000000000" w:firstRow="0" w:lastRow="0" w:firstColumn="1" w:lastColumn="0" w:oddVBand="0" w:evenVBand="0" w:oddHBand="0" w:evenHBand="0" w:firstRowFirstColumn="0" w:firstRowLastColumn="0" w:lastRowFirstColumn="0" w:lastRowLastColumn="0"/>
            <w:tcW w:w="2813" w:type="pct"/>
          </w:tcPr>
          <w:p w14:paraId="117812A0" w14:textId="1563C60F" w:rsidR="005C1BB4" w:rsidRPr="002839E9" w:rsidRDefault="00D04138" w:rsidP="008570A1">
            <w:pPr>
              <w:pStyle w:val="ListBullet"/>
              <w:numPr>
                <w:ilvl w:val="0"/>
                <w:numId w:val="0"/>
              </w:numPr>
              <w:ind w:left="28" w:hanging="28"/>
            </w:pPr>
            <w:r w:rsidRPr="00030E6F">
              <w:rPr>
                <w:lang w:eastAsia="en-AU"/>
              </w:rPr>
              <w:t>Attendance of more than 60 minutes</w:t>
            </w:r>
          </w:p>
        </w:tc>
        <w:tc>
          <w:tcPr>
            <w:tcW w:w="1018" w:type="pct"/>
          </w:tcPr>
          <w:p w14:paraId="466F47C9" w14:textId="2FD21C40" w:rsidR="005C1BB4" w:rsidRPr="009F30D6" w:rsidRDefault="00D04138" w:rsidP="008570A1">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t>82256</w:t>
            </w:r>
          </w:p>
        </w:tc>
        <w:tc>
          <w:tcPr>
            <w:tcW w:w="0" w:type="pct"/>
          </w:tcPr>
          <w:p w14:paraId="3621C4AF" w14:textId="4D9545FD" w:rsidR="005C1BB4" w:rsidRPr="009F30D6" w:rsidRDefault="00D04138" w:rsidP="008570A1">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t>82257</w:t>
            </w:r>
          </w:p>
        </w:tc>
      </w:tr>
    </w:tbl>
    <w:p w14:paraId="101B4F34" w14:textId="77777777" w:rsidR="005C1BB4" w:rsidRDefault="005C1BB4">
      <w:pPr>
        <w:spacing w:before="0" w:after="0" w:line="240" w:lineRule="auto"/>
      </w:pPr>
    </w:p>
    <w:p w14:paraId="7CDA36D8" w14:textId="77777777" w:rsidR="00EE78E2" w:rsidRDefault="00EE78E2">
      <w:pPr>
        <w:spacing w:before="0" w:after="0" w:line="240" w:lineRule="auto"/>
      </w:pPr>
    </w:p>
    <w:p w14:paraId="2DAFB829" w14:textId="77777777" w:rsidR="00EE78E2" w:rsidRDefault="00EE78E2">
      <w:pPr>
        <w:spacing w:before="0" w:after="0" w:line="240" w:lineRule="auto"/>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3301" w14:textId="77777777" w:rsidR="00431CD8" w:rsidRDefault="00431CD8" w:rsidP="006B56BB">
      <w:r>
        <w:separator/>
      </w:r>
    </w:p>
    <w:p w14:paraId="3A24876E" w14:textId="77777777" w:rsidR="00431CD8" w:rsidRDefault="00431CD8"/>
  </w:endnote>
  <w:endnote w:type="continuationSeparator" w:id="0">
    <w:p w14:paraId="22F35660" w14:textId="77777777" w:rsidR="00431CD8" w:rsidRDefault="00431CD8" w:rsidP="006B56BB">
      <w:r>
        <w:continuationSeparator/>
      </w:r>
    </w:p>
    <w:p w14:paraId="6C457039" w14:textId="77777777" w:rsidR="00431CD8" w:rsidRDefault="00431CD8"/>
  </w:endnote>
  <w:endnote w:type="continuationNotice" w:id="1">
    <w:p w14:paraId="77021903" w14:textId="77777777" w:rsidR="00431CD8" w:rsidRDefault="00431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D04C" w14:textId="369A9B1D" w:rsidR="00244697" w:rsidRDefault="00144F44">
    <w:pPr>
      <w:pStyle w:val="Footer"/>
    </w:pPr>
    <w:r>
      <w:rPr>
        <w:noProof/>
      </w:rPr>
      <mc:AlternateContent>
        <mc:Choice Requires="wps">
          <w:drawing>
            <wp:anchor distT="0" distB="0" distL="0" distR="0" simplePos="0" relativeHeight="251663872" behindDoc="0" locked="0" layoutInCell="1" allowOverlap="1" wp14:anchorId="643D7DC7" wp14:editId="62E129BB">
              <wp:simplePos x="635" y="635"/>
              <wp:positionH relativeFrom="page">
                <wp:align>center</wp:align>
              </wp:positionH>
              <wp:positionV relativeFrom="page">
                <wp:align>bottom</wp:align>
              </wp:positionV>
              <wp:extent cx="622300" cy="480695"/>
              <wp:effectExtent l="0" t="0" r="6350" b="0"/>
              <wp:wrapNone/>
              <wp:docPr id="15217690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C0F2680" w14:textId="5C44B8BE" w:rsidR="00144F44" w:rsidRPr="00144F44" w:rsidRDefault="00144F44" w:rsidP="00144F44">
                          <w:pPr>
                            <w:spacing w:after="0"/>
                            <w:rPr>
                              <w:rFonts w:ascii="Aptos" w:eastAsia="Aptos" w:hAnsi="Aptos" w:cs="Aptos"/>
                              <w:noProof/>
                              <w:color w:val="FF0000"/>
                              <w:sz w:val="24"/>
                            </w:rPr>
                          </w:pPr>
                          <w:r w:rsidRPr="00144F4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3D7DC7"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2C0F2680" w14:textId="5C44B8BE" w:rsidR="00144F44" w:rsidRPr="00144F44" w:rsidRDefault="00144F44" w:rsidP="00144F44">
                    <w:pPr>
                      <w:spacing w:after="0"/>
                      <w:rPr>
                        <w:rFonts w:ascii="Aptos" w:eastAsia="Aptos" w:hAnsi="Aptos" w:cs="Aptos"/>
                        <w:noProof/>
                        <w:color w:val="FF0000"/>
                        <w:sz w:val="24"/>
                      </w:rPr>
                    </w:pPr>
                    <w:r w:rsidRPr="00144F44">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00176700" w:rsidR="00F51321" w:rsidRPr="00BD1D77" w:rsidRDefault="00144F44"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4896" behindDoc="0" locked="0" layoutInCell="1" allowOverlap="1" wp14:anchorId="1CD7255F" wp14:editId="1C0E3990">
              <wp:simplePos x="635" y="635"/>
              <wp:positionH relativeFrom="page">
                <wp:align>center</wp:align>
              </wp:positionH>
              <wp:positionV relativeFrom="page">
                <wp:align>bottom</wp:align>
              </wp:positionV>
              <wp:extent cx="622300" cy="480695"/>
              <wp:effectExtent l="0" t="0" r="6350" b="0"/>
              <wp:wrapNone/>
              <wp:docPr id="21011908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C8FA83F" w14:textId="6BB9F503" w:rsidR="00144F44" w:rsidRPr="00144F44" w:rsidRDefault="00144F44" w:rsidP="00144F44">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D7255F" id="_x0000_t202" coordsize="21600,21600" o:spt="202" path="m,l,21600r21600,l21600,xe">
              <v:stroke joinstyle="miter"/>
              <v:path gradientshapeok="t" o:connecttype="rect"/>
            </v:shapetype>
            <v:shape id="Text Box 6" o:spid="_x0000_s1029" type="#_x0000_t202" alt="OFFICIAL" style="position:absolute;margin-left:0;margin-top:0;width:49pt;height:37.8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0C8FA83F" w14:textId="6BB9F503" w:rsidR="00144F44" w:rsidRPr="00144F44" w:rsidRDefault="00144F44" w:rsidP="00144F44">
                    <w:pPr>
                      <w:spacing w:after="0"/>
                      <w:rPr>
                        <w:rFonts w:ascii="Aptos" w:eastAsia="Aptos" w:hAnsi="Aptos" w:cs="Aptos"/>
                        <w:noProof/>
                        <w:color w:val="FF0000"/>
                        <w:sz w:val="24"/>
                      </w:rPr>
                    </w:pPr>
                  </w:p>
                </w:txbxContent>
              </v:textbox>
              <w10:wrap anchorx="page" anchory="page"/>
            </v:shape>
          </w:pict>
        </mc:Fallback>
      </mc:AlternateContent>
    </w:r>
    <w:r w:rsidR="009B0854">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45D454B4" w:rsidR="00F51321" w:rsidRPr="00BD1D77" w:rsidRDefault="00D04138" w:rsidP="00F51321">
    <w:pPr>
      <w:pStyle w:val="Footer"/>
      <w:tabs>
        <w:tab w:val="clear" w:pos="9026"/>
        <w:tab w:val="right" w:pos="10466"/>
      </w:tabs>
      <w:rPr>
        <w:szCs w:val="20"/>
      </w:rPr>
    </w:pPr>
    <w:r w:rsidRPr="00D04138">
      <w:rPr>
        <w:b/>
        <w:szCs w:val="20"/>
      </w:rPr>
      <w:t xml:space="preserve">Patient </w:t>
    </w:r>
    <w:r w:rsidR="00B72C79">
      <w:rPr>
        <w:b/>
        <w:szCs w:val="20"/>
      </w:rPr>
      <w:t>e</w:t>
    </w:r>
    <w:r w:rsidRPr="00D04138">
      <w:rPr>
        <w:b/>
        <w:szCs w:val="20"/>
      </w:rPr>
      <w:t xml:space="preserve">nd </w:t>
    </w:r>
    <w:r w:rsidR="00B72C79">
      <w:rPr>
        <w:b/>
        <w:szCs w:val="20"/>
      </w:rPr>
      <w:t>s</w:t>
    </w:r>
    <w:r w:rsidRPr="00D04138">
      <w:rPr>
        <w:b/>
        <w:szCs w:val="20"/>
      </w:rPr>
      <w:t xml:space="preserve">upport </w:t>
    </w:r>
    <w:r w:rsidR="002B3BFD">
      <w:rPr>
        <w:b/>
        <w:szCs w:val="20"/>
      </w:rPr>
      <w:t>services</w:t>
    </w:r>
    <w:r w:rsidRPr="00D04138">
      <w:rPr>
        <w:b/>
        <w:szCs w:val="20"/>
      </w:rPr>
      <w:t xml:space="preserve"> </w:t>
    </w:r>
    <w:r w:rsidRPr="00BD1D77">
      <w:rPr>
        <w:b/>
        <w:szCs w:val="20"/>
      </w:rPr>
      <w:t>–</w:t>
    </w:r>
    <w:r w:rsidR="00F51321" w:rsidRPr="00BD1D77">
      <w:rPr>
        <w:b/>
        <w:szCs w:val="20"/>
      </w:rPr>
      <w:t xml:space="preserve">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5F0A2E" w:rsidRPr="00292535">
                  <w:rPr>
                    <w:bCs/>
                    <w:szCs w:val="20"/>
                  </w:rPr>
                  <w:t>one</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7415C039" w:rsidR="00CB03B8" w:rsidRPr="00F51321" w:rsidRDefault="00F51321" w:rsidP="00292535">
    <w:pPr>
      <w:pStyle w:val="Footer"/>
      <w:jc w:val="left"/>
    </w:pPr>
    <w:r w:rsidRPr="00BD1D77">
      <w:rPr>
        <w:szCs w:val="20"/>
      </w:rPr>
      <w:t xml:space="preserve">Last updated – </w:t>
    </w:r>
    <w:r w:rsidR="00D0710D">
      <w:rPr>
        <w:szCs w:val="20"/>
      </w:rPr>
      <w:t>12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62D888AF" w:rsidR="00064168" w:rsidRPr="00BD1D77" w:rsidRDefault="00144F44"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2848" behindDoc="0" locked="0" layoutInCell="1" allowOverlap="1" wp14:anchorId="28008994" wp14:editId="618B1740">
              <wp:simplePos x="635" y="635"/>
              <wp:positionH relativeFrom="page">
                <wp:align>center</wp:align>
              </wp:positionH>
              <wp:positionV relativeFrom="page">
                <wp:align>bottom</wp:align>
              </wp:positionV>
              <wp:extent cx="622300" cy="480695"/>
              <wp:effectExtent l="0" t="0" r="6350" b="0"/>
              <wp:wrapNone/>
              <wp:docPr id="1829453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964E270" w14:textId="735EFDCC" w:rsidR="00144F44" w:rsidRPr="00144F44" w:rsidRDefault="00144F44" w:rsidP="00144F44">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008994" id="_x0000_t202" coordsize="21600,21600" o:spt="202" path="m,l,21600r21600,l21600,xe">
              <v:stroke joinstyle="miter"/>
              <v:path gradientshapeok="t" o:connecttype="rect"/>
            </v:shapetype>
            <v:shape id="Text Box 4" o:spid="_x0000_s1031" type="#_x0000_t202" alt="OFFICIAL" style="position:absolute;margin-left:0;margin-top:0;width:49pt;height:37.8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2964E270" w14:textId="735EFDCC" w:rsidR="00144F44" w:rsidRPr="00144F44" w:rsidRDefault="00144F44" w:rsidP="00144F44">
                    <w:pPr>
                      <w:spacing w:after="0"/>
                      <w:rPr>
                        <w:rFonts w:ascii="Aptos" w:eastAsia="Aptos" w:hAnsi="Aptos" w:cs="Aptos"/>
                        <w:noProof/>
                        <w:color w:val="FF0000"/>
                        <w:sz w:val="24"/>
                      </w:rPr>
                    </w:pPr>
                  </w:p>
                </w:txbxContent>
              </v:textbox>
              <w10:wrap anchorx="page" anchory="page"/>
            </v:shape>
          </w:pict>
        </mc:Fallback>
      </mc:AlternateContent>
    </w:r>
    <w:r w:rsidR="009B0854">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0DBD7BAA" w:rsidR="00064168" w:rsidRPr="00BD1D77" w:rsidRDefault="00D04138" w:rsidP="00064168">
    <w:pPr>
      <w:pStyle w:val="Footer"/>
      <w:tabs>
        <w:tab w:val="clear" w:pos="9026"/>
        <w:tab w:val="right" w:pos="10466"/>
      </w:tabs>
      <w:rPr>
        <w:szCs w:val="20"/>
      </w:rPr>
    </w:pPr>
    <w:r w:rsidRPr="00D04138">
      <w:rPr>
        <w:b/>
        <w:szCs w:val="20"/>
      </w:rPr>
      <w:t xml:space="preserve">Patient </w:t>
    </w:r>
    <w:r w:rsidR="00B72C79">
      <w:rPr>
        <w:b/>
        <w:szCs w:val="20"/>
      </w:rPr>
      <w:t>e</w:t>
    </w:r>
    <w:r w:rsidRPr="00D04138">
      <w:rPr>
        <w:b/>
        <w:szCs w:val="20"/>
      </w:rPr>
      <w:t xml:space="preserve">nd </w:t>
    </w:r>
    <w:r w:rsidR="00B72C79">
      <w:rPr>
        <w:b/>
        <w:szCs w:val="20"/>
      </w:rPr>
      <w:t>s</w:t>
    </w:r>
    <w:r w:rsidRPr="00D04138">
      <w:rPr>
        <w:b/>
        <w:szCs w:val="20"/>
      </w:rPr>
      <w:t xml:space="preserve">upport </w:t>
    </w:r>
    <w:r w:rsidR="002B3BFD">
      <w:rPr>
        <w:b/>
        <w:szCs w:val="20"/>
      </w:rPr>
      <w:t>services</w:t>
    </w:r>
    <w:r w:rsidRPr="00D04138">
      <w:rPr>
        <w:b/>
        <w:szCs w:val="20"/>
      </w:rPr>
      <w:t xml:space="preserve">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1A872256" w:rsidR="00064168" w:rsidRPr="00BD1D77" w:rsidRDefault="00064168" w:rsidP="00064168">
    <w:pPr>
      <w:pStyle w:val="Footer"/>
      <w:jc w:val="left"/>
      <w:rPr>
        <w:szCs w:val="20"/>
      </w:rPr>
    </w:pPr>
    <w:r w:rsidRPr="00BD1D77">
      <w:rPr>
        <w:szCs w:val="20"/>
      </w:rPr>
      <w:t xml:space="preserve">Last updated – </w:t>
    </w:r>
    <w:r w:rsidR="00D0710D">
      <w:rPr>
        <w:szCs w:val="20"/>
      </w:rPr>
      <w:t>12 February 2026</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6255" w14:textId="77777777" w:rsidR="00431CD8" w:rsidRDefault="00431CD8" w:rsidP="006B56BB">
      <w:r>
        <w:separator/>
      </w:r>
    </w:p>
    <w:p w14:paraId="7A443403" w14:textId="77777777" w:rsidR="00431CD8" w:rsidRDefault="00431CD8"/>
  </w:footnote>
  <w:footnote w:type="continuationSeparator" w:id="0">
    <w:p w14:paraId="12B8D8AF" w14:textId="77777777" w:rsidR="00431CD8" w:rsidRDefault="00431CD8" w:rsidP="006B56BB">
      <w:r>
        <w:continuationSeparator/>
      </w:r>
    </w:p>
    <w:p w14:paraId="585D77DB" w14:textId="77777777" w:rsidR="00431CD8" w:rsidRDefault="00431CD8"/>
  </w:footnote>
  <w:footnote w:type="continuationNotice" w:id="1">
    <w:p w14:paraId="6F804FA2" w14:textId="77777777" w:rsidR="00431CD8" w:rsidRDefault="00431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D9A7" w14:textId="20C99C46" w:rsidR="00244697" w:rsidRDefault="00144F44">
    <w:pPr>
      <w:pStyle w:val="Header"/>
    </w:pPr>
    <w:r>
      <w:rPr>
        <w:noProof/>
      </w:rPr>
      <mc:AlternateContent>
        <mc:Choice Requires="wps">
          <w:drawing>
            <wp:anchor distT="0" distB="0" distL="0" distR="0" simplePos="0" relativeHeight="251660800" behindDoc="0" locked="0" layoutInCell="1" allowOverlap="1" wp14:anchorId="717CFB19" wp14:editId="4D4A8278">
              <wp:simplePos x="635" y="635"/>
              <wp:positionH relativeFrom="page">
                <wp:align>center</wp:align>
              </wp:positionH>
              <wp:positionV relativeFrom="page">
                <wp:align>top</wp:align>
              </wp:positionV>
              <wp:extent cx="622300" cy="480695"/>
              <wp:effectExtent l="0" t="0" r="6350" b="14605"/>
              <wp:wrapNone/>
              <wp:docPr id="13776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1E5F90C" w14:textId="3E8FEDB8" w:rsidR="00144F44" w:rsidRPr="00144F44" w:rsidRDefault="00144F44" w:rsidP="00144F44">
                          <w:pPr>
                            <w:spacing w:after="0"/>
                            <w:rPr>
                              <w:rFonts w:ascii="Aptos" w:eastAsia="Aptos" w:hAnsi="Aptos" w:cs="Aptos"/>
                              <w:noProof/>
                              <w:color w:val="FF0000"/>
                              <w:sz w:val="24"/>
                            </w:rPr>
                          </w:pPr>
                          <w:r w:rsidRPr="00144F4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7CFB19"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HQYSc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11E5F90C" w14:textId="3E8FEDB8" w:rsidR="00144F44" w:rsidRPr="00144F44" w:rsidRDefault="00144F44" w:rsidP="00144F44">
                    <w:pPr>
                      <w:spacing w:after="0"/>
                      <w:rPr>
                        <w:rFonts w:ascii="Aptos" w:eastAsia="Aptos" w:hAnsi="Aptos" w:cs="Aptos"/>
                        <w:noProof/>
                        <w:color w:val="FF0000"/>
                        <w:sz w:val="24"/>
                      </w:rPr>
                    </w:pPr>
                    <w:r w:rsidRPr="00144F44">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F521" w14:textId="3B150838" w:rsidR="00144F44" w:rsidRDefault="00144F44">
    <w:pPr>
      <w:pStyle w:val="Header"/>
    </w:pPr>
    <w:r>
      <w:rPr>
        <w:noProof/>
      </w:rPr>
      <mc:AlternateContent>
        <mc:Choice Requires="wps">
          <w:drawing>
            <wp:anchor distT="0" distB="0" distL="0" distR="0" simplePos="0" relativeHeight="251661824" behindDoc="0" locked="0" layoutInCell="1" allowOverlap="1" wp14:anchorId="30E91001" wp14:editId="3369EF27">
              <wp:simplePos x="635" y="635"/>
              <wp:positionH relativeFrom="page">
                <wp:align>center</wp:align>
              </wp:positionH>
              <wp:positionV relativeFrom="page">
                <wp:align>top</wp:align>
              </wp:positionV>
              <wp:extent cx="622300" cy="480695"/>
              <wp:effectExtent l="0" t="0" r="6350" b="14605"/>
              <wp:wrapNone/>
              <wp:docPr id="18095790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4BACB24" w14:textId="1E3B8069" w:rsidR="00144F44" w:rsidRPr="00144F44" w:rsidRDefault="00144F44" w:rsidP="00144F44">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91001"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44BACB24" w14:textId="1E3B8069" w:rsidR="00144F44" w:rsidRPr="00144F44" w:rsidRDefault="00144F44" w:rsidP="00144F44">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1FB14A06" w:rsidR="00B53987" w:rsidRDefault="00144F44">
    <w:pPr>
      <w:pStyle w:val="Header"/>
    </w:pPr>
    <w:r>
      <w:rPr>
        <w:noProof/>
        <w:lang w:eastAsia="en-AU"/>
      </w:rPr>
      <mc:AlternateContent>
        <mc:Choice Requires="wps">
          <w:drawing>
            <wp:anchor distT="0" distB="0" distL="0" distR="0" simplePos="0" relativeHeight="251659776" behindDoc="0" locked="0" layoutInCell="1" allowOverlap="1" wp14:anchorId="6F719A00" wp14:editId="00C62ECC">
              <wp:simplePos x="635" y="635"/>
              <wp:positionH relativeFrom="page">
                <wp:align>center</wp:align>
              </wp:positionH>
              <wp:positionV relativeFrom="page">
                <wp:align>top</wp:align>
              </wp:positionV>
              <wp:extent cx="622300" cy="480695"/>
              <wp:effectExtent l="0" t="0" r="6350" b="14605"/>
              <wp:wrapNone/>
              <wp:docPr id="20573210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169A9F3" w14:textId="1CDD5DAA" w:rsidR="00144F44" w:rsidRPr="00144F44" w:rsidRDefault="00144F44" w:rsidP="00144F44">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19A00"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2169A9F3" w14:textId="1CDD5DAA" w:rsidR="00144F44" w:rsidRPr="00144F44" w:rsidRDefault="00144F44" w:rsidP="00144F44">
                    <w:pPr>
                      <w:spacing w:after="0"/>
                      <w:rPr>
                        <w:rFonts w:ascii="Aptos" w:eastAsia="Aptos" w:hAnsi="Aptos" w:cs="Aptos"/>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31CAA772">
          <wp:extent cx="3343275" cy="533400"/>
          <wp:effectExtent l="0" t="0" r="9525" b="0"/>
          <wp:docPr id="120791414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1"/>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371C"/>
    <w:rsid w:val="0001460F"/>
    <w:rsid w:val="00022629"/>
    <w:rsid w:val="000244BC"/>
    <w:rsid w:val="00024DFE"/>
    <w:rsid w:val="00026139"/>
    <w:rsid w:val="00027601"/>
    <w:rsid w:val="00030E6F"/>
    <w:rsid w:val="00033321"/>
    <w:rsid w:val="000338E5"/>
    <w:rsid w:val="00033ECC"/>
    <w:rsid w:val="0003422F"/>
    <w:rsid w:val="000402FC"/>
    <w:rsid w:val="00046FF0"/>
    <w:rsid w:val="00050176"/>
    <w:rsid w:val="00050342"/>
    <w:rsid w:val="00056A81"/>
    <w:rsid w:val="00063D7C"/>
    <w:rsid w:val="00064168"/>
    <w:rsid w:val="00067456"/>
    <w:rsid w:val="00070291"/>
    <w:rsid w:val="0007089A"/>
    <w:rsid w:val="00071506"/>
    <w:rsid w:val="0007154F"/>
    <w:rsid w:val="000773F5"/>
    <w:rsid w:val="00080BAC"/>
    <w:rsid w:val="00081AB1"/>
    <w:rsid w:val="00081E8D"/>
    <w:rsid w:val="00083707"/>
    <w:rsid w:val="00090316"/>
    <w:rsid w:val="00090EE5"/>
    <w:rsid w:val="00093981"/>
    <w:rsid w:val="000B067A"/>
    <w:rsid w:val="000B1540"/>
    <w:rsid w:val="000B1E53"/>
    <w:rsid w:val="000B2849"/>
    <w:rsid w:val="000B33FD"/>
    <w:rsid w:val="000B4ABA"/>
    <w:rsid w:val="000B7029"/>
    <w:rsid w:val="000C0475"/>
    <w:rsid w:val="000C1FD2"/>
    <w:rsid w:val="000C26E6"/>
    <w:rsid w:val="000C3086"/>
    <w:rsid w:val="000C4B16"/>
    <w:rsid w:val="000C50C3"/>
    <w:rsid w:val="000C5732"/>
    <w:rsid w:val="000C5E14"/>
    <w:rsid w:val="000D21F6"/>
    <w:rsid w:val="000D3EEC"/>
    <w:rsid w:val="000D4500"/>
    <w:rsid w:val="000D4B58"/>
    <w:rsid w:val="000D7999"/>
    <w:rsid w:val="000D7AEA"/>
    <w:rsid w:val="000E2160"/>
    <w:rsid w:val="000E2C66"/>
    <w:rsid w:val="000E3887"/>
    <w:rsid w:val="000F0CA1"/>
    <w:rsid w:val="000F123C"/>
    <w:rsid w:val="000F2FED"/>
    <w:rsid w:val="00101F0F"/>
    <w:rsid w:val="0010616D"/>
    <w:rsid w:val="00110478"/>
    <w:rsid w:val="00111901"/>
    <w:rsid w:val="0011334E"/>
    <w:rsid w:val="00115393"/>
    <w:rsid w:val="0011711B"/>
    <w:rsid w:val="00117A43"/>
    <w:rsid w:val="00117F8A"/>
    <w:rsid w:val="001210F8"/>
    <w:rsid w:val="00121B9B"/>
    <w:rsid w:val="00122ADC"/>
    <w:rsid w:val="001235C5"/>
    <w:rsid w:val="001245EF"/>
    <w:rsid w:val="00130629"/>
    <w:rsid w:val="00130F59"/>
    <w:rsid w:val="00133EC0"/>
    <w:rsid w:val="00135BDE"/>
    <w:rsid w:val="00137470"/>
    <w:rsid w:val="00141CE5"/>
    <w:rsid w:val="001427CD"/>
    <w:rsid w:val="00144908"/>
    <w:rsid w:val="00144F44"/>
    <w:rsid w:val="00153893"/>
    <w:rsid w:val="00156D96"/>
    <w:rsid w:val="00156FC9"/>
    <w:rsid w:val="001571C7"/>
    <w:rsid w:val="00161094"/>
    <w:rsid w:val="00163291"/>
    <w:rsid w:val="0017665C"/>
    <w:rsid w:val="0017709E"/>
    <w:rsid w:val="00177AD2"/>
    <w:rsid w:val="001815A8"/>
    <w:rsid w:val="001840FA"/>
    <w:rsid w:val="0018464B"/>
    <w:rsid w:val="001873B1"/>
    <w:rsid w:val="00190079"/>
    <w:rsid w:val="0019622E"/>
    <w:rsid w:val="001966A7"/>
    <w:rsid w:val="0019761F"/>
    <w:rsid w:val="001A2646"/>
    <w:rsid w:val="001A4627"/>
    <w:rsid w:val="001A4979"/>
    <w:rsid w:val="001A7CED"/>
    <w:rsid w:val="001B0791"/>
    <w:rsid w:val="001B15D3"/>
    <w:rsid w:val="001B3443"/>
    <w:rsid w:val="001C0326"/>
    <w:rsid w:val="001C10DA"/>
    <w:rsid w:val="001C192F"/>
    <w:rsid w:val="001C3276"/>
    <w:rsid w:val="001C3C42"/>
    <w:rsid w:val="001D69FF"/>
    <w:rsid w:val="001D7869"/>
    <w:rsid w:val="001E5794"/>
    <w:rsid w:val="001F38B4"/>
    <w:rsid w:val="001F3920"/>
    <w:rsid w:val="001F6204"/>
    <w:rsid w:val="001F76C6"/>
    <w:rsid w:val="002026CD"/>
    <w:rsid w:val="002033FC"/>
    <w:rsid w:val="002044BB"/>
    <w:rsid w:val="00207314"/>
    <w:rsid w:val="00207DC8"/>
    <w:rsid w:val="00210B09"/>
    <w:rsid w:val="00210C9E"/>
    <w:rsid w:val="00211840"/>
    <w:rsid w:val="00220E5F"/>
    <w:rsid w:val="002212B5"/>
    <w:rsid w:val="002262AD"/>
    <w:rsid w:val="00226668"/>
    <w:rsid w:val="00231903"/>
    <w:rsid w:val="00233809"/>
    <w:rsid w:val="00233BAA"/>
    <w:rsid w:val="00237A42"/>
    <w:rsid w:val="00240046"/>
    <w:rsid w:val="00240DB5"/>
    <w:rsid w:val="00242D68"/>
    <w:rsid w:val="00244697"/>
    <w:rsid w:val="0024650C"/>
    <w:rsid w:val="0024797F"/>
    <w:rsid w:val="0025119E"/>
    <w:rsid w:val="00251269"/>
    <w:rsid w:val="002535C0"/>
    <w:rsid w:val="002550F4"/>
    <w:rsid w:val="002579FE"/>
    <w:rsid w:val="00260552"/>
    <w:rsid w:val="0026311C"/>
    <w:rsid w:val="0026668C"/>
    <w:rsid w:val="00266AC1"/>
    <w:rsid w:val="0027178C"/>
    <w:rsid w:val="002718D2"/>
    <w:rsid w:val="00271954"/>
    <w:rsid w:val="002719FA"/>
    <w:rsid w:val="00272668"/>
    <w:rsid w:val="0027330B"/>
    <w:rsid w:val="00273C33"/>
    <w:rsid w:val="002753FD"/>
    <w:rsid w:val="00276CB4"/>
    <w:rsid w:val="00276E6F"/>
    <w:rsid w:val="002803AD"/>
    <w:rsid w:val="0028079E"/>
    <w:rsid w:val="00282052"/>
    <w:rsid w:val="00282645"/>
    <w:rsid w:val="00282EAC"/>
    <w:rsid w:val="002831A3"/>
    <w:rsid w:val="002839E9"/>
    <w:rsid w:val="0028519E"/>
    <w:rsid w:val="002856A5"/>
    <w:rsid w:val="002872ED"/>
    <w:rsid w:val="002905C2"/>
    <w:rsid w:val="00292535"/>
    <w:rsid w:val="00295AF2"/>
    <w:rsid w:val="00295C91"/>
    <w:rsid w:val="00295F10"/>
    <w:rsid w:val="00297151"/>
    <w:rsid w:val="002A11B2"/>
    <w:rsid w:val="002B0919"/>
    <w:rsid w:val="002B20E6"/>
    <w:rsid w:val="002B3BFD"/>
    <w:rsid w:val="002B42A3"/>
    <w:rsid w:val="002B74C4"/>
    <w:rsid w:val="002C0CDD"/>
    <w:rsid w:val="002C38C4"/>
    <w:rsid w:val="002C4628"/>
    <w:rsid w:val="002C46AA"/>
    <w:rsid w:val="002C4ED5"/>
    <w:rsid w:val="002C505F"/>
    <w:rsid w:val="002C66A0"/>
    <w:rsid w:val="002D65A2"/>
    <w:rsid w:val="002E0E40"/>
    <w:rsid w:val="002E1A1D"/>
    <w:rsid w:val="002E4081"/>
    <w:rsid w:val="002E5B78"/>
    <w:rsid w:val="002F08D5"/>
    <w:rsid w:val="002F3AE3"/>
    <w:rsid w:val="0030464B"/>
    <w:rsid w:val="0030786C"/>
    <w:rsid w:val="00311F60"/>
    <w:rsid w:val="00316740"/>
    <w:rsid w:val="00317B29"/>
    <w:rsid w:val="00320CFD"/>
    <w:rsid w:val="0032289C"/>
    <w:rsid w:val="003233DE"/>
    <w:rsid w:val="0032466B"/>
    <w:rsid w:val="00327B36"/>
    <w:rsid w:val="003330EB"/>
    <w:rsid w:val="00333C73"/>
    <w:rsid w:val="003415FD"/>
    <w:rsid w:val="003429F0"/>
    <w:rsid w:val="00345366"/>
    <w:rsid w:val="00345A82"/>
    <w:rsid w:val="0035097A"/>
    <w:rsid w:val="00353C8E"/>
    <w:rsid w:val="003540A4"/>
    <w:rsid w:val="00355C63"/>
    <w:rsid w:val="00357BCC"/>
    <w:rsid w:val="00360E4E"/>
    <w:rsid w:val="00365846"/>
    <w:rsid w:val="00370AAA"/>
    <w:rsid w:val="00371497"/>
    <w:rsid w:val="00374820"/>
    <w:rsid w:val="00375F77"/>
    <w:rsid w:val="00377052"/>
    <w:rsid w:val="0037790E"/>
    <w:rsid w:val="00381BBE"/>
    <w:rsid w:val="00382903"/>
    <w:rsid w:val="003832F8"/>
    <w:rsid w:val="003833C7"/>
    <w:rsid w:val="003846FF"/>
    <w:rsid w:val="003857D4"/>
    <w:rsid w:val="00385AD4"/>
    <w:rsid w:val="00385C01"/>
    <w:rsid w:val="0038676C"/>
    <w:rsid w:val="00386CE1"/>
    <w:rsid w:val="00387924"/>
    <w:rsid w:val="0039384D"/>
    <w:rsid w:val="0039489E"/>
    <w:rsid w:val="00395C23"/>
    <w:rsid w:val="003961E2"/>
    <w:rsid w:val="003A2E4F"/>
    <w:rsid w:val="003A4438"/>
    <w:rsid w:val="003A4913"/>
    <w:rsid w:val="003A5013"/>
    <w:rsid w:val="003A5078"/>
    <w:rsid w:val="003A62DD"/>
    <w:rsid w:val="003A65EA"/>
    <w:rsid w:val="003A775A"/>
    <w:rsid w:val="003B213A"/>
    <w:rsid w:val="003B2E5D"/>
    <w:rsid w:val="003B43AD"/>
    <w:rsid w:val="003B5508"/>
    <w:rsid w:val="003B6A4B"/>
    <w:rsid w:val="003C0FEC"/>
    <w:rsid w:val="003C1C1C"/>
    <w:rsid w:val="003C2AC8"/>
    <w:rsid w:val="003C75CB"/>
    <w:rsid w:val="003D033A"/>
    <w:rsid w:val="003D17F9"/>
    <w:rsid w:val="003D2D88"/>
    <w:rsid w:val="003D419D"/>
    <w:rsid w:val="003D41EA"/>
    <w:rsid w:val="003D4850"/>
    <w:rsid w:val="003D535A"/>
    <w:rsid w:val="003D5680"/>
    <w:rsid w:val="003D6EF8"/>
    <w:rsid w:val="003D77CD"/>
    <w:rsid w:val="003D7B09"/>
    <w:rsid w:val="003E5265"/>
    <w:rsid w:val="003F08F4"/>
    <w:rsid w:val="003F0955"/>
    <w:rsid w:val="003F0F91"/>
    <w:rsid w:val="003F5F4D"/>
    <w:rsid w:val="003F646F"/>
    <w:rsid w:val="00400F00"/>
    <w:rsid w:val="00404F8B"/>
    <w:rsid w:val="00405256"/>
    <w:rsid w:val="00405ADD"/>
    <w:rsid w:val="00410031"/>
    <w:rsid w:val="00414E23"/>
    <w:rsid w:val="00415C81"/>
    <w:rsid w:val="00431CD8"/>
    <w:rsid w:val="00432378"/>
    <w:rsid w:val="004329DD"/>
    <w:rsid w:val="00436472"/>
    <w:rsid w:val="00440D65"/>
    <w:rsid w:val="00442EFF"/>
    <w:rsid w:val="004435E6"/>
    <w:rsid w:val="00447E31"/>
    <w:rsid w:val="00453003"/>
    <w:rsid w:val="00453923"/>
    <w:rsid w:val="00454B9B"/>
    <w:rsid w:val="00455C79"/>
    <w:rsid w:val="00457858"/>
    <w:rsid w:val="00460B0B"/>
    <w:rsid w:val="00461023"/>
    <w:rsid w:val="0046131E"/>
    <w:rsid w:val="00462FAC"/>
    <w:rsid w:val="00463D92"/>
    <w:rsid w:val="00464631"/>
    <w:rsid w:val="00464B79"/>
    <w:rsid w:val="00465E03"/>
    <w:rsid w:val="0046644F"/>
    <w:rsid w:val="00467BBF"/>
    <w:rsid w:val="0048593C"/>
    <w:rsid w:val="004867E2"/>
    <w:rsid w:val="00490FFF"/>
    <w:rsid w:val="004929A9"/>
    <w:rsid w:val="004A0C6C"/>
    <w:rsid w:val="004A78D9"/>
    <w:rsid w:val="004B00EC"/>
    <w:rsid w:val="004B4C5F"/>
    <w:rsid w:val="004B54E5"/>
    <w:rsid w:val="004C1BCD"/>
    <w:rsid w:val="004C27FF"/>
    <w:rsid w:val="004C58E7"/>
    <w:rsid w:val="004C6BCF"/>
    <w:rsid w:val="004D061C"/>
    <w:rsid w:val="004D58BF"/>
    <w:rsid w:val="004D5E3F"/>
    <w:rsid w:val="004D648F"/>
    <w:rsid w:val="004E0215"/>
    <w:rsid w:val="004E293A"/>
    <w:rsid w:val="004E4335"/>
    <w:rsid w:val="004E5226"/>
    <w:rsid w:val="004E6FD6"/>
    <w:rsid w:val="004F13EE"/>
    <w:rsid w:val="004F2022"/>
    <w:rsid w:val="004F29F3"/>
    <w:rsid w:val="004F3FCC"/>
    <w:rsid w:val="004F4B13"/>
    <w:rsid w:val="004F7C05"/>
    <w:rsid w:val="00501C94"/>
    <w:rsid w:val="00506432"/>
    <w:rsid w:val="00506E82"/>
    <w:rsid w:val="005146C4"/>
    <w:rsid w:val="0052051D"/>
    <w:rsid w:val="00522B67"/>
    <w:rsid w:val="00525479"/>
    <w:rsid w:val="00527823"/>
    <w:rsid w:val="005412D1"/>
    <w:rsid w:val="00545EE6"/>
    <w:rsid w:val="005550E7"/>
    <w:rsid w:val="005564FB"/>
    <w:rsid w:val="0055706A"/>
    <w:rsid w:val="005572C7"/>
    <w:rsid w:val="00563C17"/>
    <w:rsid w:val="00564721"/>
    <w:rsid w:val="005650ED"/>
    <w:rsid w:val="00566B81"/>
    <w:rsid w:val="00570B43"/>
    <w:rsid w:val="005746DB"/>
    <w:rsid w:val="00575754"/>
    <w:rsid w:val="005774BB"/>
    <w:rsid w:val="00580294"/>
    <w:rsid w:val="00581FBA"/>
    <w:rsid w:val="005858A4"/>
    <w:rsid w:val="00591DC0"/>
    <w:rsid w:val="00591E20"/>
    <w:rsid w:val="005920E7"/>
    <w:rsid w:val="00593055"/>
    <w:rsid w:val="00595408"/>
    <w:rsid w:val="00595E84"/>
    <w:rsid w:val="005A0C59"/>
    <w:rsid w:val="005A12DA"/>
    <w:rsid w:val="005A48EB"/>
    <w:rsid w:val="005A6CFB"/>
    <w:rsid w:val="005B411F"/>
    <w:rsid w:val="005B4F11"/>
    <w:rsid w:val="005B72D2"/>
    <w:rsid w:val="005C1BB4"/>
    <w:rsid w:val="005C4B3E"/>
    <w:rsid w:val="005C5AEB"/>
    <w:rsid w:val="005D40DF"/>
    <w:rsid w:val="005D5F4E"/>
    <w:rsid w:val="005E0A3F"/>
    <w:rsid w:val="005E1AF9"/>
    <w:rsid w:val="005E2D76"/>
    <w:rsid w:val="005E41A7"/>
    <w:rsid w:val="005E6394"/>
    <w:rsid w:val="005E659D"/>
    <w:rsid w:val="005E6883"/>
    <w:rsid w:val="005E772F"/>
    <w:rsid w:val="005F0A2E"/>
    <w:rsid w:val="005F2873"/>
    <w:rsid w:val="005F4ECA"/>
    <w:rsid w:val="005F5C0D"/>
    <w:rsid w:val="005F7D0A"/>
    <w:rsid w:val="006041BE"/>
    <w:rsid w:val="006043C7"/>
    <w:rsid w:val="00604ADC"/>
    <w:rsid w:val="00605AFD"/>
    <w:rsid w:val="006167AE"/>
    <w:rsid w:val="006239EC"/>
    <w:rsid w:val="00624B52"/>
    <w:rsid w:val="00625439"/>
    <w:rsid w:val="00630062"/>
    <w:rsid w:val="00630794"/>
    <w:rsid w:val="006317DC"/>
    <w:rsid w:val="00631DF4"/>
    <w:rsid w:val="00634175"/>
    <w:rsid w:val="0063574E"/>
    <w:rsid w:val="006408AC"/>
    <w:rsid w:val="00642F20"/>
    <w:rsid w:val="0064321F"/>
    <w:rsid w:val="00650435"/>
    <w:rsid w:val="006511B6"/>
    <w:rsid w:val="00657FF8"/>
    <w:rsid w:val="006619D8"/>
    <w:rsid w:val="0066598A"/>
    <w:rsid w:val="006664A1"/>
    <w:rsid w:val="00670867"/>
    <w:rsid w:val="00670C28"/>
    <w:rsid w:val="00670D99"/>
    <w:rsid w:val="00670E2B"/>
    <w:rsid w:val="006734BB"/>
    <w:rsid w:val="0067697A"/>
    <w:rsid w:val="006821EB"/>
    <w:rsid w:val="00682F67"/>
    <w:rsid w:val="00685897"/>
    <w:rsid w:val="006866E0"/>
    <w:rsid w:val="00693A51"/>
    <w:rsid w:val="00696A32"/>
    <w:rsid w:val="006A6D39"/>
    <w:rsid w:val="006B0875"/>
    <w:rsid w:val="006B2286"/>
    <w:rsid w:val="006B56BB"/>
    <w:rsid w:val="006B684A"/>
    <w:rsid w:val="006C085B"/>
    <w:rsid w:val="006C0AE2"/>
    <w:rsid w:val="006C6B8C"/>
    <w:rsid w:val="006C77A8"/>
    <w:rsid w:val="006D22A7"/>
    <w:rsid w:val="006D4098"/>
    <w:rsid w:val="006D67F4"/>
    <w:rsid w:val="006D7681"/>
    <w:rsid w:val="006D7B2E"/>
    <w:rsid w:val="006E02EA"/>
    <w:rsid w:val="006E0968"/>
    <w:rsid w:val="006E2AF6"/>
    <w:rsid w:val="006F0EFA"/>
    <w:rsid w:val="006F1107"/>
    <w:rsid w:val="006F5073"/>
    <w:rsid w:val="00701275"/>
    <w:rsid w:val="00707F56"/>
    <w:rsid w:val="00710A02"/>
    <w:rsid w:val="00713558"/>
    <w:rsid w:val="00720D08"/>
    <w:rsid w:val="00721825"/>
    <w:rsid w:val="007263B9"/>
    <w:rsid w:val="007334F8"/>
    <w:rsid w:val="00733927"/>
    <w:rsid w:val="007339CD"/>
    <w:rsid w:val="007359D8"/>
    <w:rsid w:val="007362D4"/>
    <w:rsid w:val="00740EC3"/>
    <w:rsid w:val="00741AC2"/>
    <w:rsid w:val="007427FF"/>
    <w:rsid w:val="00744B30"/>
    <w:rsid w:val="00746C16"/>
    <w:rsid w:val="00754B9F"/>
    <w:rsid w:val="00756868"/>
    <w:rsid w:val="0076672A"/>
    <w:rsid w:val="00771E87"/>
    <w:rsid w:val="007743B0"/>
    <w:rsid w:val="00775E45"/>
    <w:rsid w:val="00776E74"/>
    <w:rsid w:val="00785169"/>
    <w:rsid w:val="00785BC5"/>
    <w:rsid w:val="007875B1"/>
    <w:rsid w:val="007954AB"/>
    <w:rsid w:val="00797C8E"/>
    <w:rsid w:val="007A14C5"/>
    <w:rsid w:val="007A27DA"/>
    <w:rsid w:val="007A30FF"/>
    <w:rsid w:val="007A4A10"/>
    <w:rsid w:val="007B1750"/>
    <w:rsid w:val="007B1760"/>
    <w:rsid w:val="007B5528"/>
    <w:rsid w:val="007C1FDC"/>
    <w:rsid w:val="007C31DD"/>
    <w:rsid w:val="007C32D9"/>
    <w:rsid w:val="007C343D"/>
    <w:rsid w:val="007C4421"/>
    <w:rsid w:val="007C47D2"/>
    <w:rsid w:val="007C6D9C"/>
    <w:rsid w:val="007C7DDB"/>
    <w:rsid w:val="007D1514"/>
    <w:rsid w:val="007D2CC7"/>
    <w:rsid w:val="007D4D89"/>
    <w:rsid w:val="007D673D"/>
    <w:rsid w:val="007D7091"/>
    <w:rsid w:val="007E0068"/>
    <w:rsid w:val="007E0FB8"/>
    <w:rsid w:val="007E4D09"/>
    <w:rsid w:val="007E77A8"/>
    <w:rsid w:val="007F2220"/>
    <w:rsid w:val="007F4B3E"/>
    <w:rsid w:val="008054AF"/>
    <w:rsid w:val="008127AF"/>
    <w:rsid w:val="00812B46"/>
    <w:rsid w:val="00815700"/>
    <w:rsid w:val="00816749"/>
    <w:rsid w:val="00821974"/>
    <w:rsid w:val="0082246B"/>
    <w:rsid w:val="008264EB"/>
    <w:rsid w:val="00826B8F"/>
    <w:rsid w:val="00830B61"/>
    <w:rsid w:val="00830F97"/>
    <w:rsid w:val="00831E8A"/>
    <w:rsid w:val="008356F3"/>
    <w:rsid w:val="0083595B"/>
    <w:rsid w:val="00835C76"/>
    <w:rsid w:val="008376E2"/>
    <w:rsid w:val="00843049"/>
    <w:rsid w:val="008437CA"/>
    <w:rsid w:val="00843E59"/>
    <w:rsid w:val="00844EA9"/>
    <w:rsid w:val="0085209B"/>
    <w:rsid w:val="0085239A"/>
    <w:rsid w:val="00855218"/>
    <w:rsid w:val="00856B66"/>
    <w:rsid w:val="008601AC"/>
    <w:rsid w:val="00861A5F"/>
    <w:rsid w:val="008644AD"/>
    <w:rsid w:val="00865735"/>
    <w:rsid w:val="00865DDB"/>
    <w:rsid w:val="00867538"/>
    <w:rsid w:val="00870686"/>
    <w:rsid w:val="0087356D"/>
    <w:rsid w:val="00873D90"/>
    <w:rsid w:val="00873FC8"/>
    <w:rsid w:val="00884C63"/>
    <w:rsid w:val="00885908"/>
    <w:rsid w:val="008864B7"/>
    <w:rsid w:val="00887BCE"/>
    <w:rsid w:val="0089677E"/>
    <w:rsid w:val="00897667"/>
    <w:rsid w:val="008A4D99"/>
    <w:rsid w:val="008A7438"/>
    <w:rsid w:val="008B1334"/>
    <w:rsid w:val="008B25C7"/>
    <w:rsid w:val="008C0278"/>
    <w:rsid w:val="008C24E9"/>
    <w:rsid w:val="008C3ACD"/>
    <w:rsid w:val="008D0533"/>
    <w:rsid w:val="008D30EA"/>
    <w:rsid w:val="008D42CB"/>
    <w:rsid w:val="008D48C9"/>
    <w:rsid w:val="008D49BE"/>
    <w:rsid w:val="008D6381"/>
    <w:rsid w:val="008E007D"/>
    <w:rsid w:val="008E0C77"/>
    <w:rsid w:val="008E232E"/>
    <w:rsid w:val="008E2692"/>
    <w:rsid w:val="008E3818"/>
    <w:rsid w:val="008E625F"/>
    <w:rsid w:val="008F264D"/>
    <w:rsid w:val="008F729E"/>
    <w:rsid w:val="009040E9"/>
    <w:rsid w:val="009074E1"/>
    <w:rsid w:val="009112F7"/>
    <w:rsid w:val="009122AF"/>
    <w:rsid w:val="00912D54"/>
    <w:rsid w:val="0091389F"/>
    <w:rsid w:val="009208F7"/>
    <w:rsid w:val="00920EB4"/>
    <w:rsid w:val="00921649"/>
    <w:rsid w:val="00922517"/>
    <w:rsid w:val="00922722"/>
    <w:rsid w:val="009261E6"/>
    <w:rsid w:val="009268E1"/>
    <w:rsid w:val="009271EE"/>
    <w:rsid w:val="0093226A"/>
    <w:rsid w:val="00932F75"/>
    <w:rsid w:val="009344AE"/>
    <w:rsid w:val="009344DE"/>
    <w:rsid w:val="00936300"/>
    <w:rsid w:val="00936529"/>
    <w:rsid w:val="009423FB"/>
    <w:rsid w:val="00945E7F"/>
    <w:rsid w:val="009518C7"/>
    <w:rsid w:val="00953741"/>
    <w:rsid w:val="00953F8D"/>
    <w:rsid w:val="009557C1"/>
    <w:rsid w:val="00960D6E"/>
    <w:rsid w:val="009619BD"/>
    <w:rsid w:val="009639F5"/>
    <w:rsid w:val="00971FAA"/>
    <w:rsid w:val="009725AE"/>
    <w:rsid w:val="00974B59"/>
    <w:rsid w:val="00980E2F"/>
    <w:rsid w:val="0098166B"/>
    <w:rsid w:val="0098340B"/>
    <w:rsid w:val="009850D8"/>
    <w:rsid w:val="00985DC9"/>
    <w:rsid w:val="00986830"/>
    <w:rsid w:val="009914D3"/>
    <w:rsid w:val="00992375"/>
    <w:rsid w:val="009924C3"/>
    <w:rsid w:val="00993102"/>
    <w:rsid w:val="00995C06"/>
    <w:rsid w:val="009973F7"/>
    <w:rsid w:val="009B0854"/>
    <w:rsid w:val="009B1570"/>
    <w:rsid w:val="009C2000"/>
    <w:rsid w:val="009C52C8"/>
    <w:rsid w:val="009C6F10"/>
    <w:rsid w:val="009D148F"/>
    <w:rsid w:val="009D1F74"/>
    <w:rsid w:val="009D3D70"/>
    <w:rsid w:val="009E45B0"/>
    <w:rsid w:val="009E48E2"/>
    <w:rsid w:val="009E6F7E"/>
    <w:rsid w:val="009E71B7"/>
    <w:rsid w:val="009E7A57"/>
    <w:rsid w:val="009F30D6"/>
    <w:rsid w:val="009F4803"/>
    <w:rsid w:val="009F4F6A"/>
    <w:rsid w:val="009F5046"/>
    <w:rsid w:val="009F52C3"/>
    <w:rsid w:val="00A06B9E"/>
    <w:rsid w:val="00A13EB5"/>
    <w:rsid w:val="00A141ED"/>
    <w:rsid w:val="00A1677A"/>
    <w:rsid w:val="00A16E36"/>
    <w:rsid w:val="00A23012"/>
    <w:rsid w:val="00A24961"/>
    <w:rsid w:val="00A24B10"/>
    <w:rsid w:val="00A277EF"/>
    <w:rsid w:val="00A30E9B"/>
    <w:rsid w:val="00A34BD0"/>
    <w:rsid w:val="00A364F2"/>
    <w:rsid w:val="00A37AF5"/>
    <w:rsid w:val="00A4369B"/>
    <w:rsid w:val="00A442EC"/>
    <w:rsid w:val="00A4512D"/>
    <w:rsid w:val="00A50244"/>
    <w:rsid w:val="00A50398"/>
    <w:rsid w:val="00A5422F"/>
    <w:rsid w:val="00A56E5B"/>
    <w:rsid w:val="00A60D55"/>
    <w:rsid w:val="00A6259E"/>
    <w:rsid w:val="00A627D7"/>
    <w:rsid w:val="00A656C7"/>
    <w:rsid w:val="00A705AF"/>
    <w:rsid w:val="00A719F6"/>
    <w:rsid w:val="00A72454"/>
    <w:rsid w:val="00A73AA9"/>
    <w:rsid w:val="00A75342"/>
    <w:rsid w:val="00A77696"/>
    <w:rsid w:val="00A80557"/>
    <w:rsid w:val="00A81D33"/>
    <w:rsid w:val="00A8341C"/>
    <w:rsid w:val="00A86089"/>
    <w:rsid w:val="00A8695F"/>
    <w:rsid w:val="00A930AE"/>
    <w:rsid w:val="00AA1A95"/>
    <w:rsid w:val="00AA260F"/>
    <w:rsid w:val="00AA3556"/>
    <w:rsid w:val="00AA4560"/>
    <w:rsid w:val="00AB0705"/>
    <w:rsid w:val="00AB0737"/>
    <w:rsid w:val="00AB07B2"/>
    <w:rsid w:val="00AB1EE7"/>
    <w:rsid w:val="00AB2B2E"/>
    <w:rsid w:val="00AB3FDE"/>
    <w:rsid w:val="00AB4B37"/>
    <w:rsid w:val="00AB5762"/>
    <w:rsid w:val="00AC1CBA"/>
    <w:rsid w:val="00AC2679"/>
    <w:rsid w:val="00AC4432"/>
    <w:rsid w:val="00AC4BE4"/>
    <w:rsid w:val="00AC6513"/>
    <w:rsid w:val="00AD05E6"/>
    <w:rsid w:val="00AD0D3F"/>
    <w:rsid w:val="00AD4F3C"/>
    <w:rsid w:val="00AD57BB"/>
    <w:rsid w:val="00AE1D7D"/>
    <w:rsid w:val="00AE2A8B"/>
    <w:rsid w:val="00AE2FEC"/>
    <w:rsid w:val="00AE329B"/>
    <w:rsid w:val="00AE3F64"/>
    <w:rsid w:val="00AE5EB2"/>
    <w:rsid w:val="00AF04A3"/>
    <w:rsid w:val="00AF2A34"/>
    <w:rsid w:val="00AF7386"/>
    <w:rsid w:val="00AF7934"/>
    <w:rsid w:val="00B00B81"/>
    <w:rsid w:val="00B03CAB"/>
    <w:rsid w:val="00B04580"/>
    <w:rsid w:val="00B04B09"/>
    <w:rsid w:val="00B05546"/>
    <w:rsid w:val="00B06BA4"/>
    <w:rsid w:val="00B10FC6"/>
    <w:rsid w:val="00B12324"/>
    <w:rsid w:val="00B16A51"/>
    <w:rsid w:val="00B24222"/>
    <w:rsid w:val="00B24440"/>
    <w:rsid w:val="00B27A99"/>
    <w:rsid w:val="00B32222"/>
    <w:rsid w:val="00B32567"/>
    <w:rsid w:val="00B3618D"/>
    <w:rsid w:val="00B36233"/>
    <w:rsid w:val="00B41C1F"/>
    <w:rsid w:val="00B42676"/>
    <w:rsid w:val="00B42851"/>
    <w:rsid w:val="00B42D06"/>
    <w:rsid w:val="00B45350"/>
    <w:rsid w:val="00B45AC7"/>
    <w:rsid w:val="00B51147"/>
    <w:rsid w:val="00B5372F"/>
    <w:rsid w:val="00B53987"/>
    <w:rsid w:val="00B606DD"/>
    <w:rsid w:val="00B61129"/>
    <w:rsid w:val="00B67E7F"/>
    <w:rsid w:val="00B723E2"/>
    <w:rsid w:val="00B72C79"/>
    <w:rsid w:val="00B76DB3"/>
    <w:rsid w:val="00B76F9D"/>
    <w:rsid w:val="00B839B2"/>
    <w:rsid w:val="00B86763"/>
    <w:rsid w:val="00B87269"/>
    <w:rsid w:val="00B873A0"/>
    <w:rsid w:val="00B91DCC"/>
    <w:rsid w:val="00B94252"/>
    <w:rsid w:val="00B9715A"/>
    <w:rsid w:val="00BA07CD"/>
    <w:rsid w:val="00BA14BE"/>
    <w:rsid w:val="00BA25D5"/>
    <w:rsid w:val="00BA2732"/>
    <w:rsid w:val="00BA293D"/>
    <w:rsid w:val="00BA49BC"/>
    <w:rsid w:val="00BA56B7"/>
    <w:rsid w:val="00BA5F95"/>
    <w:rsid w:val="00BA7275"/>
    <w:rsid w:val="00BA7A1E"/>
    <w:rsid w:val="00BB2F6C"/>
    <w:rsid w:val="00BB3875"/>
    <w:rsid w:val="00BB3C0E"/>
    <w:rsid w:val="00BB5860"/>
    <w:rsid w:val="00BB6AAD"/>
    <w:rsid w:val="00BC49E2"/>
    <w:rsid w:val="00BC4A19"/>
    <w:rsid w:val="00BC4E6D"/>
    <w:rsid w:val="00BC5648"/>
    <w:rsid w:val="00BC578A"/>
    <w:rsid w:val="00BD0617"/>
    <w:rsid w:val="00BD0A9E"/>
    <w:rsid w:val="00BD193F"/>
    <w:rsid w:val="00BD1D77"/>
    <w:rsid w:val="00BD2E9B"/>
    <w:rsid w:val="00BD50C6"/>
    <w:rsid w:val="00BD7FB2"/>
    <w:rsid w:val="00BE004B"/>
    <w:rsid w:val="00BE1BC1"/>
    <w:rsid w:val="00BE1DB0"/>
    <w:rsid w:val="00BE3ED5"/>
    <w:rsid w:val="00BE42C7"/>
    <w:rsid w:val="00BF062A"/>
    <w:rsid w:val="00BF6BB3"/>
    <w:rsid w:val="00C00930"/>
    <w:rsid w:val="00C0206C"/>
    <w:rsid w:val="00C02732"/>
    <w:rsid w:val="00C02D7A"/>
    <w:rsid w:val="00C03D45"/>
    <w:rsid w:val="00C04159"/>
    <w:rsid w:val="00C060AD"/>
    <w:rsid w:val="00C07359"/>
    <w:rsid w:val="00C113BF"/>
    <w:rsid w:val="00C11AF8"/>
    <w:rsid w:val="00C1281F"/>
    <w:rsid w:val="00C130D7"/>
    <w:rsid w:val="00C2176E"/>
    <w:rsid w:val="00C21ED1"/>
    <w:rsid w:val="00C23430"/>
    <w:rsid w:val="00C26D8D"/>
    <w:rsid w:val="00C27D67"/>
    <w:rsid w:val="00C40A0E"/>
    <w:rsid w:val="00C435AF"/>
    <w:rsid w:val="00C4631F"/>
    <w:rsid w:val="00C47789"/>
    <w:rsid w:val="00C47CDE"/>
    <w:rsid w:val="00C50E16"/>
    <w:rsid w:val="00C55258"/>
    <w:rsid w:val="00C55AEB"/>
    <w:rsid w:val="00C6028C"/>
    <w:rsid w:val="00C629DC"/>
    <w:rsid w:val="00C702EB"/>
    <w:rsid w:val="00C71A8A"/>
    <w:rsid w:val="00C74153"/>
    <w:rsid w:val="00C75FA3"/>
    <w:rsid w:val="00C80359"/>
    <w:rsid w:val="00C82EEB"/>
    <w:rsid w:val="00C85A87"/>
    <w:rsid w:val="00C85D60"/>
    <w:rsid w:val="00C964E0"/>
    <w:rsid w:val="00C971DC"/>
    <w:rsid w:val="00CA16B7"/>
    <w:rsid w:val="00CA62AE"/>
    <w:rsid w:val="00CB03B8"/>
    <w:rsid w:val="00CB465F"/>
    <w:rsid w:val="00CB49DD"/>
    <w:rsid w:val="00CB5B1A"/>
    <w:rsid w:val="00CC220B"/>
    <w:rsid w:val="00CC5C43"/>
    <w:rsid w:val="00CD02AE"/>
    <w:rsid w:val="00CD21E2"/>
    <w:rsid w:val="00CD2A4F"/>
    <w:rsid w:val="00CD41E4"/>
    <w:rsid w:val="00CE03CA"/>
    <w:rsid w:val="00CE22F1"/>
    <w:rsid w:val="00CE50F2"/>
    <w:rsid w:val="00CE6502"/>
    <w:rsid w:val="00CF1633"/>
    <w:rsid w:val="00CF54F8"/>
    <w:rsid w:val="00CF7D3C"/>
    <w:rsid w:val="00D00B74"/>
    <w:rsid w:val="00D01CF7"/>
    <w:rsid w:val="00D01F09"/>
    <w:rsid w:val="00D029F9"/>
    <w:rsid w:val="00D03527"/>
    <w:rsid w:val="00D04138"/>
    <w:rsid w:val="00D0710D"/>
    <w:rsid w:val="00D115B7"/>
    <w:rsid w:val="00D127DA"/>
    <w:rsid w:val="00D147EB"/>
    <w:rsid w:val="00D20254"/>
    <w:rsid w:val="00D25AC1"/>
    <w:rsid w:val="00D27E71"/>
    <w:rsid w:val="00D315AB"/>
    <w:rsid w:val="00D34667"/>
    <w:rsid w:val="00D401E1"/>
    <w:rsid w:val="00D408B4"/>
    <w:rsid w:val="00D41909"/>
    <w:rsid w:val="00D4383E"/>
    <w:rsid w:val="00D44330"/>
    <w:rsid w:val="00D4481C"/>
    <w:rsid w:val="00D44BD3"/>
    <w:rsid w:val="00D524C8"/>
    <w:rsid w:val="00D60D6C"/>
    <w:rsid w:val="00D62CF8"/>
    <w:rsid w:val="00D657F6"/>
    <w:rsid w:val="00D70E24"/>
    <w:rsid w:val="00D72B61"/>
    <w:rsid w:val="00D769AF"/>
    <w:rsid w:val="00D778DC"/>
    <w:rsid w:val="00DA3D1D"/>
    <w:rsid w:val="00DA777D"/>
    <w:rsid w:val="00DB61DD"/>
    <w:rsid w:val="00DB6286"/>
    <w:rsid w:val="00DB645F"/>
    <w:rsid w:val="00DB76E9"/>
    <w:rsid w:val="00DC0A67"/>
    <w:rsid w:val="00DC1D5E"/>
    <w:rsid w:val="00DC2498"/>
    <w:rsid w:val="00DC5220"/>
    <w:rsid w:val="00DD03BE"/>
    <w:rsid w:val="00DD2061"/>
    <w:rsid w:val="00DD31B6"/>
    <w:rsid w:val="00DD7DAB"/>
    <w:rsid w:val="00DE151F"/>
    <w:rsid w:val="00DE23F5"/>
    <w:rsid w:val="00DE3350"/>
    <w:rsid w:val="00DE3355"/>
    <w:rsid w:val="00DE3ED5"/>
    <w:rsid w:val="00DE72AD"/>
    <w:rsid w:val="00DF0C60"/>
    <w:rsid w:val="00DF3A80"/>
    <w:rsid w:val="00DF486F"/>
    <w:rsid w:val="00DF5B5B"/>
    <w:rsid w:val="00DF7619"/>
    <w:rsid w:val="00E010E4"/>
    <w:rsid w:val="00E042D8"/>
    <w:rsid w:val="00E0696C"/>
    <w:rsid w:val="00E07EE7"/>
    <w:rsid w:val="00E1103B"/>
    <w:rsid w:val="00E17B44"/>
    <w:rsid w:val="00E17B48"/>
    <w:rsid w:val="00E20F27"/>
    <w:rsid w:val="00E21095"/>
    <w:rsid w:val="00E22443"/>
    <w:rsid w:val="00E25B1F"/>
    <w:rsid w:val="00E27FEA"/>
    <w:rsid w:val="00E33511"/>
    <w:rsid w:val="00E35B07"/>
    <w:rsid w:val="00E37C62"/>
    <w:rsid w:val="00E4086F"/>
    <w:rsid w:val="00E416BD"/>
    <w:rsid w:val="00E43B3C"/>
    <w:rsid w:val="00E50188"/>
    <w:rsid w:val="00E50BB3"/>
    <w:rsid w:val="00E515CB"/>
    <w:rsid w:val="00E52260"/>
    <w:rsid w:val="00E538AE"/>
    <w:rsid w:val="00E551CB"/>
    <w:rsid w:val="00E57017"/>
    <w:rsid w:val="00E626E9"/>
    <w:rsid w:val="00E639B6"/>
    <w:rsid w:val="00E6434B"/>
    <w:rsid w:val="00E6463D"/>
    <w:rsid w:val="00E66E4E"/>
    <w:rsid w:val="00E71492"/>
    <w:rsid w:val="00E72E9B"/>
    <w:rsid w:val="00E82F11"/>
    <w:rsid w:val="00E84364"/>
    <w:rsid w:val="00E850C3"/>
    <w:rsid w:val="00E87DF2"/>
    <w:rsid w:val="00E90371"/>
    <w:rsid w:val="00E91536"/>
    <w:rsid w:val="00E91576"/>
    <w:rsid w:val="00E9462E"/>
    <w:rsid w:val="00E97ABF"/>
    <w:rsid w:val="00EA324D"/>
    <w:rsid w:val="00EA346E"/>
    <w:rsid w:val="00EA470E"/>
    <w:rsid w:val="00EA47A7"/>
    <w:rsid w:val="00EA57EB"/>
    <w:rsid w:val="00EA6A0A"/>
    <w:rsid w:val="00EB2C62"/>
    <w:rsid w:val="00EB3226"/>
    <w:rsid w:val="00EB764C"/>
    <w:rsid w:val="00EC1BB1"/>
    <w:rsid w:val="00EC213A"/>
    <w:rsid w:val="00EC6B55"/>
    <w:rsid w:val="00EC7744"/>
    <w:rsid w:val="00ED0DAD"/>
    <w:rsid w:val="00ED0EDC"/>
    <w:rsid w:val="00ED0F46"/>
    <w:rsid w:val="00ED2373"/>
    <w:rsid w:val="00ED24F9"/>
    <w:rsid w:val="00ED2E38"/>
    <w:rsid w:val="00EE3E8A"/>
    <w:rsid w:val="00EE4254"/>
    <w:rsid w:val="00EE78E2"/>
    <w:rsid w:val="00EF58B8"/>
    <w:rsid w:val="00EF6ECA"/>
    <w:rsid w:val="00F01605"/>
    <w:rsid w:val="00F024E1"/>
    <w:rsid w:val="00F06C10"/>
    <w:rsid w:val="00F1096F"/>
    <w:rsid w:val="00F12589"/>
    <w:rsid w:val="00F12595"/>
    <w:rsid w:val="00F134D9"/>
    <w:rsid w:val="00F1403D"/>
    <w:rsid w:val="00F1463F"/>
    <w:rsid w:val="00F14EA0"/>
    <w:rsid w:val="00F21302"/>
    <w:rsid w:val="00F2430D"/>
    <w:rsid w:val="00F321DE"/>
    <w:rsid w:val="00F33777"/>
    <w:rsid w:val="00F40648"/>
    <w:rsid w:val="00F47DA2"/>
    <w:rsid w:val="00F51321"/>
    <w:rsid w:val="00F519FC"/>
    <w:rsid w:val="00F604EB"/>
    <w:rsid w:val="00F6239D"/>
    <w:rsid w:val="00F715D2"/>
    <w:rsid w:val="00F71E6E"/>
    <w:rsid w:val="00F71EE1"/>
    <w:rsid w:val="00F7274F"/>
    <w:rsid w:val="00F73893"/>
    <w:rsid w:val="00F74E84"/>
    <w:rsid w:val="00F75AFA"/>
    <w:rsid w:val="00F7615B"/>
    <w:rsid w:val="00F769E3"/>
    <w:rsid w:val="00F76ED3"/>
    <w:rsid w:val="00F76FA8"/>
    <w:rsid w:val="00F841BA"/>
    <w:rsid w:val="00F85AFE"/>
    <w:rsid w:val="00F869CE"/>
    <w:rsid w:val="00F93F08"/>
    <w:rsid w:val="00F94CED"/>
    <w:rsid w:val="00FA02BB"/>
    <w:rsid w:val="00FA1776"/>
    <w:rsid w:val="00FA2CEE"/>
    <w:rsid w:val="00FA318C"/>
    <w:rsid w:val="00FA7772"/>
    <w:rsid w:val="00FB0E0E"/>
    <w:rsid w:val="00FB35F8"/>
    <w:rsid w:val="00FB3661"/>
    <w:rsid w:val="00FB481D"/>
    <w:rsid w:val="00FB6340"/>
    <w:rsid w:val="00FB6452"/>
    <w:rsid w:val="00FB6F92"/>
    <w:rsid w:val="00FC026E"/>
    <w:rsid w:val="00FC5124"/>
    <w:rsid w:val="00FD0155"/>
    <w:rsid w:val="00FD4731"/>
    <w:rsid w:val="00FD6768"/>
    <w:rsid w:val="00FE5DD4"/>
    <w:rsid w:val="00FE6E85"/>
    <w:rsid w:val="00FE71BA"/>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Tablea">
    <w:name w:val="Table(a)"/>
    <w:aliases w:val="ta"/>
    <w:basedOn w:val="Normal"/>
    <w:rsid w:val="005B72D2"/>
    <w:pPr>
      <w:spacing w:before="60" w:after="0" w:line="240" w:lineRule="auto"/>
      <w:ind w:left="284" w:hanging="284"/>
    </w:pPr>
    <w:rPr>
      <w:rFonts w:ascii="Times New Roman" w:hAnsi="Times New Roman"/>
      <w:color w:val="auto"/>
      <w:sz w:val="20"/>
      <w:szCs w:val="20"/>
      <w:lang w:eastAsia="en-AU"/>
    </w:rPr>
  </w:style>
  <w:style w:type="paragraph" w:customStyle="1" w:styleId="Tabletext0">
    <w:name w:val="Tabletext"/>
    <w:aliases w:val="tt"/>
    <w:basedOn w:val="Normal"/>
    <w:link w:val="TabletextChar"/>
    <w:rsid w:val="005B72D2"/>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link w:val="Tabletext0"/>
    <w:locked/>
    <w:rsid w:val="005B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9.health.gov.au/mbs/fullDisplay.cfm?type=note&amp;q=AN.1.1&amp;qt=noteID&amp;criteria=eligible%20telehealth" TargetMode="External"/><Relationship Id="rId13" Type="http://schemas.openxmlformats.org/officeDocument/2006/relationships/hyperlink" Target="https://www.mbsonline.gov.au/" TargetMode="External"/><Relationship Id="rId18" Type="http://schemas.openxmlformats.org/officeDocument/2006/relationships/hyperlink" Target="https://www.legislation.gov.a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s://www.health.gov.au/topics/medicare/compliance" TargetMode="External"/><Relationship Id="rId17" Type="http://schemas.openxmlformats.org/officeDocument/2006/relationships/hyperlink" Target="https://www.health.gov.au/resources/collections/private-health-insurance-clinical-category-and-procedure-type?language=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fullDisplay.cfm?type=note&amp;q=AR.8.1&amp;qt=noteID&amp;criteria=29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health.gov.au/resources/publications/mbs-review-advisory-committee-telehealth-post-implementation-review-final-report?language=en"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s://www.health.gov.au/committees-and-groups/medicare-benefits-schedule-mbs-review-advisory-committee-mrac" TargetMode="External"/><Relationship Id="rId14" Type="http://schemas.openxmlformats.org/officeDocument/2006/relationships/hyperlink" Target="https://www9.health.gov.au/mbs/subscribe.cfm"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1648</Words>
  <Characters>10368</Characters>
  <Application>Microsoft Office Word</Application>
  <DocSecurity>0</DocSecurity>
  <Lines>272</Lines>
  <Paragraphs>135</Paragraphs>
  <ScaleCrop>false</ScaleCrop>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2026-02-19T00:03:00Z</dcterms:created>
  <dcterms:modified xsi:type="dcterms:W3CDTF">2026-02-19T00:04:00Z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7aa03a37,d23558,6bdbfc27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ae7865a,5ab45a67,7d3da0ce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2026-02-19T00:04:03Z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51e8f90f-01d7-4a8d-af39-68d330391c2d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