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45D45A63" w:rsidR="00BA2732" w:rsidRDefault="0002135E" w:rsidP="003D033A">
      <w:pPr>
        <w:pStyle w:val="Title"/>
      </w:pPr>
      <w:bookmarkStart w:id="0" w:name="_Hlk180490589"/>
      <w:r>
        <w:t>Amend</w:t>
      </w:r>
      <w:r w:rsidR="007275D5">
        <w:t>m</w:t>
      </w:r>
      <w:r>
        <w:t>ents to M</w:t>
      </w:r>
      <w:r w:rsidR="00025D46">
        <w:t xml:space="preserve">edicare Benefits Schedule (MBS) for urine testing in asymptomatic patients </w:t>
      </w:r>
    </w:p>
    <w:p w14:paraId="6EFD4B5B" w14:textId="352EA47F" w:rsidR="00064168" w:rsidRDefault="00064168" w:rsidP="006F5073">
      <w:bookmarkStart w:id="1" w:name="_Hlk4568006"/>
      <w:bookmarkEnd w:id="0"/>
      <w:r w:rsidRPr="00867595">
        <w:t>Last updated</w:t>
      </w:r>
      <w:r w:rsidRPr="00E266A4">
        <w:t xml:space="preserve">: </w:t>
      </w:r>
      <w:r w:rsidR="0038635B">
        <w:t>3</w:t>
      </w:r>
      <w:r w:rsidR="009503F1">
        <w:t xml:space="preserve"> </w:t>
      </w:r>
      <w:r w:rsidR="0038635B">
        <w:t>June</w:t>
      </w:r>
      <w:r w:rsidR="00D201A9" w:rsidRPr="00E266A4">
        <w:t xml:space="preserve"> </w:t>
      </w:r>
      <w:r w:rsidRPr="00E266A4">
        <w:t>20</w:t>
      </w:r>
      <w:r w:rsidR="00025D46" w:rsidRPr="00E266A4">
        <w:t>2</w:t>
      </w:r>
      <w:r w:rsidR="00D201A9" w:rsidRPr="00E266A4">
        <w:t>5</w:t>
      </w:r>
    </w:p>
    <w:bookmarkEnd w:id="1"/>
    <w:p w14:paraId="44460BF5" w14:textId="29A2ED51" w:rsidR="00064168" w:rsidRPr="00867595" w:rsidRDefault="00064168" w:rsidP="00064168">
      <w:pPr>
        <w:pStyle w:val="Heading2"/>
      </w:pPr>
      <w:r w:rsidRPr="00867595">
        <w:t>What are the changes?</w:t>
      </w:r>
    </w:p>
    <w:p w14:paraId="13FE46D8" w14:textId="372633E9" w:rsidR="006C6F4B" w:rsidRDefault="0038635B" w:rsidP="006C6F4B">
      <w:r>
        <w:t>F</w:t>
      </w:r>
      <w:r w:rsidR="006C6F4B">
        <w:t xml:space="preserve">rom 1 July 2025, Medicare Benefits Schedule (MBS) item for urine testing (69333) will be amended to </w:t>
      </w:r>
      <w:r w:rsidR="000921F8">
        <w:t>reduce clinically unnecessary testing and improve patient outcomes</w:t>
      </w:r>
      <w:r w:rsidR="000921F8">
        <w:rPr>
          <w:rFonts w:cs="Arial"/>
        </w:rPr>
        <w:t xml:space="preserve"> </w:t>
      </w:r>
      <w:r w:rsidR="009A3E73" w:rsidRPr="6F9CE305">
        <w:rPr>
          <w:rFonts w:cs="Arial"/>
        </w:rPr>
        <w:t xml:space="preserve">by </w:t>
      </w:r>
      <w:r w:rsidR="00631142">
        <w:rPr>
          <w:rFonts w:cs="Arial"/>
        </w:rPr>
        <w:t xml:space="preserve">requiring </w:t>
      </w:r>
      <w:r w:rsidR="00036FC2">
        <w:rPr>
          <w:rFonts w:cs="Arial"/>
        </w:rPr>
        <w:t>that</w:t>
      </w:r>
      <w:r w:rsidR="009A3E73" w:rsidRPr="6F9CE305">
        <w:rPr>
          <w:rFonts w:cs="Arial"/>
        </w:rPr>
        <w:t xml:space="preserve"> asymptomatic urine testing be </w:t>
      </w:r>
      <w:r w:rsidR="00036FC2" w:rsidRPr="6F9CE305">
        <w:rPr>
          <w:rFonts w:cs="Arial"/>
        </w:rPr>
        <w:t xml:space="preserve">only </w:t>
      </w:r>
      <w:r w:rsidR="009A3E73" w:rsidRPr="6F9CE305">
        <w:rPr>
          <w:rFonts w:cs="Arial"/>
        </w:rPr>
        <w:t xml:space="preserve">performed </w:t>
      </w:r>
      <w:r w:rsidR="0018672D">
        <w:rPr>
          <w:rFonts w:cs="Arial"/>
        </w:rPr>
        <w:t xml:space="preserve">when </w:t>
      </w:r>
      <w:r w:rsidR="00D53F0D" w:rsidRPr="6F9CE305">
        <w:rPr>
          <w:rFonts w:cs="Arial"/>
        </w:rPr>
        <w:t>clinically indicated</w:t>
      </w:r>
      <w:r w:rsidR="000921F8">
        <w:rPr>
          <w:rFonts w:cs="Arial"/>
        </w:rPr>
        <w:t>.</w:t>
      </w:r>
      <w:r w:rsidR="009A3E73" w:rsidRPr="6F9CE305">
        <w:rPr>
          <w:rFonts w:cs="Arial"/>
        </w:rPr>
        <w:t xml:space="preserve"> </w:t>
      </w:r>
    </w:p>
    <w:p w14:paraId="19CE477A" w14:textId="7FBE7752" w:rsidR="005E2D77" w:rsidRDefault="006C6F4B" w:rsidP="006C6F4B">
      <w:r>
        <w:t>This amendment stipulates that urine testing and examination (including serial examinations) are only required when symptoms of a urinary tract infection or kidney disease are present.</w:t>
      </w:r>
      <w:r w:rsidR="00D53F0D">
        <w:t xml:space="preserve"> </w:t>
      </w:r>
      <w:r w:rsidR="0018672D" w:rsidRPr="0018672D">
        <w:rPr>
          <w:rFonts w:ascii="Segoe UI" w:hAnsi="Segoe UI" w:cs="Segoe UI"/>
          <w:sz w:val="18"/>
          <w:szCs w:val="18"/>
        </w:rPr>
        <w:t xml:space="preserve"> </w:t>
      </w:r>
      <w:r w:rsidR="0018672D" w:rsidRPr="0018672D">
        <w:t xml:space="preserve">Practitioners are encouraged to consult the most up-to-date guidelines on indications </w:t>
      </w:r>
      <w:r w:rsidR="0018672D">
        <w:t>of urinary tract infection or kidney disease</w:t>
      </w:r>
      <w:r w:rsidR="0018672D" w:rsidRPr="0018672D">
        <w:t>.</w:t>
      </w:r>
      <w:r w:rsidR="0018672D">
        <w:t xml:space="preserve"> At the time of publishing, this </w:t>
      </w:r>
      <w:r w:rsidR="000921F8">
        <w:t>may</w:t>
      </w:r>
      <w:r w:rsidR="0018672D">
        <w:t xml:space="preserve"> include not only pain with urination and frequency of urination</w:t>
      </w:r>
      <w:r w:rsidR="000921F8">
        <w:t>,</w:t>
      </w:r>
      <w:r w:rsidR="0018672D">
        <w:t xml:space="preserve"> but also systemic presentations </w:t>
      </w:r>
      <w:r w:rsidR="000921F8">
        <w:t>such as</w:t>
      </w:r>
      <w:r w:rsidR="0018672D">
        <w:t xml:space="preserve"> suspected sepsis, delirium or fever of unknown origin.</w:t>
      </w:r>
    </w:p>
    <w:p w14:paraId="1CF08DF5" w14:textId="33749B85" w:rsidR="006C6F4B" w:rsidRDefault="006C6F4B" w:rsidP="006C6F4B">
      <w:r>
        <w:t xml:space="preserve">Exception to this amendment is made for specified patient groups who may be asymptomatic including those who are: </w:t>
      </w:r>
    </w:p>
    <w:p w14:paraId="5382C067" w14:textId="77777777" w:rsidR="006C6F4B" w:rsidRDefault="006C6F4B" w:rsidP="006C6F4B">
      <w:pPr>
        <w:pStyle w:val="ListParagraph"/>
        <w:numPr>
          <w:ilvl w:val="0"/>
          <w:numId w:val="32"/>
        </w:numPr>
      </w:pPr>
      <w:r>
        <w:t xml:space="preserve">Pregnant </w:t>
      </w:r>
    </w:p>
    <w:p w14:paraId="5A1C056F" w14:textId="77777777" w:rsidR="006C6F4B" w:rsidRDefault="006C6F4B" w:rsidP="006C6F4B">
      <w:pPr>
        <w:pStyle w:val="ListParagraph"/>
        <w:numPr>
          <w:ilvl w:val="0"/>
          <w:numId w:val="32"/>
        </w:numPr>
      </w:pPr>
      <w:r>
        <w:t xml:space="preserve">Less than 16 years of age </w:t>
      </w:r>
    </w:p>
    <w:p w14:paraId="00096140" w14:textId="77777777" w:rsidR="006C6F4B" w:rsidRDefault="006C6F4B" w:rsidP="006C6F4B">
      <w:pPr>
        <w:pStyle w:val="ListParagraph"/>
        <w:numPr>
          <w:ilvl w:val="0"/>
          <w:numId w:val="32"/>
        </w:numPr>
      </w:pPr>
      <w:r>
        <w:t xml:space="preserve">Recipients of renal transplants </w:t>
      </w:r>
    </w:p>
    <w:p w14:paraId="02E47346" w14:textId="77777777" w:rsidR="006C6F4B" w:rsidRDefault="006C6F4B" w:rsidP="006C6F4B">
      <w:pPr>
        <w:pStyle w:val="ListParagraph"/>
        <w:numPr>
          <w:ilvl w:val="0"/>
          <w:numId w:val="32"/>
        </w:numPr>
      </w:pPr>
      <w:r>
        <w:t xml:space="preserve">Suffering from recurrent urinary tract infections </w:t>
      </w:r>
    </w:p>
    <w:p w14:paraId="1126FF8D" w14:textId="77777777" w:rsidR="006C6F4B" w:rsidRDefault="006C6F4B" w:rsidP="006C6F4B">
      <w:pPr>
        <w:pStyle w:val="ListParagraph"/>
        <w:numPr>
          <w:ilvl w:val="0"/>
          <w:numId w:val="32"/>
        </w:numPr>
      </w:pPr>
      <w:r>
        <w:t xml:space="preserve">Being investigated or monitored for kidney disease </w:t>
      </w:r>
    </w:p>
    <w:p w14:paraId="2026916B" w14:textId="77777777" w:rsidR="006C6F4B" w:rsidRPr="00A8695F" w:rsidRDefault="006C6F4B" w:rsidP="006C6F4B">
      <w:pPr>
        <w:pStyle w:val="ListParagraph"/>
        <w:numPr>
          <w:ilvl w:val="0"/>
          <w:numId w:val="32"/>
        </w:numPr>
      </w:pPr>
      <w:r>
        <w:t xml:space="preserve">Undergoing urinary tract instrumentation, urological procedures, or transurethral resection of the prostate </w:t>
      </w:r>
    </w:p>
    <w:p w14:paraId="42BD5171" w14:textId="77777777" w:rsidR="00064168" w:rsidRDefault="00064168" w:rsidP="00064168">
      <w:pPr>
        <w:pStyle w:val="Heading2"/>
      </w:pPr>
      <w:r>
        <w:t>Why are the changes being made?</w:t>
      </w:r>
    </w:p>
    <w:p w14:paraId="6087131A" w14:textId="6FA79DCE" w:rsidR="00D53F0D" w:rsidRDefault="00EC3C23" w:rsidP="00064168">
      <w:bookmarkStart w:id="2" w:name="_Hlk535386664"/>
      <w:r>
        <w:t>These</w:t>
      </w:r>
      <w:r w:rsidR="00064168">
        <w:t xml:space="preserve"> changes are a result o</w:t>
      </w:r>
      <w:r w:rsidR="004D5E3F">
        <w:t>f</w:t>
      </w:r>
      <w:r w:rsidR="00064168">
        <w:t xml:space="preserve"> a review by the MBS Review Taskforce, which was informed by </w:t>
      </w:r>
      <w:r w:rsidR="009500F7">
        <w:t xml:space="preserve">a </w:t>
      </w:r>
      <w:hyperlink r:id="rId8" w:history="1">
        <w:r w:rsidR="0077512D" w:rsidRPr="009500F7">
          <w:rPr>
            <w:rStyle w:val="Hyperlink"/>
          </w:rPr>
          <w:t>Diagnostic Medicine</w:t>
        </w:r>
        <w:r w:rsidR="00064168" w:rsidRPr="009500F7">
          <w:rPr>
            <w:rStyle w:val="Hyperlink"/>
          </w:rPr>
          <w:t xml:space="preserve"> Clinical Committee</w:t>
        </w:r>
        <w:r w:rsidR="00C22E29" w:rsidRPr="009500F7">
          <w:rPr>
            <w:rStyle w:val="Hyperlink"/>
          </w:rPr>
          <w:t xml:space="preserve"> (DMCC) report</w:t>
        </w:r>
      </w:hyperlink>
      <w:r w:rsidR="00C22E29">
        <w:t xml:space="preserve"> published in 2018</w:t>
      </w:r>
      <w:r w:rsidR="00064168">
        <w:t xml:space="preserve">. </w:t>
      </w:r>
      <w:r w:rsidR="00B54F04">
        <w:t xml:space="preserve">The amendments to urine examination </w:t>
      </w:r>
      <w:r w:rsidR="00756527">
        <w:t xml:space="preserve">will reduce clinically unnecessary testing of asymptomatic patients and improve patient outcomes. </w:t>
      </w:r>
    </w:p>
    <w:p w14:paraId="4B7BA53A" w14:textId="04D2E76E" w:rsidR="00064168" w:rsidRDefault="00064168" w:rsidP="00064168">
      <w:r>
        <w:t xml:space="preserve">More information about the Taskforce and associated Committees is available in </w:t>
      </w:r>
      <w:hyperlink r:id="rId9">
        <w:r w:rsidR="0019761F" w:rsidRPr="37A8CB26">
          <w:rPr>
            <w:rStyle w:val="Hyperlink"/>
          </w:rPr>
          <w:t>Medicare Benefits Schedule Review</w:t>
        </w:r>
      </w:hyperlink>
      <w:r>
        <w:t xml:space="preserve"> in the consumer section of the</w:t>
      </w:r>
      <w:r w:rsidR="00C02732">
        <w:t xml:space="preserve"> </w:t>
      </w:r>
      <w:hyperlink r:id="rId10">
        <w:r w:rsidR="00FD1ACF">
          <w:rPr>
            <w:rStyle w:val="Hyperlink"/>
          </w:rPr>
          <w:t>Department of Health, Disability and Ageing (the department) website</w:t>
        </w:r>
      </w:hyperlink>
      <w:r>
        <w:t xml:space="preserve">. </w:t>
      </w:r>
    </w:p>
    <w:bookmarkEnd w:id="2"/>
    <w:p w14:paraId="4B2559AC" w14:textId="369EA7C9" w:rsidR="00064168" w:rsidRDefault="00064168" w:rsidP="00064168">
      <w:pPr>
        <w:pStyle w:val="Heading2"/>
      </w:pPr>
      <w:r>
        <w:lastRenderedPageBreak/>
        <w:t>What does this mean for providers</w:t>
      </w:r>
      <w:r w:rsidR="0037366E">
        <w:t>?</w:t>
      </w:r>
    </w:p>
    <w:p w14:paraId="21C0736F" w14:textId="10B41D03" w:rsidR="002452BA" w:rsidRDefault="0038635B" w:rsidP="007C343D">
      <w:r>
        <w:rPr>
          <w:szCs w:val="22"/>
        </w:rPr>
        <w:t>F</w:t>
      </w:r>
      <w:r w:rsidR="003A7C67">
        <w:rPr>
          <w:szCs w:val="22"/>
        </w:rPr>
        <w:t>rom 1 July 2025</w:t>
      </w:r>
      <w:r w:rsidR="00731255">
        <w:rPr>
          <w:szCs w:val="22"/>
        </w:rPr>
        <w:t xml:space="preserve">, </w:t>
      </w:r>
      <w:r w:rsidR="008A7494">
        <w:rPr>
          <w:szCs w:val="22"/>
        </w:rPr>
        <w:t xml:space="preserve">practitioners will </w:t>
      </w:r>
      <w:r w:rsidR="0066179F">
        <w:rPr>
          <w:szCs w:val="22"/>
        </w:rPr>
        <w:t xml:space="preserve">be able to request Medicare funded testing for urine examination </w:t>
      </w:r>
      <w:r w:rsidR="00D92A36">
        <w:rPr>
          <w:szCs w:val="22"/>
        </w:rPr>
        <w:t xml:space="preserve">only when </w:t>
      </w:r>
      <w:r w:rsidR="00A01709">
        <w:rPr>
          <w:szCs w:val="22"/>
        </w:rPr>
        <w:t xml:space="preserve">local or systemic </w:t>
      </w:r>
      <w:r w:rsidR="007949E7">
        <w:rPr>
          <w:szCs w:val="22"/>
        </w:rPr>
        <w:t xml:space="preserve">signs and </w:t>
      </w:r>
      <w:r w:rsidR="00D92A36">
        <w:t>symptoms</w:t>
      </w:r>
      <w:r w:rsidR="007949E7">
        <w:t xml:space="preserve"> </w:t>
      </w:r>
      <w:r w:rsidR="00D92A36">
        <w:t>of a urinary tract infection or kidney disease are present</w:t>
      </w:r>
      <w:r w:rsidR="009E4C3D">
        <w:t>. Exceptions to th</w:t>
      </w:r>
      <w:r w:rsidR="00532CA6">
        <w:t>is amendment are made for specified patient groups who may be asymptomatic.</w:t>
      </w:r>
      <w:r w:rsidR="0045623E">
        <w:t xml:space="preserve"> This means clinicians can continue to request clinically relevant testing</w:t>
      </w:r>
      <w:r w:rsidR="009746B8">
        <w:t xml:space="preserve"> for symptomatic and asymptomatic patients. H</w:t>
      </w:r>
      <w:r w:rsidR="0045623E">
        <w:t xml:space="preserve">owever </w:t>
      </w:r>
      <w:r w:rsidR="009746B8">
        <w:t>non-</w:t>
      </w:r>
      <w:r w:rsidR="0045623E">
        <w:t>guideline</w:t>
      </w:r>
      <w:r w:rsidR="00E76984">
        <w:t xml:space="preserve"> supported testing,</w:t>
      </w:r>
      <w:r w:rsidR="0045623E">
        <w:t xml:space="preserve"> </w:t>
      </w:r>
      <w:r w:rsidR="00CC7131">
        <w:t>such as</w:t>
      </w:r>
      <w:r w:rsidR="00E76984">
        <w:t xml:space="preserve"> the</w:t>
      </w:r>
      <w:r w:rsidR="00CC7131">
        <w:t xml:space="preserve"> routine testing of asymptomatic aged care patients</w:t>
      </w:r>
      <w:r w:rsidR="00E76984">
        <w:t>,</w:t>
      </w:r>
      <w:r w:rsidR="00CC7131">
        <w:t xml:space="preserve"> will no longer be </w:t>
      </w:r>
      <w:r w:rsidR="00E91038">
        <w:t>Medicare funded.</w:t>
      </w:r>
    </w:p>
    <w:p w14:paraId="2E54613F" w14:textId="4DB1D250" w:rsidR="003A7C67" w:rsidRDefault="002452BA" w:rsidP="007C343D">
      <w:r>
        <w:t xml:space="preserve">Alongside the amended item, a pathology note will be published on </w:t>
      </w:r>
      <w:hyperlink r:id="rId11" w:history="1">
        <w:r w:rsidRPr="002452BA">
          <w:rPr>
            <w:rStyle w:val="Hyperlink"/>
          </w:rPr>
          <w:t>MBS Online</w:t>
        </w:r>
      </w:hyperlink>
      <w:r>
        <w:t xml:space="preserve">, to assist requesting practitioners on when it is appropriate to request this service for their patient. </w:t>
      </w:r>
      <w:r w:rsidR="00532CA6">
        <w:t xml:space="preserve"> </w:t>
      </w:r>
    </w:p>
    <w:p w14:paraId="4C17DC5F" w14:textId="74DB3700" w:rsidR="003A7C67" w:rsidRDefault="0000589D" w:rsidP="007C343D">
      <w:pPr>
        <w:rPr>
          <w:szCs w:val="22"/>
        </w:rPr>
      </w:pPr>
      <w:r w:rsidRPr="00F810A4">
        <w:rPr>
          <w:szCs w:val="22"/>
        </w:rPr>
        <w:t>To be eligible for Medicare benefits, laboratories providing this service must be accredited according to the pathology accreditation standards specified in the</w:t>
      </w:r>
      <w:r w:rsidRPr="00F810A4">
        <w:rPr>
          <w:i/>
          <w:iCs/>
          <w:szCs w:val="22"/>
        </w:rPr>
        <w:t xml:space="preserve"> </w:t>
      </w:r>
      <w:hyperlink r:id="rId12" w:history="1">
        <w:r w:rsidRPr="00F810A4">
          <w:rPr>
            <w:rStyle w:val="Hyperlink"/>
            <w:i/>
            <w:iCs/>
            <w:szCs w:val="22"/>
          </w:rPr>
          <w:t>Health Insurance (Accredited Pathology Laboratories-Approval) Principles 2017</w:t>
        </w:r>
      </w:hyperlink>
      <w:r w:rsidRPr="00F810A4">
        <w:rPr>
          <w:szCs w:val="22"/>
        </w:rPr>
        <w:t>.</w:t>
      </w:r>
    </w:p>
    <w:p w14:paraId="7F7DA4F7" w14:textId="77777777" w:rsidR="00064168" w:rsidRDefault="00064168" w:rsidP="00064168">
      <w:pPr>
        <w:pStyle w:val="Heading2"/>
      </w:pPr>
      <w:r>
        <w:t>How will these changes affect patients</w:t>
      </w:r>
      <w:r w:rsidRPr="001A7FB7">
        <w:t>?</w:t>
      </w:r>
    </w:p>
    <w:p w14:paraId="2F953179" w14:textId="29AEEB04" w:rsidR="00064168" w:rsidRPr="00867595" w:rsidRDefault="0038635B" w:rsidP="6F9CE305">
      <w:pPr>
        <w:rPr>
          <w:rFonts w:cs="Arial"/>
        </w:rPr>
      </w:pPr>
      <w:r>
        <w:rPr>
          <w:szCs w:val="22"/>
        </w:rPr>
        <w:t>E</w:t>
      </w:r>
      <w:r w:rsidR="00D45404" w:rsidRPr="6F9CE305">
        <w:rPr>
          <w:rFonts w:cs="Arial"/>
        </w:rPr>
        <w:t xml:space="preserve">ffective 1 July 2025, the Government is </w:t>
      </w:r>
      <w:r w:rsidR="009A3E73" w:rsidRPr="6F9CE305">
        <w:rPr>
          <w:rFonts w:cs="Arial"/>
        </w:rPr>
        <w:t>ensur</w:t>
      </w:r>
      <w:r w:rsidR="00D45404" w:rsidRPr="6F9CE305">
        <w:rPr>
          <w:rFonts w:cs="Arial"/>
        </w:rPr>
        <w:t xml:space="preserve">ing appropriate use of urine examination tests by </w:t>
      </w:r>
      <w:r w:rsidR="00C04C0F">
        <w:rPr>
          <w:rFonts w:cs="Arial"/>
        </w:rPr>
        <w:t>requiring</w:t>
      </w:r>
      <w:r w:rsidR="00C04C0F" w:rsidRPr="6F9CE305">
        <w:rPr>
          <w:rFonts w:cs="Arial"/>
        </w:rPr>
        <w:t xml:space="preserve"> </w:t>
      </w:r>
      <w:r w:rsidR="00D45404" w:rsidRPr="6F9CE305">
        <w:rPr>
          <w:rFonts w:cs="Arial"/>
        </w:rPr>
        <w:t>that asymptomatic urine testing should be performed only in certain patients</w:t>
      </w:r>
      <w:r w:rsidR="00041164" w:rsidRPr="6F9CE305">
        <w:rPr>
          <w:rFonts w:cs="Arial"/>
        </w:rPr>
        <w:t xml:space="preserve">. </w:t>
      </w:r>
      <w:r w:rsidR="00C404E7" w:rsidRPr="6F9CE305">
        <w:rPr>
          <w:rFonts w:cs="Arial"/>
        </w:rPr>
        <w:t>Asymptomatic testing is still available for</w:t>
      </w:r>
      <w:r w:rsidR="002258B3" w:rsidRPr="6F9CE305">
        <w:rPr>
          <w:rFonts w:cs="Arial"/>
        </w:rPr>
        <w:t xml:space="preserve"> </w:t>
      </w:r>
      <w:r w:rsidR="0092054C">
        <w:rPr>
          <w:rFonts w:cs="Arial"/>
        </w:rPr>
        <w:t>certain</w:t>
      </w:r>
      <w:r w:rsidR="002258B3" w:rsidRPr="6F9CE305">
        <w:rPr>
          <w:rFonts w:cs="Arial"/>
        </w:rPr>
        <w:t xml:space="preserve"> patients including</w:t>
      </w:r>
      <w:r w:rsidR="00C404E7" w:rsidRPr="6F9CE305">
        <w:rPr>
          <w:rFonts w:cs="Arial"/>
        </w:rPr>
        <w:t xml:space="preserve"> pregnant </w:t>
      </w:r>
      <w:r w:rsidR="00F35043" w:rsidRPr="6F9CE305">
        <w:rPr>
          <w:rFonts w:cs="Arial"/>
        </w:rPr>
        <w:t>patients</w:t>
      </w:r>
      <w:r w:rsidR="00C404E7" w:rsidRPr="6F9CE305">
        <w:rPr>
          <w:rFonts w:cs="Arial"/>
        </w:rPr>
        <w:t>, children</w:t>
      </w:r>
      <w:r w:rsidR="00B619DA" w:rsidRPr="6F9CE305">
        <w:rPr>
          <w:rFonts w:cs="Arial"/>
        </w:rPr>
        <w:t xml:space="preserve">, kidney transplant patients, and </w:t>
      </w:r>
      <w:r w:rsidR="00F35043" w:rsidRPr="6F9CE305">
        <w:rPr>
          <w:rFonts w:cs="Arial"/>
        </w:rPr>
        <w:t>patient</w:t>
      </w:r>
      <w:r w:rsidR="0018672D">
        <w:rPr>
          <w:rFonts w:cs="Arial"/>
        </w:rPr>
        <w:t>s</w:t>
      </w:r>
      <w:r w:rsidR="00F35043" w:rsidRPr="6F9CE305">
        <w:rPr>
          <w:rFonts w:cs="Arial"/>
        </w:rPr>
        <w:t xml:space="preserve"> </w:t>
      </w:r>
      <w:r w:rsidR="00D8649F" w:rsidRPr="6F9CE305">
        <w:rPr>
          <w:rFonts w:cs="Arial"/>
        </w:rPr>
        <w:t>requir</w:t>
      </w:r>
      <w:r w:rsidR="00897134" w:rsidRPr="6F9CE305">
        <w:rPr>
          <w:rFonts w:cs="Arial"/>
        </w:rPr>
        <w:t>ing</w:t>
      </w:r>
      <w:r w:rsidR="00D8649F" w:rsidRPr="6F9CE305">
        <w:rPr>
          <w:rFonts w:cs="Arial"/>
        </w:rPr>
        <w:t xml:space="preserve"> testing before urological surgery.</w:t>
      </w:r>
    </w:p>
    <w:p w14:paraId="0997C115" w14:textId="318D268B" w:rsidR="00064168" w:rsidRPr="00333C73" w:rsidRDefault="00064168" w:rsidP="00064168">
      <w:pPr>
        <w:pStyle w:val="CommentText"/>
        <w:rPr>
          <w:sz w:val="22"/>
          <w:szCs w:val="22"/>
        </w:rPr>
      </w:pPr>
      <w:r w:rsidRPr="00333C73">
        <w:rPr>
          <w:sz w:val="22"/>
          <w:szCs w:val="22"/>
        </w:rPr>
        <w:t xml:space="preserve">The changes will </w:t>
      </w:r>
      <w:r w:rsidR="00041164">
        <w:rPr>
          <w:sz w:val="22"/>
          <w:szCs w:val="22"/>
        </w:rPr>
        <w:t>reduce clinically unnecessary testing of asymptomatic patients</w:t>
      </w:r>
      <w:r w:rsidR="00274C93">
        <w:rPr>
          <w:sz w:val="22"/>
          <w:szCs w:val="22"/>
        </w:rPr>
        <w:t>,</w:t>
      </w:r>
      <w:r w:rsidRPr="00333C73">
        <w:rPr>
          <w:sz w:val="22"/>
          <w:szCs w:val="22"/>
        </w:rPr>
        <w:t xml:space="preserve"> leading to improved health outcomes.</w:t>
      </w:r>
    </w:p>
    <w:p w14:paraId="1DD6F91B" w14:textId="102DC184" w:rsidR="00064168" w:rsidRPr="006F5073" w:rsidRDefault="00064168" w:rsidP="006F5073">
      <w:r w:rsidRPr="006F5073">
        <w:t>Patients</w:t>
      </w:r>
      <w:r w:rsidR="00CC6914">
        <w:t xml:space="preserve"> with any </w:t>
      </w:r>
      <w:r w:rsidR="00B9332E">
        <w:t>local or systemic symptoms suggestive of a urinary tract infection</w:t>
      </w:r>
      <w:r w:rsidR="00F50993">
        <w:t xml:space="preserve"> </w:t>
      </w:r>
      <w:r w:rsidR="00D53F0D">
        <w:t xml:space="preserve">continue to have access to urine testing and </w:t>
      </w:r>
      <w:r w:rsidR="00707606">
        <w:t>will</w:t>
      </w:r>
      <w:r w:rsidR="00707606" w:rsidRPr="006F5073">
        <w:t xml:space="preserve"> </w:t>
      </w:r>
      <w:r w:rsidRPr="006F5073">
        <w:t xml:space="preserve">not be affected </w:t>
      </w:r>
      <w:r w:rsidR="00274C93">
        <w:t>by the amended item</w:t>
      </w:r>
      <w:r w:rsidR="002A01B0">
        <w:t xml:space="preserve">. All patients </w:t>
      </w:r>
      <w:r w:rsidR="00F03E05">
        <w:t>where</w:t>
      </w:r>
      <w:r w:rsidR="002A01B0">
        <w:t xml:space="preserve"> asymptomatic testing </w:t>
      </w:r>
      <w:r w:rsidR="00F03E05">
        <w:t xml:space="preserve">is clinically indicated </w:t>
      </w:r>
      <w:r w:rsidR="002A01B0">
        <w:t xml:space="preserve">will have continued </w:t>
      </w:r>
      <w:r w:rsidR="002A01B0" w:rsidRPr="006F5073">
        <w:t>access to clinically relevant services</w:t>
      </w:r>
      <w:r w:rsidR="002A01B0">
        <w:t xml:space="preserve">. </w:t>
      </w:r>
    </w:p>
    <w:p w14:paraId="5BD9BE80" w14:textId="77777777" w:rsidR="00064168" w:rsidRDefault="00064168" w:rsidP="00064168">
      <w:pPr>
        <w:pStyle w:val="Heading2"/>
      </w:pPr>
      <w:r w:rsidRPr="001A7FB7">
        <w:t>Who was consulted on the changes?</w:t>
      </w:r>
    </w:p>
    <w:p w14:paraId="7ADE080F" w14:textId="35531E57" w:rsidR="00064168" w:rsidRDefault="00064168" w:rsidP="37A8CB26">
      <w:r>
        <w:t xml:space="preserve">Following the MBS Review (during implementation), ongoing consultation occurred with the </w:t>
      </w:r>
      <w:r w:rsidR="006941CD">
        <w:t xml:space="preserve">following stakeholders: </w:t>
      </w:r>
    </w:p>
    <w:p w14:paraId="54A75DB9"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Australian and New Zealand Society for Geriatric Medicine</w:t>
      </w:r>
    </w:p>
    <w:p w14:paraId="33C377EC"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Australian and New Zealand Society of Nephrologists</w:t>
      </w:r>
    </w:p>
    <w:p w14:paraId="6CDC59EB"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Australian Medical Association</w:t>
      </w:r>
    </w:p>
    <w:p w14:paraId="5C728D9F"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Australian Pathology</w:t>
      </w:r>
    </w:p>
    <w:p w14:paraId="31AFF357"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Public Pathology Australia</w:t>
      </w:r>
    </w:p>
    <w:p w14:paraId="46171DA2"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Royal Australian College of General Practitioners</w:t>
      </w:r>
    </w:p>
    <w:p w14:paraId="7FD89F32"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Royal Australian College of Physicians</w:t>
      </w:r>
    </w:p>
    <w:p w14:paraId="34604F14" w14:textId="77777777" w:rsidR="0037366E" w:rsidRPr="009500F7" w:rsidRDefault="0037366E" w:rsidP="0037366E">
      <w:pPr>
        <w:pStyle w:val="ListParagraph"/>
        <w:numPr>
          <w:ilvl w:val="0"/>
          <w:numId w:val="27"/>
        </w:numPr>
        <w:spacing w:before="0" w:after="0" w:line="240" w:lineRule="auto"/>
        <w:rPr>
          <w:bCs/>
          <w:iCs/>
          <w:szCs w:val="22"/>
        </w:rPr>
      </w:pPr>
      <w:r w:rsidRPr="009500F7">
        <w:rPr>
          <w:bCs/>
          <w:iCs/>
          <w:szCs w:val="22"/>
        </w:rPr>
        <w:t>Royal College of Pathologists of Australasia</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69CD7908" w14:textId="26F5D259" w:rsidR="009500F7" w:rsidRPr="00B27A99" w:rsidRDefault="001B1DFF" w:rsidP="00B27A99">
      <w:pPr>
        <w:rPr>
          <w:szCs w:val="22"/>
        </w:rPr>
      </w:pPr>
      <w:r w:rsidRPr="00244AEA">
        <w:rPr>
          <w:szCs w:val="22"/>
        </w:rPr>
        <w:t>Providers must ensure that Medicare services requested or claimed using their provider number meet all legislative requirements. These services should also be considered acceptable by a general body of their profession. All Medicare claiming and requesting is subject to compliance checks. Providers or requesters may be required to submit evidence about the services they bill or request and should retain adequate and contemporaneous records. More information about the department</w:t>
      </w:r>
      <w:r w:rsidR="00FD1ACF">
        <w:rPr>
          <w:szCs w:val="22"/>
        </w:rPr>
        <w:t>’s</w:t>
      </w:r>
      <w:r w:rsidRPr="00244AEA">
        <w:rPr>
          <w:szCs w:val="22"/>
        </w:rPr>
        <w:t xml:space="preserve"> compliance program can be found on its website at </w:t>
      </w:r>
      <w:hyperlink r:id="rId13" w:tgtFrame="_blank" w:tooltip="https://www.health.gov.au/topics/medicare/compliance" w:history="1">
        <w:r w:rsidRPr="00244AEA">
          <w:rPr>
            <w:rStyle w:val="Hyperlink"/>
            <w:szCs w:val="22"/>
          </w:rPr>
          <w:t>Medicare compliance</w:t>
        </w:r>
      </w:hyperlink>
      <w:r w:rsidRPr="00244AEA">
        <w:rPr>
          <w:szCs w:val="22"/>
          <w:u w:val="single"/>
        </w:rPr>
        <w:t>.</w:t>
      </w:r>
    </w:p>
    <w:p w14:paraId="3C63E237" w14:textId="77777777" w:rsidR="00064168" w:rsidRDefault="00064168" w:rsidP="00064168">
      <w:pPr>
        <w:pStyle w:val="Heading2"/>
      </w:pPr>
      <w:r>
        <w:t>Where can I find more information?</w:t>
      </w:r>
    </w:p>
    <w:p w14:paraId="38B53998" w14:textId="77777777" w:rsidR="00F05E52" w:rsidRPr="00867595" w:rsidRDefault="00F05E52" w:rsidP="00F05E52">
      <w:pPr>
        <w:rPr>
          <w:szCs w:val="22"/>
        </w:rPr>
      </w:pPr>
      <w:r w:rsidRPr="00867595">
        <w:rPr>
          <w:szCs w:val="22"/>
        </w:rPr>
        <w:t xml:space="preserve">The full item descriptor(s) and information on other changes to the MBS can be found on the </w:t>
      </w:r>
      <w:hyperlink r:id="rId14"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5" w:history="1">
        <w:r>
          <w:rPr>
            <w:rStyle w:val="Hyperlink"/>
            <w:szCs w:val="22"/>
          </w:rPr>
          <w:t>Subscribe to the MBS</w:t>
        </w:r>
      </w:hyperlink>
      <w:r>
        <w:rPr>
          <w:szCs w:val="22"/>
        </w:rPr>
        <w:t>’ on the MBS Online website</w:t>
      </w:r>
      <w:r w:rsidRPr="00867595">
        <w:rPr>
          <w:szCs w:val="22"/>
        </w:rPr>
        <w:t xml:space="preserve">. </w:t>
      </w:r>
    </w:p>
    <w:p w14:paraId="1B6F3CA9" w14:textId="210B6CE9" w:rsidR="00F05E52" w:rsidRPr="000B7029" w:rsidRDefault="00F05E52" w:rsidP="00F05E52">
      <w:pPr>
        <w:rPr>
          <w:szCs w:val="22"/>
        </w:rPr>
      </w:pPr>
      <w:r w:rsidRPr="001873B1">
        <w:rPr>
          <w:szCs w:val="22"/>
        </w:rPr>
        <w:t xml:space="preserve">Providers seeking advice on interpretation of MBS items, explanatory notes and associated legislation can use the department’s email advice service by emailing </w:t>
      </w:r>
      <w:hyperlink r:id="rId16" w:history="1">
        <w:r w:rsidR="00D77FD7" w:rsidRPr="00DB3C7A">
          <w:rPr>
            <w:rStyle w:val="Hyperlink"/>
            <w:szCs w:val="22"/>
          </w:rPr>
          <w:t>askMBS@health.gov.au</w:t>
        </w:r>
      </w:hyperlink>
      <w:r w:rsidRPr="001873B1">
        <w:rPr>
          <w:szCs w:val="22"/>
        </w:rPr>
        <w:t>.</w:t>
      </w:r>
    </w:p>
    <w:p w14:paraId="1576DAF7" w14:textId="77777777" w:rsidR="00F05E52" w:rsidRDefault="00F05E52" w:rsidP="00F05E52">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hyperlink r:id="rId18"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9" w:history="1">
        <w:r w:rsidRPr="005E2D76">
          <w:rPr>
            <w:rStyle w:val="Hyperlink"/>
            <w:iCs/>
          </w:rPr>
          <w:t>Federal Register of Legislation</w:t>
        </w:r>
      </w:hyperlink>
      <w:r>
        <w:t xml:space="preserve">. If you have a query in relation to private health insurance, you should email </w:t>
      </w:r>
      <w:hyperlink r:id="rId20" w:history="1">
        <w:r>
          <w:rPr>
            <w:rStyle w:val="Hyperlink"/>
          </w:rPr>
          <w:t>PHI@health.gov.au</w:t>
        </w:r>
      </w:hyperlink>
      <w:r>
        <w:t>.</w:t>
      </w:r>
    </w:p>
    <w:p w14:paraId="0BBAF8B8" w14:textId="77777777" w:rsidR="00F05E52" w:rsidRPr="00867595" w:rsidRDefault="00F05E52" w:rsidP="00F05E52">
      <w:pPr>
        <w:rPr>
          <w:szCs w:val="22"/>
        </w:rPr>
      </w:pPr>
      <w:r w:rsidRPr="00867595">
        <w:rPr>
          <w:szCs w:val="22"/>
        </w:rPr>
        <w:t>Subscribe to ‘</w:t>
      </w:r>
      <w:hyperlink r:id="rId21"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1EE46D28" w14:textId="77777777" w:rsidR="00F05E52" w:rsidRDefault="00F05E52" w:rsidP="00F05E52">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3C3C67DB" w14:textId="77777777" w:rsidR="00F05E52" w:rsidRPr="00867595" w:rsidRDefault="00F05E52" w:rsidP="00F05E52">
      <w:pPr>
        <w:rPr>
          <w:szCs w:val="22"/>
        </w:rPr>
      </w:pPr>
      <w:r w:rsidRPr="00867595">
        <w:rPr>
          <w:szCs w:val="22"/>
        </w:rPr>
        <w:t xml:space="preserve">The data file for software vendors when available can be accessed via the </w:t>
      </w:r>
      <w:hyperlink r:id="rId22" w:history="1">
        <w:r w:rsidRPr="00C02732">
          <w:rPr>
            <w:rStyle w:val="Hyperlink"/>
            <w:szCs w:val="22"/>
          </w:rPr>
          <w:t>Downloads</w:t>
        </w:r>
      </w:hyperlink>
      <w:r w:rsidRPr="00867595">
        <w:rPr>
          <w:szCs w:val="22"/>
        </w:rPr>
        <w:t xml:space="preserve"> page.</w:t>
      </w:r>
    </w:p>
    <w:p w14:paraId="6B3998A9" w14:textId="77777777" w:rsidR="00F05E52" w:rsidRDefault="00F05E52">
      <w:pPr>
        <w:spacing w:before="0" w:after="0" w:line="240" w:lineRule="auto"/>
        <w:rPr>
          <w:rFonts w:cs="Arial"/>
          <w:b/>
          <w:bCs/>
          <w:iCs/>
          <w:color w:val="358189"/>
          <w:sz w:val="36"/>
          <w:szCs w:val="28"/>
        </w:rPr>
      </w:pPr>
      <w:r>
        <w:br w:type="page"/>
      </w:r>
    </w:p>
    <w:p w14:paraId="6D6EB19D" w14:textId="47D90249" w:rsidR="00BE3ED5" w:rsidRDefault="00BE3ED5" w:rsidP="00BE3ED5">
      <w:pPr>
        <w:pStyle w:val="Heading2"/>
      </w:pPr>
      <w:r>
        <w:lastRenderedPageBreak/>
        <w:t>Amended item descriptors (to take effect</w:t>
      </w:r>
      <w:r w:rsidR="009E4385">
        <w:t xml:space="preserve"> 1 July 2025</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B46CE72" w:rsidR="00BE3ED5" w:rsidRDefault="008437CA" w:rsidP="001210F8">
            <w:pPr>
              <w:rPr>
                <w:b w:val="0"/>
                <w:bCs w:val="0"/>
                <w:lang w:eastAsia="en-AU"/>
              </w:rPr>
            </w:pPr>
            <w:bookmarkStart w:id="4" w:name="_Hlk118987208"/>
            <w:r>
              <w:rPr>
                <w:lang w:eastAsia="en-AU"/>
              </w:rPr>
              <w:t>Category</w:t>
            </w:r>
            <w:r w:rsidR="00BD54CE">
              <w:rPr>
                <w:lang w:eastAsia="en-AU"/>
              </w:rPr>
              <w:t xml:space="preserve"> 6 – Pathology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5BEB0E81" w:rsidR="00BE3ED5" w:rsidRDefault="008437CA" w:rsidP="001210F8">
            <w:pPr>
              <w:rPr>
                <w:b w:val="0"/>
                <w:bCs w:val="0"/>
                <w:lang w:eastAsia="en-AU"/>
              </w:rPr>
            </w:pPr>
            <w:r>
              <w:rPr>
                <w:lang w:eastAsia="en-AU"/>
              </w:rPr>
              <w:t>Group</w:t>
            </w:r>
            <w:r w:rsidR="00BD54CE">
              <w:rPr>
                <w:lang w:eastAsia="en-AU"/>
              </w:rPr>
              <w:t xml:space="preserve"> P3 – Microbiology </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3794883D" w14:textId="77777777" w:rsidR="00642F20" w:rsidRPr="00642F20" w:rsidRDefault="00642F20" w:rsidP="00642F20">
            <w:pPr>
              <w:pStyle w:val="ListBullet"/>
              <w:rPr>
                <w:b w:val="0"/>
                <w:bCs w:val="0"/>
              </w:rPr>
            </w:pPr>
            <w:r w:rsidRPr="00642F20">
              <w:rPr>
                <w:b w:val="0"/>
                <w:bCs w:val="0"/>
              </w:rPr>
              <w:t>Private Health Insurance Classification:</w:t>
            </w:r>
          </w:p>
          <w:p w14:paraId="583B5F54" w14:textId="2A018079" w:rsidR="00642F20" w:rsidRPr="00642F20" w:rsidRDefault="00642F20" w:rsidP="00642F20">
            <w:pPr>
              <w:pStyle w:val="ListBullet"/>
              <w:rPr>
                <w:b w:val="0"/>
                <w:bCs w:val="0"/>
              </w:rPr>
            </w:pPr>
            <w:r w:rsidRPr="00642F20">
              <w:rPr>
                <w:b w:val="0"/>
                <w:bCs w:val="0"/>
              </w:rPr>
              <w:t xml:space="preserve">Clinical category: </w:t>
            </w:r>
            <w:r w:rsidR="00FA63E2" w:rsidRPr="00FA63E2">
              <w:rPr>
                <w:b w:val="0"/>
                <w:bCs w:val="0"/>
              </w:rPr>
              <w:t>Support list (pathology)</w:t>
            </w:r>
          </w:p>
          <w:p w14:paraId="2BDF063F" w14:textId="61C2471E" w:rsidR="00642F20" w:rsidRPr="00AA6575" w:rsidRDefault="00642F20" w:rsidP="00642F20">
            <w:pPr>
              <w:pStyle w:val="ListBullet"/>
            </w:pPr>
            <w:r w:rsidRPr="00642F20">
              <w:rPr>
                <w:b w:val="0"/>
                <w:bCs w:val="0"/>
              </w:rPr>
              <w:t xml:space="preserve">Procedure type: Type </w:t>
            </w:r>
            <w:r w:rsidR="00FA63E2">
              <w:rPr>
                <w:b w:val="0"/>
                <w:bCs w:val="0"/>
              </w:rPr>
              <w:t>C</w:t>
            </w:r>
          </w:p>
        </w:tc>
      </w:tr>
      <w:tr w:rsidR="00C04C0F" w:rsidRPr="00C04C0F" w14:paraId="398A0C81"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32829937" w:rsidR="00642F20" w:rsidRPr="00C04C0F" w:rsidRDefault="00D431C4" w:rsidP="00642F20">
            <w:pPr>
              <w:rPr>
                <w:rFonts w:cs="Arial"/>
                <w:b w:val="0"/>
                <w:bCs w:val="0"/>
                <w:color w:val="auto"/>
                <w:szCs w:val="22"/>
              </w:rPr>
            </w:pPr>
            <w:r w:rsidRPr="00C04C0F">
              <w:rPr>
                <w:rFonts w:cs="Arial"/>
                <w:b w:val="0"/>
                <w:bCs w:val="0"/>
                <w:color w:val="auto"/>
                <w:szCs w:val="22"/>
              </w:rPr>
              <w:t>69333</w:t>
            </w:r>
          </w:p>
          <w:p w14:paraId="3024A014" w14:textId="77777777" w:rsidR="00E12844" w:rsidRPr="00C04C0F" w:rsidRDefault="00E12844" w:rsidP="00E12844">
            <w:pPr>
              <w:pStyle w:val="Tabletext0"/>
              <w:rPr>
                <w:rFonts w:ascii="Arial" w:hAnsi="Arial" w:cs="Arial"/>
                <w:b w:val="0"/>
                <w:bCs w:val="0"/>
                <w:sz w:val="22"/>
                <w:szCs w:val="22"/>
              </w:rPr>
            </w:pPr>
            <w:r w:rsidRPr="00C04C0F">
              <w:rPr>
                <w:rFonts w:ascii="Arial" w:hAnsi="Arial" w:cs="Arial"/>
                <w:b w:val="0"/>
                <w:bCs w:val="0"/>
                <w:sz w:val="22"/>
                <w:szCs w:val="22"/>
              </w:rPr>
              <w:t>Urine examination (including serial examinations), if:</w:t>
            </w:r>
          </w:p>
          <w:p w14:paraId="081DFF67" w14:textId="77777777" w:rsidR="00E12844" w:rsidRPr="00C04C0F" w:rsidRDefault="00E12844" w:rsidP="00E12844">
            <w:pPr>
              <w:pStyle w:val="Tablea"/>
              <w:rPr>
                <w:rFonts w:ascii="Arial" w:hAnsi="Arial" w:cs="Arial"/>
                <w:b w:val="0"/>
                <w:bCs w:val="0"/>
                <w:sz w:val="22"/>
                <w:szCs w:val="22"/>
              </w:rPr>
            </w:pPr>
            <w:r w:rsidRPr="00C04C0F">
              <w:rPr>
                <w:rFonts w:ascii="Arial" w:hAnsi="Arial" w:cs="Arial"/>
                <w:b w:val="0"/>
                <w:bCs w:val="0"/>
                <w:sz w:val="22"/>
                <w:szCs w:val="22"/>
              </w:rPr>
              <w:t>(a) the patient has symptoms of urinary tract infection or kidney disease, or is a clinically</w:t>
            </w:r>
            <w:r w:rsidRPr="00C04C0F">
              <w:rPr>
                <w:rFonts w:ascii="Arial" w:hAnsi="Arial" w:cs="Arial"/>
                <w:b w:val="0"/>
                <w:bCs w:val="0"/>
                <w:sz w:val="22"/>
                <w:szCs w:val="22"/>
              </w:rPr>
              <w:noBreakHyphen/>
              <w:t>indicated asymptomatic patient who is:</w:t>
            </w:r>
          </w:p>
          <w:p w14:paraId="01DBC79F"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 pregnant; or</w:t>
            </w:r>
          </w:p>
          <w:p w14:paraId="6785D0E3"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(ii) less than 16 years of age; or</w:t>
            </w:r>
          </w:p>
          <w:p w14:paraId="13AB822A"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(iii) a renal transplant recipient; or</w:t>
            </w:r>
          </w:p>
          <w:p w14:paraId="35AD4CBE"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(iv) suffering from recurrent urinary tract infections; or</w:t>
            </w:r>
          </w:p>
          <w:p w14:paraId="5465D370"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(v) being investigated or monitored for kidney disease; or</w:t>
            </w:r>
          </w:p>
          <w:p w14:paraId="616D554A"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(vi) undergoing urinary tract instrumentation, a urological procedure or transurethral resection of the prostate; and</w:t>
            </w:r>
          </w:p>
          <w:p w14:paraId="3A6DDD69" w14:textId="77777777" w:rsidR="00E12844" w:rsidRPr="00C04C0F" w:rsidRDefault="00E12844" w:rsidP="00E12844">
            <w:pPr>
              <w:pStyle w:val="Tablea"/>
              <w:rPr>
                <w:rFonts w:ascii="Arial" w:hAnsi="Arial" w:cs="Arial"/>
                <w:b w:val="0"/>
                <w:bCs w:val="0"/>
                <w:sz w:val="22"/>
                <w:szCs w:val="22"/>
              </w:rPr>
            </w:pPr>
            <w:r w:rsidRPr="00C04C0F">
              <w:rPr>
                <w:rFonts w:ascii="Arial" w:hAnsi="Arial" w:cs="Arial"/>
                <w:b w:val="0"/>
                <w:bCs w:val="0"/>
                <w:sz w:val="22"/>
                <w:szCs w:val="22"/>
              </w:rPr>
              <w:t>(b) the examination is performed by any means other than simple culture by dip slide, including:</w:t>
            </w:r>
          </w:p>
          <w:p w14:paraId="23D3E3B5"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 cell count; and</w:t>
            </w:r>
          </w:p>
          <w:p w14:paraId="12D35313"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(ii) culture; and</w:t>
            </w:r>
          </w:p>
          <w:p w14:paraId="5026BBD8"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(iii) colony count; and</w:t>
            </w:r>
          </w:p>
          <w:p w14:paraId="7901334B"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(iv) (if performed) stained preparations; and</w:t>
            </w:r>
          </w:p>
          <w:p w14:paraId="3E19BEAE"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(v) (if performed) identification of cultured pathogens; and</w:t>
            </w:r>
          </w:p>
          <w:p w14:paraId="7CB4EB8E" w14:textId="77777777" w:rsidR="00E12844" w:rsidRPr="00C04C0F" w:rsidRDefault="00E12844" w:rsidP="00E12844">
            <w:pPr>
              <w:pStyle w:val="Tablei"/>
              <w:rPr>
                <w:rFonts w:ascii="Arial" w:hAnsi="Arial" w:cs="Arial"/>
                <w:b w:val="0"/>
                <w:bCs w:val="0"/>
                <w:sz w:val="22"/>
                <w:szCs w:val="22"/>
              </w:rPr>
            </w:pPr>
            <w:r w:rsidRPr="00C04C0F">
              <w:rPr>
                <w:rFonts w:ascii="Arial" w:hAnsi="Arial" w:cs="Arial"/>
                <w:b w:val="0"/>
                <w:bCs w:val="0"/>
                <w:sz w:val="22"/>
                <w:szCs w:val="22"/>
              </w:rPr>
              <w:t>(vi) (if performed) antibiotic susceptibility testing; and</w:t>
            </w:r>
          </w:p>
          <w:p w14:paraId="043C2A0A" w14:textId="5F473E10" w:rsidR="0037366E" w:rsidRPr="00C04C0F" w:rsidRDefault="00E12844" w:rsidP="00C04C0F">
            <w:pPr>
              <w:pStyle w:val="ListBullet"/>
              <w:ind w:left="544"/>
              <w:rPr>
                <w:rFonts w:cs="Arial"/>
                <w:b w:val="0"/>
                <w:bCs w:val="0"/>
                <w:color w:val="auto"/>
              </w:rPr>
            </w:pPr>
            <w:r w:rsidRPr="00C04C0F">
              <w:rPr>
                <w:rFonts w:cs="Arial"/>
                <w:b w:val="0"/>
                <w:bCs w:val="0"/>
                <w:color w:val="auto"/>
              </w:rPr>
              <w:t>(vii) (if performed) examination for pH, specific gravity, blood, protein, urobilinogen, sugar, acetone or bile salts</w:t>
            </w:r>
          </w:p>
          <w:p w14:paraId="5CA87BA7" w14:textId="53AD9294" w:rsidR="0037366E" w:rsidRPr="00C04C0F" w:rsidRDefault="0037366E" w:rsidP="0037366E">
            <w:pPr>
              <w:pStyle w:val="ListBullet"/>
              <w:rPr>
                <w:rFonts w:cs="Arial"/>
                <w:b w:val="0"/>
                <w:bCs w:val="0"/>
                <w:color w:val="auto"/>
              </w:rPr>
            </w:pPr>
            <w:r w:rsidRPr="00C04C0F">
              <w:rPr>
                <w:rFonts w:cs="Arial"/>
                <w:b w:val="0"/>
                <w:bCs w:val="0"/>
                <w:color w:val="auto"/>
              </w:rPr>
              <w:t>MBS fee: $20.55</w:t>
            </w:r>
          </w:p>
          <w:p w14:paraId="2F786A12" w14:textId="199F6DA9" w:rsidR="00642F20" w:rsidRPr="00C04C0F" w:rsidRDefault="0037366E" w:rsidP="0037366E">
            <w:pPr>
              <w:pStyle w:val="ListBullet"/>
              <w:rPr>
                <w:rFonts w:cs="Arial"/>
                <w:b w:val="0"/>
                <w:bCs w:val="0"/>
                <w:color w:val="auto"/>
              </w:rPr>
            </w:pPr>
            <w:r w:rsidRPr="00C04C0F">
              <w:rPr>
                <w:rFonts w:cs="Arial"/>
                <w:b w:val="0"/>
                <w:bCs w:val="0"/>
                <w:color w:val="auto"/>
              </w:rPr>
              <w:t xml:space="preserve">Benefit: </w:t>
            </w:r>
            <w:r w:rsidR="008928C5" w:rsidRPr="00C04C0F">
              <w:rPr>
                <w:rFonts w:cs="Arial"/>
                <w:b w:val="0"/>
                <w:bCs w:val="0"/>
                <w:color w:val="auto"/>
              </w:rPr>
              <w:t>75% = $15.45 85% = $17.50</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default"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E2D4" w14:textId="77777777" w:rsidR="00AF0E00" w:rsidRDefault="00AF0E00" w:rsidP="006B56BB">
      <w:r>
        <w:separator/>
      </w:r>
    </w:p>
    <w:p w14:paraId="502AE06B" w14:textId="77777777" w:rsidR="00AF0E00" w:rsidRDefault="00AF0E00"/>
  </w:endnote>
  <w:endnote w:type="continuationSeparator" w:id="0">
    <w:p w14:paraId="757BA5F6" w14:textId="77777777" w:rsidR="00AF0E00" w:rsidRDefault="00AF0E00" w:rsidP="006B56BB">
      <w:r>
        <w:continuationSeparator/>
      </w:r>
    </w:p>
    <w:p w14:paraId="239AC4D5" w14:textId="77777777" w:rsidR="00AF0E00" w:rsidRDefault="00AF0E00"/>
  </w:endnote>
  <w:endnote w:type="continuationNotice" w:id="1">
    <w:p w14:paraId="0E11A198" w14:textId="77777777" w:rsidR="00AF0E00" w:rsidRDefault="00AF0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49B9BD6" w:rsidR="00F51321" w:rsidRPr="00BD1D77" w:rsidRDefault="008928C5" w:rsidP="00F51321">
    <w:pPr>
      <w:pStyle w:val="Footer"/>
      <w:tabs>
        <w:tab w:val="clear" w:pos="9026"/>
        <w:tab w:val="right" w:pos="10466"/>
      </w:tabs>
      <w:rPr>
        <w:szCs w:val="20"/>
      </w:rPr>
    </w:pPr>
    <w:r w:rsidRPr="008928C5">
      <w:rPr>
        <w:b/>
        <w:szCs w:val="20"/>
      </w:rPr>
      <w:t xml:space="preserve">Amendments to Medicare Benefits Schedule (MBS) for urine testing in asymptomatic patients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00E56A5" w:rsidR="00CB03B8" w:rsidRPr="00F51321" w:rsidRDefault="00F51321" w:rsidP="00292535">
    <w:pPr>
      <w:pStyle w:val="Footer"/>
      <w:jc w:val="left"/>
    </w:pPr>
    <w:r w:rsidRPr="00BD1D77">
      <w:rPr>
        <w:szCs w:val="20"/>
      </w:rPr>
      <w:t>Last updated –</w:t>
    </w:r>
    <w:r w:rsidR="009503F1">
      <w:rPr>
        <w:szCs w:val="20"/>
      </w:rPr>
      <w:t xml:space="preserve"> </w:t>
    </w:r>
    <w:r w:rsidR="0038635B">
      <w:rPr>
        <w:szCs w:val="20"/>
      </w:rPr>
      <w:t>3 June</w:t>
    </w:r>
    <w:r w:rsidR="00E534D7" w:rsidRPr="00E266A4">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57A7E0D9" w:rsidR="00064168" w:rsidRPr="00BD1D77" w:rsidRDefault="009E4385" w:rsidP="00064168">
    <w:pPr>
      <w:pStyle w:val="Footer"/>
      <w:tabs>
        <w:tab w:val="clear" w:pos="9026"/>
        <w:tab w:val="right" w:pos="10466"/>
      </w:tabs>
      <w:rPr>
        <w:szCs w:val="20"/>
      </w:rPr>
    </w:pPr>
    <w:r w:rsidRPr="009E4385">
      <w:rPr>
        <w:b/>
        <w:szCs w:val="20"/>
      </w:rPr>
      <w:t xml:space="preserve">Amendments to Medicare Benefits Schedule (MBS) for urine testing in asymptomatic patients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D357BF8" w:rsidR="00064168" w:rsidRPr="00BD1D77" w:rsidRDefault="00064168" w:rsidP="00064168">
    <w:pPr>
      <w:pStyle w:val="Footer"/>
      <w:jc w:val="left"/>
      <w:rPr>
        <w:szCs w:val="20"/>
      </w:rPr>
    </w:pPr>
    <w:r w:rsidRPr="00BD1D77">
      <w:rPr>
        <w:szCs w:val="20"/>
      </w:rPr>
      <w:t xml:space="preserve">Last updated – </w:t>
    </w:r>
    <w:r w:rsidR="0038635B">
      <w:t>3 June</w:t>
    </w:r>
    <w:r w:rsidR="00E266A4" w:rsidRPr="00E266A4">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CB18" w14:textId="77777777" w:rsidR="00AF0E00" w:rsidRDefault="00AF0E00" w:rsidP="006B56BB">
      <w:r>
        <w:separator/>
      </w:r>
    </w:p>
    <w:p w14:paraId="30393B99" w14:textId="77777777" w:rsidR="00AF0E00" w:rsidRDefault="00AF0E00"/>
  </w:footnote>
  <w:footnote w:type="continuationSeparator" w:id="0">
    <w:p w14:paraId="69DF767F" w14:textId="77777777" w:rsidR="00AF0E00" w:rsidRDefault="00AF0E00" w:rsidP="006B56BB">
      <w:r>
        <w:continuationSeparator/>
      </w:r>
    </w:p>
    <w:p w14:paraId="3CD1E690" w14:textId="77777777" w:rsidR="00AF0E00" w:rsidRDefault="00AF0E00"/>
  </w:footnote>
  <w:footnote w:type="continuationNotice" w:id="1">
    <w:p w14:paraId="666CDFDA" w14:textId="77777777" w:rsidR="00AF0E00" w:rsidRDefault="00AF0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2CFE" w14:textId="25509130" w:rsidR="009503F1" w:rsidRDefault="009503F1" w:rsidP="009503F1">
    <w:pPr>
      <w:pStyle w:val="Header"/>
      <w:tabs>
        <w:tab w:val="clear" w:pos="4513"/>
        <w:tab w:val="clear" w:pos="9026"/>
        <w:tab w:val="left" w:pos="236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B43AF5A" w:rsidR="00B53987" w:rsidRDefault="00FD1ACF">
    <w:pPr>
      <w:pStyle w:val="Header"/>
    </w:pPr>
    <w:r>
      <w:rPr>
        <w:noProof/>
        <w:lang w:eastAsia="en-AU"/>
      </w:rPr>
      <w:drawing>
        <wp:inline distT="0" distB="0" distL="0" distR="0" wp14:anchorId="2BDF7845" wp14:editId="65EC94EE">
          <wp:extent cx="3343275" cy="533400"/>
          <wp:effectExtent l="0" t="0" r="9525" b="0"/>
          <wp:docPr id="578412223"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12223"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FF223B"/>
    <w:multiLevelType w:val="hybridMultilevel"/>
    <w:tmpl w:val="0644D722"/>
    <w:lvl w:ilvl="0" w:tplc="B0728626">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F00010"/>
    <w:multiLevelType w:val="hybridMultilevel"/>
    <w:tmpl w:val="3C586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622F84"/>
    <w:multiLevelType w:val="multilevel"/>
    <w:tmpl w:val="419A17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19E35A91"/>
    <w:multiLevelType w:val="hybridMultilevel"/>
    <w:tmpl w:val="A32097EE"/>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7AC7321"/>
    <w:multiLevelType w:val="multilevel"/>
    <w:tmpl w:val="1D56EBA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107808"/>
    <w:multiLevelType w:val="hybridMultilevel"/>
    <w:tmpl w:val="4540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5"/>
  </w:num>
  <w:num w:numId="4" w16cid:durableId="1616522112">
    <w:abstractNumId w:val="8"/>
  </w:num>
  <w:num w:numId="5" w16cid:durableId="1326863177">
    <w:abstractNumId w:val="8"/>
    <w:lvlOverride w:ilvl="0">
      <w:startOverride w:val="1"/>
    </w:lvlOverride>
  </w:num>
  <w:num w:numId="6" w16cid:durableId="312683612">
    <w:abstractNumId w:val="11"/>
  </w:num>
  <w:num w:numId="7" w16cid:durableId="816721464">
    <w:abstractNumId w:val="20"/>
  </w:num>
  <w:num w:numId="8" w16cid:durableId="565603559">
    <w:abstractNumId w:val="24"/>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3"/>
  </w:num>
  <w:num w:numId="18" w16cid:durableId="828592903">
    <w:abstractNumId w:val="16"/>
  </w:num>
  <w:num w:numId="19" w16cid:durableId="1273391997">
    <w:abstractNumId w:val="18"/>
  </w:num>
  <w:num w:numId="20" w16cid:durableId="2041469188">
    <w:abstractNumId w:val="13"/>
  </w:num>
  <w:num w:numId="21" w16cid:durableId="120997448">
    <w:abstractNumId w:val="18"/>
  </w:num>
  <w:num w:numId="22" w16cid:durableId="1088427743">
    <w:abstractNumId w:val="26"/>
  </w:num>
  <w:num w:numId="23" w16cid:durableId="111368400">
    <w:abstractNumId w:val="22"/>
  </w:num>
  <w:num w:numId="24" w16cid:durableId="815339056">
    <w:abstractNumId w:val="25"/>
  </w:num>
  <w:num w:numId="25" w16cid:durableId="743180995">
    <w:abstractNumId w:val="8"/>
  </w:num>
  <w:num w:numId="26" w16cid:durableId="320358050">
    <w:abstractNumId w:val="21"/>
  </w:num>
  <w:num w:numId="27" w16cid:durableId="508569404">
    <w:abstractNumId w:val="15"/>
  </w:num>
  <w:num w:numId="28" w16cid:durableId="1416364898">
    <w:abstractNumId w:val="17"/>
  </w:num>
  <w:num w:numId="29" w16cid:durableId="100344043">
    <w:abstractNumId w:val="12"/>
  </w:num>
  <w:num w:numId="30" w16cid:durableId="1575821124">
    <w:abstractNumId w:val="15"/>
  </w:num>
  <w:num w:numId="31" w16cid:durableId="1371295494">
    <w:abstractNumId w:val="23"/>
  </w:num>
  <w:num w:numId="32" w16cid:durableId="2022662250">
    <w:abstractNumId w:val="9"/>
  </w:num>
  <w:num w:numId="33" w16cid:durableId="275600162">
    <w:abstractNumId w:val="10"/>
  </w:num>
  <w:num w:numId="34" w16cid:durableId="1741832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8308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89D"/>
    <w:rsid w:val="00007457"/>
    <w:rsid w:val="00007FD8"/>
    <w:rsid w:val="000117F8"/>
    <w:rsid w:val="0001460F"/>
    <w:rsid w:val="0002135E"/>
    <w:rsid w:val="00022629"/>
    <w:rsid w:val="00024DFE"/>
    <w:rsid w:val="00025D46"/>
    <w:rsid w:val="00026139"/>
    <w:rsid w:val="00027601"/>
    <w:rsid w:val="00033321"/>
    <w:rsid w:val="000338E5"/>
    <w:rsid w:val="00033ECC"/>
    <w:rsid w:val="0003422F"/>
    <w:rsid w:val="00036FC2"/>
    <w:rsid w:val="00037544"/>
    <w:rsid w:val="00041164"/>
    <w:rsid w:val="00046FF0"/>
    <w:rsid w:val="00050176"/>
    <w:rsid w:val="00050342"/>
    <w:rsid w:val="00056A81"/>
    <w:rsid w:val="0006084F"/>
    <w:rsid w:val="00064168"/>
    <w:rsid w:val="00067456"/>
    <w:rsid w:val="00071506"/>
    <w:rsid w:val="0007154F"/>
    <w:rsid w:val="00080BAC"/>
    <w:rsid w:val="00081AB1"/>
    <w:rsid w:val="00090316"/>
    <w:rsid w:val="000921F8"/>
    <w:rsid w:val="00093981"/>
    <w:rsid w:val="000A20A7"/>
    <w:rsid w:val="000B067A"/>
    <w:rsid w:val="000B1540"/>
    <w:rsid w:val="000B1E53"/>
    <w:rsid w:val="000B2849"/>
    <w:rsid w:val="000B33FD"/>
    <w:rsid w:val="000B4ABA"/>
    <w:rsid w:val="000C0475"/>
    <w:rsid w:val="000C4B16"/>
    <w:rsid w:val="000C50C3"/>
    <w:rsid w:val="000C5E14"/>
    <w:rsid w:val="000D21F6"/>
    <w:rsid w:val="000D27EF"/>
    <w:rsid w:val="000D4500"/>
    <w:rsid w:val="000D7AEA"/>
    <w:rsid w:val="000E2C66"/>
    <w:rsid w:val="000F123C"/>
    <w:rsid w:val="000F29D3"/>
    <w:rsid w:val="000F2FED"/>
    <w:rsid w:val="000F6431"/>
    <w:rsid w:val="0010616D"/>
    <w:rsid w:val="00110478"/>
    <w:rsid w:val="00111901"/>
    <w:rsid w:val="001139B2"/>
    <w:rsid w:val="0011711B"/>
    <w:rsid w:val="00117F8A"/>
    <w:rsid w:val="001210F8"/>
    <w:rsid w:val="001211F6"/>
    <w:rsid w:val="00121B9B"/>
    <w:rsid w:val="00122ADC"/>
    <w:rsid w:val="001245EF"/>
    <w:rsid w:val="00126ED2"/>
    <w:rsid w:val="001302C2"/>
    <w:rsid w:val="00130F59"/>
    <w:rsid w:val="00133EC0"/>
    <w:rsid w:val="00141CE5"/>
    <w:rsid w:val="00144908"/>
    <w:rsid w:val="00153B6F"/>
    <w:rsid w:val="00156D96"/>
    <w:rsid w:val="001571C7"/>
    <w:rsid w:val="00161094"/>
    <w:rsid w:val="0017665C"/>
    <w:rsid w:val="00177AD2"/>
    <w:rsid w:val="001815A8"/>
    <w:rsid w:val="00182B23"/>
    <w:rsid w:val="001840FA"/>
    <w:rsid w:val="0018672D"/>
    <w:rsid w:val="00190079"/>
    <w:rsid w:val="0019622E"/>
    <w:rsid w:val="001966A7"/>
    <w:rsid w:val="0019761F"/>
    <w:rsid w:val="001A2646"/>
    <w:rsid w:val="001A4627"/>
    <w:rsid w:val="001A4979"/>
    <w:rsid w:val="001A5BE4"/>
    <w:rsid w:val="001A7873"/>
    <w:rsid w:val="001B15D3"/>
    <w:rsid w:val="001B1DFF"/>
    <w:rsid w:val="001B3443"/>
    <w:rsid w:val="001C0326"/>
    <w:rsid w:val="001C192F"/>
    <w:rsid w:val="001C3C42"/>
    <w:rsid w:val="001D7869"/>
    <w:rsid w:val="001E1B05"/>
    <w:rsid w:val="001F3FFD"/>
    <w:rsid w:val="00201DAF"/>
    <w:rsid w:val="002026CD"/>
    <w:rsid w:val="002033FC"/>
    <w:rsid w:val="002044BB"/>
    <w:rsid w:val="00210B09"/>
    <w:rsid w:val="00210C9E"/>
    <w:rsid w:val="00211840"/>
    <w:rsid w:val="00220E5F"/>
    <w:rsid w:val="002212B5"/>
    <w:rsid w:val="002258B3"/>
    <w:rsid w:val="00226668"/>
    <w:rsid w:val="00233809"/>
    <w:rsid w:val="00237A42"/>
    <w:rsid w:val="00240046"/>
    <w:rsid w:val="00241168"/>
    <w:rsid w:val="00242D68"/>
    <w:rsid w:val="002452BA"/>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4C93"/>
    <w:rsid w:val="00275FE7"/>
    <w:rsid w:val="00276CB4"/>
    <w:rsid w:val="002803AD"/>
    <w:rsid w:val="00282052"/>
    <w:rsid w:val="002831A3"/>
    <w:rsid w:val="0028519E"/>
    <w:rsid w:val="002856A5"/>
    <w:rsid w:val="002872ED"/>
    <w:rsid w:val="002905C2"/>
    <w:rsid w:val="00292535"/>
    <w:rsid w:val="00295AF2"/>
    <w:rsid w:val="00295C91"/>
    <w:rsid w:val="00297151"/>
    <w:rsid w:val="002A01B0"/>
    <w:rsid w:val="002B20E6"/>
    <w:rsid w:val="002B3D52"/>
    <w:rsid w:val="002B3DBA"/>
    <w:rsid w:val="002B42A3"/>
    <w:rsid w:val="002C0CDD"/>
    <w:rsid w:val="002C38C4"/>
    <w:rsid w:val="002C46AA"/>
    <w:rsid w:val="002D65A2"/>
    <w:rsid w:val="002E1A1D"/>
    <w:rsid w:val="002E4081"/>
    <w:rsid w:val="002E5B78"/>
    <w:rsid w:val="002F3AE3"/>
    <w:rsid w:val="003003A3"/>
    <w:rsid w:val="0030464B"/>
    <w:rsid w:val="0030786C"/>
    <w:rsid w:val="00317B29"/>
    <w:rsid w:val="003233DE"/>
    <w:rsid w:val="00323534"/>
    <w:rsid w:val="0032466B"/>
    <w:rsid w:val="003330EB"/>
    <w:rsid w:val="00333C73"/>
    <w:rsid w:val="0033520F"/>
    <w:rsid w:val="003415FD"/>
    <w:rsid w:val="003429F0"/>
    <w:rsid w:val="00345A82"/>
    <w:rsid w:val="00346183"/>
    <w:rsid w:val="0035097A"/>
    <w:rsid w:val="003540A4"/>
    <w:rsid w:val="00357BCC"/>
    <w:rsid w:val="00360E4E"/>
    <w:rsid w:val="00370AAA"/>
    <w:rsid w:val="0037366E"/>
    <w:rsid w:val="0037500F"/>
    <w:rsid w:val="00375F77"/>
    <w:rsid w:val="00381BBE"/>
    <w:rsid w:val="00382903"/>
    <w:rsid w:val="003832F8"/>
    <w:rsid w:val="00383EC2"/>
    <w:rsid w:val="003846FF"/>
    <w:rsid w:val="003857D4"/>
    <w:rsid w:val="00385AD4"/>
    <w:rsid w:val="00385C01"/>
    <w:rsid w:val="0038635B"/>
    <w:rsid w:val="00387182"/>
    <w:rsid w:val="00387924"/>
    <w:rsid w:val="0039384D"/>
    <w:rsid w:val="00395C23"/>
    <w:rsid w:val="003A02E9"/>
    <w:rsid w:val="003A2E4F"/>
    <w:rsid w:val="003A4438"/>
    <w:rsid w:val="003A5013"/>
    <w:rsid w:val="003A5078"/>
    <w:rsid w:val="003A62DD"/>
    <w:rsid w:val="003A775A"/>
    <w:rsid w:val="003A7C67"/>
    <w:rsid w:val="003B1213"/>
    <w:rsid w:val="003B213A"/>
    <w:rsid w:val="003B43AD"/>
    <w:rsid w:val="003C0FEC"/>
    <w:rsid w:val="003C2AC8"/>
    <w:rsid w:val="003D033A"/>
    <w:rsid w:val="003D17F9"/>
    <w:rsid w:val="003D2D88"/>
    <w:rsid w:val="003D419D"/>
    <w:rsid w:val="003D41EA"/>
    <w:rsid w:val="003D4850"/>
    <w:rsid w:val="003D535A"/>
    <w:rsid w:val="003E5265"/>
    <w:rsid w:val="003F08F4"/>
    <w:rsid w:val="003F0955"/>
    <w:rsid w:val="003F0F91"/>
    <w:rsid w:val="003F5F4D"/>
    <w:rsid w:val="003F646F"/>
    <w:rsid w:val="00400F00"/>
    <w:rsid w:val="00404F8B"/>
    <w:rsid w:val="00405256"/>
    <w:rsid w:val="00405ADD"/>
    <w:rsid w:val="00410031"/>
    <w:rsid w:val="0041396D"/>
    <w:rsid w:val="00415C81"/>
    <w:rsid w:val="00421264"/>
    <w:rsid w:val="004258F0"/>
    <w:rsid w:val="00432378"/>
    <w:rsid w:val="0043424A"/>
    <w:rsid w:val="00440D65"/>
    <w:rsid w:val="004435E6"/>
    <w:rsid w:val="00447E31"/>
    <w:rsid w:val="00453923"/>
    <w:rsid w:val="00454200"/>
    <w:rsid w:val="00454B9B"/>
    <w:rsid w:val="0045623E"/>
    <w:rsid w:val="00457858"/>
    <w:rsid w:val="00460B0B"/>
    <w:rsid w:val="00461023"/>
    <w:rsid w:val="00462FAC"/>
    <w:rsid w:val="00464631"/>
    <w:rsid w:val="00464B79"/>
    <w:rsid w:val="00467BBF"/>
    <w:rsid w:val="00475674"/>
    <w:rsid w:val="0048593C"/>
    <w:rsid w:val="004867E2"/>
    <w:rsid w:val="00490FFF"/>
    <w:rsid w:val="004929A9"/>
    <w:rsid w:val="004A78D9"/>
    <w:rsid w:val="004C1BCD"/>
    <w:rsid w:val="004C6BCF"/>
    <w:rsid w:val="004D58BF"/>
    <w:rsid w:val="004D5E3F"/>
    <w:rsid w:val="004E4335"/>
    <w:rsid w:val="004E5226"/>
    <w:rsid w:val="004F080F"/>
    <w:rsid w:val="004F13EE"/>
    <w:rsid w:val="004F2022"/>
    <w:rsid w:val="004F3194"/>
    <w:rsid w:val="004F7C05"/>
    <w:rsid w:val="004F7F07"/>
    <w:rsid w:val="00501C94"/>
    <w:rsid w:val="00506432"/>
    <w:rsid w:val="00506E82"/>
    <w:rsid w:val="0051137C"/>
    <w:rsid w:val="005164AE"/>
    <w:rsid w:val="005173B4"/>
    <w:rsid w:val="0052051D"/>
    <w:rsid w:val="00525479"/>
    <w:rsid w:val="00532CA6"/>
    <w:rsid w:val="0053763F"/>
    <w:rsid w:val="005379D0"/>
    <w:rsid w:val="00545DC4"/>
    <w:rsid w:val="00545EE6"/>
    <w:rsid w:val="005550E7"/>
    <w:rsid w:val="005564FB"/>
    <w:rsid w:val="0055706A"/>
    <w:rsid w:val="005572C7"/>
    <w:rsid w:val="00564721"/>
    <w:rsid w:val="005650ED"/>
    <w:rsid w:val="00566B81"/>
    <w:rsid w:val="00575754"/>
    <w:rsid w:val="00581FBA"/>
    <w:rsid w:val="0058297C"/>
    <w:rsid w:val="005858A4"/>
    <w:rsid w:val="00591E20"/>
    <w:rsid w:val="005920E7"/>
    <w:rsid w:val="00595408"/>
    <w:rsid w:val="00595E84"/>
    <w:rsid w:val="005A0838"/>
    <w:rsid w:val="005A0C59"/>
    <w:rsid w:val="005A48EB"/>
    <w:rsid w:val="005A6CFB"/>
    <w:rsid w:val="005A79A5"/>
    <w:rsid w:val="005C5146"/>
    <w:rsid w:val="005C5AEB"/>
    <w:rsid w:val="005D0E3C"/>
    <w:rsid w:val="005D39A1"/>
    <w:rsid w:val="005D4385"/>
    <w:rsid w:val="005D5F4E"/>
    <w:rsid w:val="005E0A3F"/>
    <w:rsid w:val="005E1AF9"/>
    <w:rsid w:val="005E2D76"/>
    <w:rsid w:val="005E2D77"/>
    <w:rsid w:val="005E659D"/>
    <w:rsid w:val="005E6883"/>
    <w:rsid w:val="005E772F"/>
    <w:rsid w:val="005F4ECA"/>
    <w:rsid w:val="005F5F7C"/>
    <w:rsid w:val="006008B4"/>
    <w:rsid w:val="006041BE"/>
    <w:rsid w:val="006042E7"/>
    <w:rsid w:val="006043C7"/>
    <w:rsid w:val="00607CD5"/>
    <w:rsid w:val="00612BC5"/>
    <w:rsid w:val="00624B52"/>
    <w:rsid w:val="00630794"/>
    <w:rsid w:val="00631142"/>
    <w:rsid w:val="00631DF4"/>
    <w:rsid w:val="00634175"/>
    <w:rsid w:val="0063574E"/>
    <w:rsid w:val="006408AC"/>
    <w:rsid w:val="00642F20"/>
    <w:rsid w:val="00645F2B"/>
    <w:rsid w:val="006511B6"/>
    <w:rsid w:val="00657FF8"/>
    <w:rsid w:val="0066179F"/>
    <w:rsid w:val="0066598A"/>
    <w:rsid w:val="00670D99"/>
    <w:rsid w:val="00670E2B"/>
    <w:rsid w:val="006734BB"/>
    <w:rsid w:val="0067467E"/>
    <w:rsid w:val="0067697A"/>
    <w:rsid w:val="006821EB"/>
    <w:rsid w:val="00693A51"/>
    <w:rsid w:val="006941CD"/>
    <w:rsid w:val="006A0031"/>
    <w:rsid w:val="006A1F45"/>
    <w:rsid w:val="006A329E"/>
    <w:rsid w:val="006B0556"/>
    <w:rsid w:val="006B11DC"/>
    <w:rsid w:val="006B2286"/>
    <w:rsid w:val="006B56BB"/>
    <w:rsid w:val="006C085B"/>
    <w:rsid w:val="006C6F4B"/>
    <w:rsid w:val="006C77A8"/>
    <w:rsid w:val="006D1E19"/>
    <w:rsid w:val="006D22A7"/>
    <w:rsid w:val="006D4098"/>
    <w:rsid w:val="006D67F4"/>
    <w:rsid w:val="006D7681"/>
    <w:rsid w:val="006D7B2E"/>
    <w:rsid w:val="006E02EA"/>
    <w:rsid w:val="006E0968"/>
    <w:rsid w:val="006E2AF6"/>
    <w:rsid w:val="006F5073"/>
    <w:rsid w:val="00701275"/>
    <w:rsid w:val="00701513"/>
    <w:rsid w:val="007040AC"/>
    <w:rsid w:val="00707606"/>
    <w:rsid w:val="00707F56"/>
    <w:rsid w:val="00713558"/>
    <w:rsid w:val="00720D08"/>
    <w:rsid w:val="007263B9"/>
    <w:rsid w:val="007275D5"/>
    <w:rsid w:val="00731255"/>
    <w:rsid w:val="007334F8"/>
    <w:rsid w:val="007339CD"/>
    <w:rsid w:val="007359D8"/>
    <w:rsid w:val="007362D4"/>
    <w:rsid w:val="007405EC"/>
    <w:rsid w:val="00744B30"/>
    <w:rsid w:val="007458A4"/>
    <w:rsid w:val="00746C16"/>
    <w:rsid w:val="00756527"/>
    <w:rsid w:val="00764CD6"/>
    <w:rsid w:val="0076672A"/>
    <w:rsid w:val="007723A7"/>
    <w:rsid w:val="0077512D"/>
    <w:rsid w:val="00775E45"/>
    <w:rsid w:val="00776740"/>
    <w:rsid w:val="00776E74"/>
    <w:rsid w:val="00785169"/>
    <w:rsid w:val="00792EB2"/>
    <w:rsid w:val="007949E7"/>
    <w:rsid w:val="007954AB"/>
    <w:rsid w:val="0079765E"/>
    <w:rsid w:val="007A14C5"/>
    <w:rsid w:val="007A4A10"/>
    <w:rsid w:val="007B1750"/>
    <w:rsid w:val="007B1760"/>
    <w:rsid w:val="007C1FDC"/>
    <w:rsid w:val="007C31DD"/>
    <w:rsid w:val="007C32D9"/>
    <w:rsid w:val="007C343D"/>
    <w:rsid w:val="007C594F"/>
    <w:rsid w:val="007C6D9C"/>
    <w:rsid w:val="007C7DDB"/>
    <w:rsid w:val="007D2CC7"/>
    <w:rsid w:val="007D673D"/>
    <w:rsid w:val="007E0068"/>
    <w:rsid w:val="007E0FB8"/>
    <w:rsid w:val="007E4D09"/>
    <w:rsid w:val="007F2220"/>
    <w:rsid w:val="007F4B3E"/>
    <w:rsid w:val="00810E33"/>
    <w:rsid w:val="0081173F"/>
    <w:rsid w:val="008127AF"/>
    <w:rsid w:val="00812B46"/>
    <w:rsid w:val="00815700"/>
    <w:rsid w:val="0082246B"/>
    <w:rsid w:val="008264EB"/>
    <w:rsid w:val="00826B8F"/>
    <w:rsid w:val="00831246"/>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86CE8"/>
    <w:rsid w:val="008928C5"/>
    <w:rsid w:val="0089677E"/>
    <w:rsid w:val="00897134"/>
    <w:rsid w:val="008A7438"/>
    <w:rsid w:val="008A7494"/>
    <w:rsid w:val="008B1334"/>
    <w:rsid w:val="008B25C7"/>
    <w:rsid w:val="008C0278"/>
    <w:rsid w:val="008C24E9"/>
    <w:rsid w:val="008C6D9A"/>
    <w:rsid w:val="008D0533"/>
    <w:rsid w:val="008D3C27"/>
    <w:rsid w:val="008D42CB"/>
    <w:rsid w:val="008D48C9"/>
    <w:rsid w:val="008D6381"/>
    <w:rsid w:val="008E0C77"/>
    <w:rsid w:val="008E625F"/>
    <w:rsid w:val="008F264D"/>
    <w:rsid w:val="009040E9"/>
    <w:rsid w:val="009074E1"/>
    <w:rsid w:val="009112F7"/>
    <w:rsid w:val="009122AF"/>
    <w:rsid w:val="00912D54"/>
    <w:rsid w:val="0091389F"/>
    <w:rsid w:val="0092054C"/>
    <w:rsid w:val="009208F7"/>
    <w:rsid w:val="00921649"/>
    <w:rsid w:val="00921B55"/>
    <w:rsid w:val="00922517"/>
    <w:rsid w:val="00922722"/>
    <w:rsid w:val="00925A01"/>
    <w:rsid w:val="009261E6"/>
    <w:rsid w:val="009268E1"/>
    <w:rsid w:val="009271EE"/>
    <w:rsid w:val="0093226A"/>
    <w:rsid w:val="009344AE"/>
    <w:rsid w:val="009344DE"/>
    <w:rsid w:val="00945E7F"/>
    <w:rsid w:val="009500F7"/>
    <w:rsid w:val="009503F1"/>
    <w:rsid w:val="009518C7"/>
    <w:rsid w:val="009557C1"/>
    <w:rsid w:val="00955899"/>
    <w:rsid w:val="0096099B"/>
    <w:rsid w:val="00960D6E"/>
    <w:rsid w:val="009627E6"/>
    <w:rsid w:val="00974483"/>
    <w:rsid w:val="009746B8"/>
    <w:rsid w:val="00974B59"/>
    <w:rsid w:val="0098166B"/>
    <w:rsid w:val="0098340B"/>
    <w:rsid w:val="00986830"/>
    <w:rsid w:val="009924C3"/>
    <w:rsid w:val="00993102"/>
    <w:rsid w:val="009A3E73"/>
    <w:rsid w:val="009B1570"/>
    <w:rsid w:val="009B4747"/>
    <w:rsid w:val="009C6F10"/>
    <w:rsid w:val="009D148F"/>
    <w:rsid w:val="009D3D70"/>
    <w:rsid w:val="009E1C02"/>
    <w:rsid w:val="009E4385"/>
    <w:rsid w:val="009E4C3D"/>
    <w:rsid w:val="009E6F7E"/>
    <w:rsid w:val="009E7242"/>
    <w:rsid w:val="009E7A57"/>
    <w:rsid w:val="009F2ABC"/>
    <w:rsid w:val="009F4803"/>
    <w:rsid w:val="009F4F6A"/>
    <w:rsid w:val="009F5046"/>
    <w:rsid w:val="009F5138"/>
    <w:rsid w:val="00A01709"/>
    <w:rsid w:val="00A02D23"/>
    <w:rsid w:val="00A13EB5"/>
    <w:rsid w:val="00A16E36"/>
    <w:rsid w:val="00A23012"/>
    <w:rsid w:val="00A24961"/>
    <w:rsid w:val="00A24B10"/>
    <w:rsid w:val="00A277EF"/>
    <w:rsid w:val="00A3012A"/>
    <w:rsid w:val="00A30E9B"/>
    <w:rsid w:val="00A34BD0"/>
    <w:rsid w:val="00A40B51"/>
    <w:rsid w:val="00A4512D"/>
    <w:rsid w:val="00A50244"/>
    <w:rsid w:val="00A627D7"/>
    <w:rsid w:val="00A62C8A"/>
    <w:rsid w:val="00A656C7"/>
    <w:rsid w:val="00A705AF"/>
    <w:rsid w:val="00A719F6"/>
    <w:rsid w:val="00A72454"/>
    <w:rsid w:val="00A77696"/>
    <w:rsid w:val="00A80557"/>
    <w:rsid w:val="00A81D33"/>
    <w:rsid w:val="00A8341C"/>
    <w:rsid w:val="00A83A8F"/>
    <w:rsid w:val="00A85979"/>
    <w:rsid w:val="00A8695F"/>
    <w:rsid w:val="00A930AE"/>
    <w:rsid w:val="00A94E74"/>
    <w:rsid w:val="00A95749"/>
    <w:rsid w:val="00AA1A95"/>
    <w:rsid w:val="00AA260F"/>
    <w:rsid w:val="00AB0705"/>
    <w:rsid w:val="00AB1DB1"/>
    <w:rsid w:val="00AB1EE7"/>
    <w:rsid w:val="00AB2B2E"/>
    <w:rsid w:val="00AB4B37"/>
    <w:rsid w:val="00AB5762"/>
    <w:rsid w:val="00AB7230"/>
    <w:rsid w:val="00AC1A51"/>
    <w:rsid w:val="00AC2679"/>
    <w:rsid w:val="00AC4BE4"/>
    <w:rsid w:val="00AC6513"/>
    <w:rsid w:val="00AD05E6"/>
    <w:rsid w:val="00AD0D3F"/>
    <w:rsid w:val="00AE1D7D"/>
    <w:rsid w:val="00AE29C7"/>
    <w:rsid w:val="00AE2A8B"/>
    <w:rsid w:val="00AE3F64"/>
    <w:rsid w:val="00AF0E00"/>
    <w:rsid w:val="00AF690F"/>
    <w:rsid w:val="00AF7386"/>
    <w:rsid w:val="00AF7934"/>
    <w:rsid w:val="00B00B81"/>
    <w:rsid w:val="00B04580"/>
    <w:rsid w:val="00B04B09"/>
    <w:rsid w:val="00B10ED1"/>
    <w:rsid w:val="00B1514A"/>
    <w:rsid w:val="00B16A51"/>
    <w:rsid w:val="00B24CDD"/>
    <w:rsid w:val="00B27A99"/>
    <w:rsid w:val="00B32222"/>
    <w:rsid w:val="00B32567"/>
    <w:rsid w:val="00B3618D"/>
    <w:rsid w:val="00B36233"/>
    <w:rsid w:val="00B42851"/>
    <w:rsid w:val="00B45350"/>
    <w:rsid w:val="00B45AC7"/>
    <w:rsid w:val="00B5372F"/>
    <w:rsid w:val="00B53987"/>
    <w:rsid w:val="00B54F04"/>
    <w:rsid w:val="00B568C1"/>
    <w:rsid w:val="00B61129"/>
    <w:rsid w:val="00B619DA"/>
    <w:rsid w:val="00B67E7F"/>
    <w:rsid w:val="00B74FFE"/>
    <w:rsid w:val="00B76DB3"/>
    <w:rsid w:val="00B839B2"/>
    <w:rsid w:val="00B8662B"/>
    <w:rsid w:val="00B873A0"/>
    <w:rsid w:val="00B9332E"/>
    <w:rsid w:val="00B94252"/>
    <w:rsid w:val="00B9715A"/>
    <w:rsid w:val="00BA14BE"/>
    <w:rsid w:val="00BA25D5"/>
    <w:rsid w:val="00BA2732"/>
    <w:rsid w:val="00BA293D"/>
    <w:rsid w:val="00BA49BC"/>
    <w:rsid w:val="00BA56B7"/>
    <w:rsid w:val="00BA7A1E"/>
    <w:rsid w:val="00BB2F6C"/>
    <w:rsid w:val="00BB3875"/>
    <w:rsid w:val="00BB5860"/>
    <w:rsid w:val="00BB6AAD"/>
    <w:rsid w:val="00BC320E"/>
    <w:rsid w:val="00BC4A19"/>
    <w:rsid w:val="00BC4E6D"/>
    <w:rsid w:val="00BD0617"/>
    <w:rsid w:val="00BD0A9E"/>
    <w:rsid w:val="00BD1D77"/>
    <w:rsid w:val="00BD2E9B"/>
    <w:rsid w:val="00BD50C6"/>
    <w:rsid w:val="00BD54CE"/>
    <w:rsid w:val="00BD7FB2"/>
    <w:rsid w:val="00BE3ED5"/>
    <w:rsid w:val="00BE42C7"/>
    <w:rsid w:val="00BE7AED"/>
    <w:rsid w:val="00C00930"/>
    <w:rsid w:val="00C025D9"/>
    <w:rsid w:val="00C02732"/>
    <w:rsid w:val="00C04C0F"/>
    <w:rsid w:val="00C060AD"/>
    <w:rsid w:val="00C113BF"/>
    <w:rsid w:val="00C2176E"/>
    <w:rsid w:val="00C22E29"/>
    <w:rsid w:val="00C23430"/>
    <w:rsid w:val="00C27D67"/>
    <w:rsid w:val="00C3050E"/>
    <w:rsid w:val="00C3754E"/>
    <w:rsid w:val="00C404E7"/>
    <w:rsid w:val="00C40A0E"/>
    <w:rsid w:val="00C41DFF"/>
    <w:rsid w:val="00C435AF"/>
    <w:rsid w:val="00C4631F"/>
    <w:rsid w:val="00C47CDE"/>
    <w:rsid w:val="00C50E16"/>
    <w:rsid w:val="00C55258"/>
    <w:rsid w:val="00C708B9"/>
    <w:rsid w:val="00C71A8A"/>
    <w:rsid w:val="00C75FA3"/>
    <w:rsid w:val="00C82EEB"/>
    <w:rsid w:val="00C904E8"/>
    <w:rsid w:val="00C971DC"/>
    <w:rsid w:val="00CA16B7"/>
    <w:rsid w:val="00CA62AE"/>
    <w:rsid w:val="00CB03B8"/>
    <w:rsid w:val="00CB1A91"/>
    <w:rsid w:val="00CB5B1A"/>
    <w:rsid w:val="00CC220B"/>
    <w:rsid w:val="00CC5C43"/>
    <w:rsid w:val="00CC6914"/>
    <w:rsid w:val="00CC7131"/>
    <w:rsid w:val="00CD02AE"/>
    <w:rsid w:val="00CD2A4F"/>
    <w:rsid w:val="00CD41E4"/>
    <w:rsid w:val="00CE03CA"/>
    <w:rsid w:val="00CE22F1"/>
    <w:rsid w:val="00CE23D6"/>
    <w:rsid w:val="00CE4255"/>
    <w:rsid w:val="00CE50F2"/>
    <w:rsid w:val="00CE6502"/>
    <w:rsid w:val="00CF1633"/>
    <w:rsid w:val="00CF7D3C"/>
    <w:rsid w:val="00D01F09"/>
    <w:rsid w:val="00D03527"/>
    <w:rsid w:val="00D147EB"/>
    <w:rsid w:val="00D201A9"/>
    <w:rsid w:val="00D27E71"/>
    <w:rsid w:val="00D34667"/>
    <w:rsid w:val="00D401E1"/>
    <w:rsid w:val="00D408B4"/>
    <w:rsid w:val="00D4156F"/>
    <w:rsid w:val="00D431C4"/>
    <w:rsid w:val="00D44330"/>
    <w:rsid w:val="00D447C1"/>
    <w:rsid w:val="00D45404"/>
    <w:rsid w:val="00D524C8"/>
    <w:rsid w:val="00D53F0D"/>
    <w:rsid w:val="00D6484D"/>
    <w:rsid w:val="00D70E24"/>
    <w:rsid w:val="00D72B61"/>
    <w:rsid w:val="00D77FD7"/>
    <w:rsid w:val="00D80497"/>
    <w:rsid w:val="00D8649F"/>
    <w:rsid w:val="00D92A36"/>
    <w:rsid w:val="00DA3D1D"/>
    <w:rsid w:val="00DB0621"/>
    <w:rsid w:val="00DB6286"/>
    <w:rsid w:val="00DB645F"/>
    <w:rsid w:val="00DB76E9"/>
    <w:rsid w:val="00DC0A67"/>
    <w:rsid w:val="00DC1D5E"/>
    <w:rsid w:val="00DC2498"/>
    <w:rsid w:val="00DC5220"/>
    <w:rsid w:val="00DC6EFF"/>
    <w:rsid w:val="00DD2061"/>
    <w:rsid w:val="00DD31B6"/>
    <w:rsid w:val="00DD4635"/>
    <w:rsid w:val="00DD7DAB"/>
    <w:rsid w:val="00DE3355"/>
    <w:rsid w:val="00DF0C60"/>
    <w:rsid w:val="00DF486F"/>
    <w:rsid w:val="00DF5B5B"/>
    <w:rsid w:val="00DF7619"/>
    <w:rsid w:val="00E010E4"/>
    <w:rsid w:val="00E042D8"/>
    <w:rsid w:val="00E07EE7"/>
    <w:rsid w:val="00E1103B"/>
    <w:rsid w:val="00E12844"/>
    <w:rsid w:val="00E1323F"/>
    <w:rsid w:val="00E17B44"/>
    <w:rsid w:val="00E20F27"/>
    <w:rsid w:val="00E22443"/>
    <w:rsid w:val="00E25B1F"/>
    <w:rsid w:val="00E266A4"/>
    <w:rsid w:val="00E27FEA"/>
    <w:rsid w:val="00E3215D"/>
    <w:rsid w:val="00E34226"/>
    <w:rsid w:val="00E35B07"/>
    <w:rsid w:val="00E37C62"/>
    <w:rsid w:val="00E4086F"/>
    <w:rsid w:val="00E433FC"/>
    <w:rsid w:val="00E43B3C"/>
    <w:rsid w:val="00E50188"/>
    <w:rsid w:val="00E50BB3"/>
    <w:rsid w:val="00E515CB"/>
    <w:rsid w:val="00E52260"/>
    <w:rsid w:val="00E534D7"/>
    <w:rsid w:val="00E538AE"/>
    <w:rsid w:val="00E57CED"/>
    <w:rsid w:val="00E639B6"/>
    <w:rsid w:val="00E6434B"/>
    <w:rsid w:val="00E6463D"/>
    <w:rsid w:val="00E71492"/>
    <w:rsid w:val="00E72E9B"/>
    <w:rsid w:val="00E75E55"/>
    <w:rsid w:val="00E76984"/>
    <w:rsid w:val="00E850C3"/>
    <w:rsid w:val="00E87DF2"/>
    <w:rsid w:val="00E91038"/>
    <w:rsid w:val="00E9462E"/>
    <w:rsid w:val="00EA092C"/>
    <w:rsid w:val="00EA470E"/>
    <w:rsid w:val="00EA47A7"/>
    <w:rsid w:val="00EA57EB"/>
    <w:rsid w:val="00EB0B2A"/>
    <w:rsid w:val="00EB3226"/>
    <w:rsid w:val="00EC213A"/>
    <w:rsid w:val="00EC3C23"/>
    <w:rsid w:val="00EC58CB"/>
    <w:rsid w:val="00EC7744"/>
    <w:rsid w:val="00ED0DAD"/>
    <w:rsid w:val="00ED0F46"/>
    <w:rsid w:val="00ED2373"/>
    <w:rsid w:val="00ED24F9"/>
    <w:rsid w:val="00ED2598"/>
    <w:rsid w:val="00ED2E38"/>
    <w:rsid w:val="00EE39F4"/>
    <w:rsid w:val="00EE3E8A"/>
    <w:rsid w:val="00EF58B8"/>
    <w:rsid w:val="00EF6D86"/>
    <w:rsid w:val="00EF6ECA"/>
    <w:rsid w:val="00F024E1"/>
    <w:rsid w:val="00F03E05"/>
    <w:rsid w:val="00F04529"/>
    <w:rsid w:val="00F05E52"/>
    <w:rsid w:val="00F06C10"/>
    <w:rsid w:val="00F1096F"/>
    <w:rsid w:val="00F12589"/>
    <w:rsid w:val="00F12595"/>
    <w:rsid w:val="00F134D9"/>
    <w:rsid w:val="00F1403D"/>
    <w:rsid w:val="00F1463F"/>
    <w:rsid w:val="00F21302"/>
    <w:rsid w:val="00F237B2"/>
    <w:rsid w:val="00F2430D"/>
    <w:rsid w:val="00F321DE"/>
    <w:rsid w:val="00F33777"/>
    <w:rsid w:val="00F35043"/>
    <w:rsid w:val="00F40648"/>
    <w:rsid w:val="00F47DA2"/>
    <w:rsid w:val="00F50993"/>
    <w:rsid w:val="00F51321"/>
    <w:rsid w:val="00F519FC"/>
    <w:rsid w:val="00F6239D"/>
    <w:rsid w:val="00F715D2"/>
    <w:rsid w:val="00F7274F"/>
    <w:rsid w:val="00F74E84"/>
    <w:rsid w:val="00F7615B"/>
    <w:rsid w:val="00F76FA8"/>
    <w:rsid w:val="00F85AFE"/>
    <w:rsid w:val="00F9397A"/>
    <w:rsid w:val="00F93F08"/>
    <w:rsid w:val="00F94CED"/>
    <w:rsid w:val="00FA02BB"/>
    <w:rsid w:val="00FA2CEE"/>
    <w:rsid w:val="00FA318C"/>
    <w:rsid w:val="00FA63E2"/>
    <w:rsid w:val="00FB3661"/>
    <w:rsid w:val="00FB5681"/>
    <w:rsid w:val="00FB6452"/>
    <w:rsid w:val="00FB6F92"/>
    <w:rsid w:val="00FC026E"/>
    <w:rsid w:val="00FC0890"/>
    <w:rsid w:val="00FC5124"/>
    <w:rsid w:val="00FD0155"/>
    <w:rsid w:val="00FD09DF"/>
    <w:rsid w:val="00FD1ACF"/>
    <w:rsid w:val="00FD4731"/>
    <w:rsid w:val="00FD6768"/>
    <w:rsid w:val="00FF0AB0"/>
    <w:rsid w:val="00FF28AC"/>
    <w:rsid w:val="00FF777D"/>
    <w:rsid w:val="00FF7F62"/>
    <w:rsid w:val="06D43151"/>
    <w:rsid w:val="10215DFF"/>
    <w:rsid w:val="14682688"/>
    <w:rsid w:val="19D5796A"/>
    <w:rsid w:val="1ECE4356"/>
    <w:rsid w:val="26B82058"/>
    <w:rsid w:val="2CF58953"/>
    <w:rsid w:val="37A8CB26"/>
    <w:rsid w:val="6E351CC2"/>
    <w:rsid w:val="6F9CE305"/>
    <w:rsid w:val="71E4DF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7366E"/>
    <w:rPr>
      <w:rFonts w:ascii="Arial" w:hAnsi="Arial"/>
      <w:color w:val="000000" w:themeColor="text1"/>
      <w:sz w:val="22"/>
      <w:szCs w:val="24"/>
      <w:lang w:eastAsia="en-US"/>
    </w:rPr>
  </w:style>
  <w:style w:type="paragraph" w:customStyle="1" w:styleId="Tablea">
    <w:name w:val="Table(a)"/>
    <w:aliases w:val="ta"/>
    <w:basedOn w:val="Normal"/>
    <w:rsid w:val="00E12844"/>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E12844"/>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E12844"/>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E1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taskforce-final-report-diagnostic-medicine-clinical-committee?language=en" TargetMode="External"/><Relationship Id="rId13" Type="http://schemas.openxmlformats.org/officeDocument/2006/relationships/hyperlink" Target="https://www.health.gov.au/topics/medicare/compliance" TargetMode="External"/><Relationship Id="rId18" Type="http://schemas.openxmlformats.org/officeDocument/2006/relationships/hyperlink" Target="https://www.health.gov.au/topics/private-health-insurance/private-health-insurance-refor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s://www.legislation.gov.au/Series/F2017L01291"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internet/mbsonline/publishing.nsf/Content/Ho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health.gov.au/"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s://www.health.gov.au/our-work/mbs-review?language=en" TargetMode="External"/><Relationship Id="rId14" Type="http://schemas.openxmlformats.org/officeDocument/2006/relationships/hyperlink" Target="https://www.mbsonline.gov.au/" TargetMode="External"/><Relationship Id="rId22" Type="http://schemas.openxmlformats.org/officeDocument/2006/relationships/hyperlink" Target="https://www.mbsonline.gov.au/internet/mbsonline/publishing.nsf/Content/download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2025-06-04T04:59:00Z</dcterms:created>
  <dcterms:modified xsi:type="dcterms:W3CDTF">2025-06-04T04:59:00Z</dcterms:modified>
</cp:coreProperties>
</file>