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0174" w14:textId="3500CB28" w:rsidR="00D13B92" w:rsidRDefault="00275D9C" w:rsidP="006F5073">
      <w:pPr>
        <w:rPr>
          <w:rFonts w:eastAsiaTheme="majorEastAsia" w:cstheme="majorBidi"/>
          <w:b/>
          <w:color w:val="3F4A75"/>
          <w:kern w:val="28"/>
          <w:sz w:val="48"/>
          <w:szCs w:val="52"/>
        </w:rPr>
      </w:pPr>
      <w:bookmarkStart w:id="0" w:name="_Hlk4568006"/>
      <w:r>
        <w:rPr>
          <w:rFonts w:eastAsiaTheme="majorEastAsia" w:cstheme="majorBidi"/>
          <w:b/>
          <w:color w:val="3F4A75"/>
          <w:kern w:val="28"/>
          <w:sz w:val="48"/>
          <w:szCs w:val="52"/>
        </w:rPr>
        <w:t xml:space="preserve">Expansion of MBS </w:t>
      </w:r>
      <w:r w:rsidRPr="00275D9C">
        <w:rPr>
          <w:rFonts w:eastAsiaTheme="majorEastAsia" w:cstheme="majorBidi"/>
          <w:b/>
          <w:color w:val="3F4A75"/>
          <w:kern w:val="28"/>
          <w:sz w:val="48"/>
          <w:szCs w:val="52"/>
        </w:rPr>
        <w:t>items 73374, 73375</w:t>
      </w:r>
      <w:r w:rsidR="00D75709">
        <w:rPr>
          <w:rFonts w:eastAsiaTheme="majorEastAsia" w:cstheme="majorBidi"/>
          <w:b/>
          <w:color w:val="3F4A75"/>
          <w:kern w:val="28"/>
          <w:sz w:val="48"/>
          <w:szCs w:val="52"/>
        </w:rPr>
        <w:t xml:space="preserve"> and</w:t>
      </w:r>
      <w:r w:rsidRPr="00275D9C">
        <w:rPr>
          <w:rFonts w:eastAsiaTheme="majorEastAsia" w:cstheme="majorBidi"/>
          <w:b/>
          <w:color w:val="3F4A75"/>
          <w:kern w:val="28"/>
          <w:sz w:val="48"/>
          <w:szCs w:val="52"/>
        </w:rPr>
        <w:t xml:space="preserve"> 73376 for somatic gene testing </w:t>
      </w:r>
      <w:r w:rsidR="00D13B92">
        <w:rPr>
          <w:rFonts w:eastAsiaTheme="majorEastAsia" w:cstheme="majorBidi"/>
          <w:b/>
          <w:color w:val="3F4A75"/>
          <w:kern w:val="28"/>
          <w:sz w:val="48"/>
          <w:szCs w:val="52"/>
        </w:rPr>
        <w:t xml:space="preserve">in patients with </w:t>
      </w:r>
      <w:r w:rsidRPr="00275D9C">
        <w:rPr>
          <w:rFonts w:eastAsiaTheme="majorEastAsia" w:cstheme="majorBidi"/>
          <w:b/>
          <w:color w:val="3F4A75"/>
          <w:kern w:val="28"/>
          <w:sz w:val="48"/>
          <w:szCs w:val="52"/>
        </w:rPr>
        <w:t xml:space="preserve">sarcoma </w:t>
      </w:r>
    </w:p>
    <w:p w14:paraId="6EFD4B5B" w14:textId="2A374DE2" w:rsidR="00064168" w:rsidRDefault="00064168" w:rsidP="006F5073">
      <w:r w:rsidRPr="00867595">
        <w:t xml:space="preserve">Last updated: </w:t>
      </w:r>
      <w:r w:rsidR="004731F2">
        <w:t>1</w:t>
      </w:r>
      <w:r w:rsidR="002D0CA5">
        <w:t>5</w:t>
      </w:r>
      <w:r w:rsidR="004731F2">
        <w:t xml:space="preserve"> October</w:t>
      </w:r>
      <w:r w:rsidR="00496D2C">
        <w:t xml:space="preserve"> 2025</w:t>
      </w:r>
    </w:p>
    <w:p w14:paraId="1FA8FD94" w14:textId="018A21CA" w:rsidR="00D13B92" w:rsidRDefault="00AE268E" w:rsidP="00CD389D">
      <w:pPr>
        <w:pStyle w:val="ListBullet"/>
      </w:pPr>
      <w:bookmarkStart w:id="1" w:name="_Hlk535506978"/>
      <w:bookmarkEnd w:id="0"/>
      <w:r>
        <w:t>From 1 November 2025,</w:t>
      </w:r>
      <w:r w:rsidR="00D80701" w:rsidRPr="00D80701">
        <w:t xml:space="preserve"> the Government is </w:t>
      </w:r>
      <w:r w:rsidR="00BC0DB9">
        <w:t>amending</w:t>
      </w:r>
      <w:r w:rsidR="00BC0DB9" w:rsidRPr="00D80701">
        <w:t xml:space="preserve"> </w:t>
      </w:r>
      <w:r w:rsidR="00D80701" w:rsidRPr="00D80701">
        <w:t>Medicare Benefits Schedule (MBS)</w:t>
      </w:r>
      <w:r>
        <w:t xml:space="preserve"> items 73374, 73375 and 73376</w:t>
      </w:r>
      <w:r w:rsidR="00D80701">
        <w:t xml:space="preserve">. MBS items 73374, 73375 and 73376 </w:t>
      </w:r>
      <w:r w:rsidR="00D80701" w:rsidRPr="00D80701">
        <w:t>provide a benefit</w:t>
      </w:r>
      <w:r>
        <w:t xml:space="preserve"> for somatic gene testing of </w:t>
      </w:r>
      <w:r w:rsidR="00D13B92">
        <w:t>patients</w:t>
      </w:r>
      <w:r w:rsidR="00D9124A">
        <w:t xml:space="preserve"> with sarcoma</w:t>
      </w:r>
      <w:r w:rsidR="00D80701">
        <w:t>. These item changes will</w:t>
      </w:r>
      <w:r w:rsidR="00D13B92">
        <w:t xml:space="preserve"> </w:t>
      </w:r>
      <w:r w:rsidR="00962E7B">
        <w:t>enable</w:t>
      </w:r>
      <w:r w:rsidR="00D13B92">
        <w:t>:</w:t>
      </w:r>
      <w:r>
        <w:t xml:space="preserve"> </w:t>
      </w:r>
    </w:p>
    <w:p w14:paraId="2F6A7FBD" w14:textId="05864EC2" w:rsidR="00D13B92" w:rsidRDefault="00BB1E9C" w:rsidP="00D13B92">
      <w:pPr>
        <w:pStyle w:val="ListBullet"/>
        <w:numPr>
          <w:ilvl w:val="0"/>
          <w:numId w:val="32"/>
        </w:numPr>
      </w:pPr>
      <w:r>
        <w:t xml:space="preserve">clinicians </w:t>
      </w:r>
      <w:r w:rsidR="00AE268E">
        <w:t xml:space="preserve">to </w:t>
      </w:r>
      <w:r>
        <w:t xml:space="preserve">request and </w:t>
      </w:r>
      <w:r w:rsidR="00AE268E">
        <w:t xml:space="preserve">choose </w:t>
      </w:r>
      <w:r w:rsidR="002207DB">
        <w:t>the most appropriate</w:t>
      </w:r>
      <w:r>
        <w:t xml:space="preserve"> </w:t>
      </w:r>
      <w:r w:rsidR="00AE268E">
        <w:t>gene</w:t>
      </w:r>
      <w:r w:rsidR="002207DB">
        <w:t>(</w:t>
      </w:r>
      <w:r w:rsidR="00AE268E">
        <w:t>s</w:t>
      </w:r>
      <w:r w:rsidR="002207DB">
        <w:t>)</w:t>
      </w:r>
      <w:r w:rsidR="00AE268E">
        <w:t xml:space="preserve"> to test</w:t>
      </w:r>
    </w:p>
    <w:p w14:paraId="5918E5CB" w14:textId="62BC6160" w:rsidR="00B44226" w:rsidRDefault="00AE268E" w:rsidP="00D13B92">
      <w:pPr>
        <w:pStyle w:val="ListBullet"/>
        <w:numPr>
          <w:ilvl w:val="0"/>
          <w:numId w:val="32"/>
        </w:numPr>
      </w:pPr>
      <w:r>
        <w:t xml:space="preserve">more frequent testing if </w:t>
      </w:r>
      <w:r w:rsidR="00D13B92">
        <w:t xml:space="preserve">clinically </w:t>
      </w:r>
      <w:r>
        <w:t xml:space="preserve">necessary. </w:t>
      </w:r>
    </w:p>
    <w:p w14:paraId="34ABDAD4" w14:textId="1B0EB0FF" w:rsidR="002207DB" w:rsidRDefault="002207DB" w:rsidP="00D13B92">
      <w:pPr>
        <w:pStyle w:val="ListBullet"/>
      </w:pPr>
      <w:r w:rsidRPr="00D80701">
        <w:t xml:space="preserve">Prior to the change, MBS items 73374, 73375, and 73376 supported testing for </w:t>
      </w:r>
      <w:r w:rsidR="004166E2">
        <w:t>patients with sarcoma</w:t>
      </w:r>
      <w:r w:rsidRPr="00D80701">
        <w:t xml:space="preserve"> in </w:t>
      </w:r>
      <w:r w:rsidR="002844B9">
        <w:t>several</w:t>
      </w:r>
      <w:r>
        <w:t xml:space="preserve"> </w:t>
      </w:r>
      <w:r w:rsidR="002844B9">
        <w:t>specified</w:t>
      </w:r>
      <w:r>
        <w:t xml:space="preserve"> genes including</w:t>
      </w:r>
      <w:r w:rsidR="00D64AB8">
        <w:t xml:space="preserve"> </w:t>
      </w:r>
      <w:r w:rsidR="00D64AB8" w:rsidRPr="00414256">
        <w:t>neurotrophic tropomyosin receptor kinase</w:t>
      </w:r>
      <w:r w:rsidR="00D64AB8">
        <w:t xml:space="preserve"> (</w:t>
      </w:r>
      <w:r w:rsidR="00D64AB8" w:rsidRPr="00416F39">
        <w:rPr>
          <w:i/>
          <w:iCs/>
        </w:rPr>
        <w:t>NTRK</w:t>
      </w:r>
      <w:r w:rsidR="00D64AB8">
        <w:t>) genes</w:t>
      </w:r>
      <w:r w:rsidR="009E7ABC">
        <w:t>,</w:t>
      </w:r>
      <w:r w:rsidRPr="00D80701">
        <w:t xml:space="preserve"> </w:t>
      </w:r>
      <w:r w:rsidRPr="00414256">
        <w:rPr>
          <w:i/>
          <w:iCs/>
        </w:rPr>
        <w:t>NTRK1</w:t>
      </w:r>
      <w:r w:rsidRPr="00D80701">
        <w:t xml:space="preserve"> and </w:t>
      </w:r>
      <w:r w:rsidRPr="00414256">
        <w:rPr>
          <w:i/>
          <w:iCs/>
        </w:rPr>
        <w:t>NTRK3</w:t>
      </w:r>
      <w:r w:rsidRPr="00D80701">
        <w:t>, but not</w:t>
      </w:r>
      <w:r w:rsidRPr="00414256">
        <w:rPr>
          <w:i/>
          <w:iCs/>
        </w:rPr>
        <w:t xml:space="preserve"> NTRK2</w:t>
      </w:r>
      <w:r w:rsidRPr="00D80701">
        <w:t xml:space="preserve">. </w:t>
      </w:r>
    </w:p>
    <w:bookmarkEnd w:id="1"/>
    <w:p w14:paraId="6B14A43E" w14:textId="78148DCE" w:rsidR="009C2FF7" w:rsidRPr="009C2FF7" w:rsidRDefault="009C2FF7" w:rsidP="009C2FF7">
      <w:pPr>
        <w:pStyle w:val="ListBullet"/>
      </w:pPr>
      <w:r w:rsidRPr="009C2FF7">
        <w:t xml:space="preserve">These items remain relevant for specialists and consultant physicians who manage patients with sarcoma and pathologists. </w:t>
      </w:r>
    </w:p>
    <w:p w14:paraId="44460BF5" w14:textId="5F0C047A" w:rsidR="00064168" w:rsidRPr="00867595" w:rsidRDefault="00064168" w:rsidP="00064168">
      <w:pPr>
        <w:pStyle w:val="Heading2"/>
      </w:pPr>
      <w:r w:rsidRPr="00867595">
        <w:t>What are the changes?</w:t>
      </w:r>
    </w:p>
    <w:p w14:paraId="28EBAF44" w14:textId="32297D3E" w:rsidR="00D13B92" w:rsidRDefault="00064168" w:rsidP="004A7CD6">
      <w:r w:rsidRPr="00D80701">
        <w:t>Effective</w:t>
      </w:r>
      <w:r w:rsidR="00BB1E9C">
        <w:t xml:space="preserve"> from</w:t>
      </w:r>
      <w:r w:rsidRPr="00D80701">
        <w:t xml:space="preserve"> </w:t>
      </w:r>
      <w:r w:rsidR="00154CA7">
        <w:t xml:space="preserve">1 November 2025, MBS items 73374, 73375 and 73376 will be amended. </w:t>
      </w:r>
    </w:p>
    <w:p w14:paraId="70D93F17" w14:textId="2B8C0C20" w:rsidR="00D13B92" w:rsidRPr="00D80701" w:rsidRDefault="00D13B92" w:rsidP="00D80701">
      <w:pPr>
        <w:pStyle w:val="ListBullet"/>
      </w:pPr>
      <w:r w:rsidRPr="00D80701">
        <w:t xml:space="preserve">MBS item 73374 will be changed to </w:t>
      </w:r>
      <w:r w:rsidR="00A07ECE">
        <w:t>replace</w:t>
      </w:r>
      <w:r w:rsidR="002844B9">
        <w:t xml:space="preserve"> testing one </w:t>
      </w:r>
      <w:r w:rsidR="00A07ECE">
        <w:t xml:space="preserve">gene from </w:t>
      </w:r>
      <w:r w:rsidR="002844B9">
        <w:t xml:space="preserve">the specified genes </w:t>
      </w:r>
      <w:r w:rsidR="007E7551">
        <w:t xml:space="preserve">listed in the item descriptor </w:t>
      </w:r>
      <w:r w:rsidR="002844B9">
        <w:t>with “gene</w:t>
      </w:r>
      <w:r w:rsidR="007E7551">
        <w:t>s</w:t>
      </w:r>
      <w:r w:rsidR="002844B9">
        <w:t xml:space="preserve"> associated with sarcoma</w:t>
      </w:r>
      <w:r w:rsidR="007E7551">
        <w:t xml:space="preserve"> </w:t>
      </w:r>
      <w:r w:rsidR="007E7551">
        <w:sym w:font="Symbol" w:char="F02D"/>
      </w:r>
      <w:r w:rsidR="007E7551">
        <w:t xml:space="preserve"> analysis in relation to only one gene</w:t>
      </w:r>
      <w:r w:rsidR="002844B9">
        <w:t xml:space="preserve">” to </w:t>
      </w:r>
      <w:r w:rsidRPr="00D80701">
        <w:t xml:space="preserve">allow </w:t>
      </w:r>
      <w:r w:rsidR="005564ED">
        <w:t xml:space="preserve">specialists and consultant physicians </w:t>
      </w:r>
      <w:r w:rsidRPr="00D80701">
        <w:t>to choose the clinically relevant gene to test</w:t>
      </w:r>
      <w:r w:rsidR="005564ED">
        <w:t xml:space="preserve"> for their patient. This may</w:t>
      </w:r>
      <w:r w:rsidRPr="00D80701">
        <w:t xml:space="preserve"> includ</w:t>
      </w:r>
      <w:r w:rsidR="005564ED">
        <w:t>e</w:t>
      </w:r>
      <w:r w:rsidRPr="00D80701">
        <w:t xml:space="preserve"> </w:t>
      </w:r>
      <w:r w:rsidR="007E7551" w:rsidRPr="00414256">
        <w:rPr>
          <w:i/>
          <w:iCs/>
        </w:rPr>
        <w:t>NTRK</w:t>
      </w:r>
      <w:r w:rsidR="007E7551">
        <w:rPr>
          <w:i/>
          <w:iCs/>
        </w:rPr>
        <w:t xml:space="preserve">1, </w:t>
      </w:r>
      <w:r w:rsidRPr="00414256">
        <w:rPr>
          <w:i/>
          <w:iCs/>
        </w:rPr>
        <w:t>NTRK2</w:t>
      </w:r>
      <w:r w:rsidR="00547ABC">
        <w:t xml:space="preserve"> </w:t>
      </w:r>
      <w:r w:rsidR="007E7551">
        <w:t xml:space="preserve">or </w:t>
      </w:r>
      <w:r w:rsidR="007E7551" w:rsidRPr="00414256">
        <w:rPr>
          <w:i/>
          <w:iCs/>
        </w:rPr>
        <w:t>NTRK</w:t>
      </w:r>
      <w:r w:rsidR="007E7551">
        <w:rPr>
          <w:i/>
          <w:iCs/>
        </w:rPr>
        <w:t xml:space="preserve">3, </w:t>
      </w:r>
      <w:r w:rsidRPr="00D80701">
        <w:t xml:space="preserve">or any other clinically relevant gene. </w:t>
      </w:r>
    </w:p>
    <w:p w14:paraId="59564DB0" w14:textId="69C7D7CC" w:rsidR="00D13B92" w:rsidRPr="00D80701" w:rsidRDefault="00D13B92" w:rsidP="005564ED">
      <w:pPr>
        <w:pStyle w:val="ListBullet"/>
      </w:pPr>
      <w:r w:rsidRPr="00D80701">
        <w:t>MBS items 73375 and 73376 will also be amended</w:t>
      </w:r>
      <w:r w:rsidR="002207DB">
        <w:t xml:space="preserve"> </w:t>
      </w:r>
      <w:r w:rsidRPr="00D80701">
        <w:t xml:space="preserve">to test </w:t>
      </w:r>
      <w:r w:rsidR="002207DB">
        <w:t xml:space="preserve">either </w:t>
      </w:r>
      <w:r w:rsidRPr="00D80701">
        <w:t xml:space="preserve">2-3 genes or 4 or more genes </w:t>
      </w:r>
      <w:r w:rsidR="002844B9">
        <w:t>associated with</w:t>
      </w:r>
      <w:r w:rsidR="00547ABC">
        <w:t xml:space="preserve"> sarcoma (</w:t>
      </w:r>
      <w:r w:rsidR="002207DB">
        <w:t xml:space="preserve">for a service </w:t>
      </w:r>
      <w:r w:rsidR="00547ABC">
        <w:t xml:space="preserve">as </w:t>
      </w:r>
      <w:r w:rsidRPr="00D80701">
        <w:t>described in item 73374</w:t>
      </w:r>
      <w:r w:rsidR="00547ABC">
        <w:t>)</w:t>
      </w:r>
      <w:r w:rsidRPr="00D80701">
        <w:t>, respectively. Th</w:t>
      </w:r>
      <w:r w:rsidR="002207DB">
        <w:t>e</w:t>
      </w:r>
      <w:r w:rsidRPr="00D80701">
        <w:t xml:space="preserve"> wording</w:t>
      </w:r>
      <w:r w:rsidR="002207DB">
        <w:t>s</w:t>
      </w:r>
      <w:r w:rsidRPr="00D80701">
        <w:t xml:space="preserve"> </w:t>
      </w:r>
      <w:r w:rsidR="002207DB">
        <w:t xml:space="preserve">will also be simplified to </w:t>
      </w:r>
      <w:r w:rsidRPr="00D80701">
        <w:t>recognise</w:t>
      </w:r>
      <w:r w:rsidR="005564ED">
        <w:t xml:space="preserve"> that</w:t>
      </w:r>
      <w:r w:rsidRPr="00D80701">
        <w:t xml:space="preserve"> MBS items 73374, 73375 and 73376 form </w:t>
      </w:r>
      <w:r w:rsidR="00AA287F">
        <w:t xml:space="preserve">a </w:t>
      </w:r>
      <w:r w:rsidRPr="00D80701">
        <w:t xml:space="preserve">‘test ladder’ of the same test for an increasing number of genes. </w:t>
      </w:r>
    </w:p>
    <w:p w14:paraId="5EEF4E59" w14:textId="31A480A7" w:rsidR="00D13B92" w:rsidRPr="00D80701" w:rsidRDefault="005564ED" w:rsidP="005564ED">
      <w:pPr>
        <w:pStyle w:val="ListBullet"/>
      </w:pPr>
      <w:r w:rsidRPr="005564ED">
        <w:t xml:space="preserve">The frequency restrictors for </w:t>
      </w:r>
      <w:r>
        <w:t xml:space="preserve">MBS items 73374-73376 </w:t>
      </w:r>
      <w:r w:rsidRPr="005564ED">
        <w:t xml:space="preserve">will </w:t>
      </w:r>
      <w:r w:rsidR="002844B9">
        <w:t>also be relaxed to</w:t>
      </w:r>
      <w:r w:rsidRPr="005564ED">
        <w:t xml:space="preserve"> allow more frequent testing. </w:t>
      </w:r>
      <w:r>
        <w:t xml:space="preserve">Restrictions </w:t>
      </w:r>
      <w:r w:rsidRPr="005564ED">
        <w:t xml:space="preserve">will change from </w:t>
      </w:r>
      <w:r w:rsidR="00197479">
        <w:t>“</w:t>
      </w:r>
      <w:r w:rsidRPr="005564ED">
        <w:t>once per lifetime</w:t>
      </w:r>
      <w:r w:rsidR="00197479">
        <w:t>”</w:t>
      </w:r>
      <w:r w:rsidRPr="005564ED">
        <w:t xml:space="preserve"> to </w:t>
      </w:r>
      <w:r w:rsidR="00197479">
        <w:t>“</w:t>
      </w:r>
      <w:r w:rsidRPr="005564ED">
        <w:t>once per tumo</w:t>
      </w:r>
      <w:r w:rsidR="00654832">
        <w:t>u</w:t>
      </w:r>
      <w:r w:rsidRPr="005564ED">
        <w:t>r diagnostic episode</w:t>
      </w:r>
      <w:r w:rsidR="00197479">
        <w:t>”</w:t>
      </w:r>
      <w:r w:rsidRPr="005564ED">
        <w:t>.</w:t>
      </w:r>
      <w:r>
        <w:t xml:space="preserve"> </w:t>
      </w:r>
      <w:r w:rsidR="001211D0" w:rsidRPr="00D80701">
        <w:t xml:space="preserve">This will ensure patients who experience disease recurrence can access further testing under the MBS items if </w:t>
      </w:r>
      <w:r>
        <w:t xml:space="preserve">clinically </w:t>
      </w:r>
      <w:r w:rsidR="001211D0" w:rsidRPr="00D80701">
        <w:t xml:space="preserve">necessary. </w:t>
      </w:r>
    </w:p>
    <w:p w14:paraId="5803384D" w14:textId="21FBC5A1" w:rsidR="00655459" w:rsidRDefault="00D64AB8" w:rsidP="0075455A">
      <w:pPr>
        <w:pStyle w:val="ListBullet"/>
        <w:numPr>
          <w:ilvl w:val="0"/>
          <w:numId w:val="0"/>
        </w:numPr>
      </w:pPr>
      <w:r>
        <w:t xml:space="preserve">There are no other changes to </w:t>
      </w:r>
      <w:r w:rsidR="00655459" w:rsidRPr="00655459">
        <w:t>MBS items 73374, 73375, and 73376</w:t>
      </w:r>
      <w:r>
        <w:t>, which</w:t>
      </w:r>
      <w:r w:rsidR="00655459" w:rsidRPr="00655459">
        <w:t xml:space="preserve"> will remain</w:t>
      </w:r>
      <w:r>
        <w:t xml:space="preserve"> </w:t>
      </w:r>
      <w:r w:rsidR="004A7CD6">
        <w:t>as</w:t>
      </w:r>
      <w:r w:rsidR="005564ED">
        <w:t xml:space="preserve"> </w:t>
      </w:r>
      <w:r w:rsidR="00655459" w:rsidRPr="00655459">
        <w:t xml:space="preserve">pathologist-determinable services </w:t>
      </w:r>
      <w:r w:rsidR="004A7CD6">
        <w:t>following</w:t>
      </w:r>
      <w:r w:rsidR="00655459" w:rsidRPr="00655459">
        <w:t xml:space="preserve"> </w:t>
      </w:r>
      <w:r w:rsidR="00AA287F">
        <w:t>a request for</w:t>
      </w:r>
      <w:r w:rsidR="00655459" w:rsidRPr="00655459">
        <w:t xml:space="preserve"> </w:t>
      </w:r>
      <w:r w:rsidR="00DD2163">
        <w:t xml:space="preserve">an </w:t>
      </w:r>
      <w:r w:rsidR="00655459" w:rsidRPr="00655459">
        <w:t xml:space="preserve">MBS tissue examination </w:t>
      </w:r>
      <w:r w:rsidR="00DD2163">
        <w:t xml:space="preserve">(one of </w:t>
      </w:r>
      <w:r w:rsidR="00655459" w:rsidRPr="00655459">
        <w:t>items 72813-72838</w:t>
      </w:r>
      <w:r w:rsidR="00DD2163">
        <w:t>)</w:t>
      </w:r>
      <w:r w:rsidR="00655459" w:rsidRPr="00655459">
        <w:t xml:space="preserve">. </w:t>
      </w:r>
    </w:p>
    <w:p w14:paraId="55500A84" w14:textId="77777777" w:rsidR="00857820" w:rsidRDefault="00857820" w:rsidP="0075455A">
      <w:pPr>
        <w:pStyle w:val="ListBullet"/>
        <w:numPr>
          <w:ilvl w:val="0"/>
          <w:numId w:val="0"/>
        </w:numPr>
      </w:pPr>
    </w:p>
    <w:p w14:paraId="55F7C1FF" w14:textId="77777777" w:rsidR="00857820" w:rsidRDefault="00857820" w:rsidP="0075455A">
      <w:pPr>
        <w:pStyle w:val="ListBullet"/>
        <w:numPr>
          <w:ilvl w:val="0"/>
          <w:numId w:val="0"/>
        </w:numPr>
      </w:pPr>
    </w:p>
    <w:p w14:paraId="14CB6C78" w14:textId="6AF1B29F" w:rsidR="007E0068" w:rsidRDefault="007E0068" w:rsidP="007E0068">
      <w:r>
        <w:lastRenderedPageBreak/>
        <w:t>For private health insurance purposes, item</w:t>
      </w:r>
      <w:r w:rsidR="00D80701">
        <w:t>s 73374</w:t>
      </w:r>
      <w:r w:rsidR="00AA287F">
        <w:t>-</w:t>
      </w:r>
      <w:r w:rsidR="00D80701">
        <w:t xml:space="preserve">73376 </w:t>
      </w:r>
      <w:r>
        <w:t>will continue to be</w:t>
      </w:r>
      <w:r w:rsidR="00655459">
        <w:t xml:space="preserve"> </w:t>
      </w:r>
      <w:r>
        <w:t>listed under the following clinical category and procedure type:</w:t>
      </w:r>
    </w:p>
    <w:p w14:paraId="00DAF94B" w14:textId="77777777" w:rsidR="00385C01" w:rsidRDefault="00385C01" w:rsidP="00385C01">
      <w:pPr>
        <w:pStyle w:val="ListBullet"/>
      </w:pPr>
      <w:r>
        <w:t>Private Health Insurance Classification:</w:t>
      </w:r>
    </w:p>
    <w:p w14:paraId="5B0D04C5" w14:textId="6A17B05E" w:rsidR="007E0068" w:rsidRDefault="007E0068" w:rsidP="00D80701">
      <w:pPr>
        <w:pStyle w:val="ListBullet"/>
        <w:numPr>
          <w:ilvl w:val="0"/>
          <w:numId w:val="32"/>
        </w:numPr>
      </w:pPr>
      <w:r>
        <w:t xml:space="preserve">Clinical category: </w:t>
      </w:r>
      <w:r w:rsidR="00D80701">
        <w:t>Support List (pathology)</w:t>
      </w:r>
    </w:p>
    <w:p w14:paraId="0F393FB5" w14:textId="0EF8A7D3" w:rsidR="007E0068" w:rsidRPr="007E0068" w:rsidRDefault="007E0068" w:rsidP="00D80701">
      <w:pPr>
        <w:pStyle w:val="ListBullet"/>
        <w:numPr>
          <w:ilvl w:val="0"/>
          <w:numId w:val="32"/>
        </w:numPr>
      </w:pPr>
      <w:r>
        <w:t xml:space="preserve">Procedure type: Type </w:t>
      </w:r>
      <w:r w:rsidR="00D80701">
        <w:t>C</w:t>
      </w:r>
    </w:p>
    <w:p w14:paraId="42BD5171" w14:textId="77777777" w:rsidR="00064168" w:rsidRDefault="00064168" w:rsidP="00064168">
      <w:pPr>
        <w:pStyle w:val="Heading2"/>
      </w:pPr>
      <w:r>
        <w:t>Why are the changes being made?</w:t>
      </w:r>
    </w:p>
    <w:p w14:paraId="7EF3450D" w14:textId="1F46BB9E" w:rsidR="00414256" w:rsidRDefault="00305D73" w:rsidP="00414256">
      <w:r w:rsidRPr="00414256">
        <w:t xml:space="preserve">MBS items 73374, 73375 and 73376 are being amended to ensure </w:t>
      </w:r>
      <w:r w:rsidR="004166E2">
        <w:t>patients with sarcoma</w:t>
      </w:r>
      <w:r w:rsidR="004166E2" w:rsidRPr="00414256">
        <w:t xml:space="preserve"> </w:t>
      </w:r>
      <w:r w:rsidRPr="00414256">
        <w:t>have access to clinically relevant genetic testing to access treatments on the Pharmaceutical Benefits Scheme</w:t>
      </w:r>
      <w:r w:rsidR="00516694">
        <w:t xml:space="preserve"> (PBS)</w:t>
      </w:r>
      <w:r w:rsidRPr="00414256">
        <w:t xml:space="preserve">. </w:t>
      </w:r>
    </w:p>
    <w:p w14:paraId="66BF0C66" w14:textId="6991CFB4" w:rsidR="00414256" w:rsidRDefault="00305D73" w:rsidP="00414256">
      <w:pPr>
        <w:rPr>
          <w:rStyle w:val="Hyperlink"/>
          <w:color w:val="000000" w:themeColor="text1"/>
          <w:szCs w:val="22"/>
          <w:u w:val="none"/>
        </w:rPr>
      </w:pPr>
      <w:r w:rsidRPr="00414256">
        <w:t xml:space="preserve">The Pharmaceutical Benefits Advisory Committee (PBAC), at its March 2024 meeting, recommended the listing of Larotrectinib for the treatment of </w:t>
      </w:r>
      <w:r w:rsidR="004166E2">
        <w:t>patients with sarcoma</w:t>
      </w:r>
      <w:r w:rsidRPr="00414256">
        <w:t xml:space="preserve"> (along with other conditions) with a confirmed diagnosis of a positive neurotrophic tropomyosin receptor kinase (</w:t>
      </w:r>
      <w:r w:rsidRPr="005B6E42">
        <w:rPr>
          <w:i/>
          <w:iCs/>
        </w:rPr>
        <w:t>NTRK</w:t>
      </w:r>
      <w:r w:rsidRPr="00414256">
        <w:t xml:space="preserve">) gene fusion. </w:t>
      </w:r>
      <w:r w:rsidR="00414256" w:rsidRPr="00414256">
        <w:t xml:space="preserve">Further details about PBAC applications can be found on the </w:t>
      </w:r>
      <w:hyperlink r:id="rId8" w:history="1">
        <w:r w:rsidR="00414256" w:rsidRPr="00547ABC">
          <w:rPr>
            <w:rStyle w:val="Hyperlink"/>
            <w:szCs w:val="22"/>
          </w:rPr>
          <w:t>PBAC website</w:t>
        </w:r>
      </w:hyperlink>
      <w:r w:rsidR="00414256" w:rsidRPr="00547ABC">
        <w:rPr>
          <w:rStyle w:val="Hyperlink"/>
          <w:szCs w:val="22"/>
        </w:rPr>
        <w:t>.</w:t>
      </w:r>
    </w:p>
    <w:p w14:paraId="5E782333" w14:textId="6C254FD7" w:rsidR="00FD1AFC" w:rsidRDefault="00FD1AFC" w:rsidP="00414256">
      <w:pPr>
        <w:rPr>
          <w:rStyle w:val="Hyperlink"/>
          <w:color w:val="000000" w:themeColor="text1"/>
          <w:szCs w:val="22"/>
          <w:u w:val="none"/>
        </w:rPr>
      </w:pPr>
      <w:r w:rsidRPr="00FD1AFC">
        <w:rPr>
          <w:rStyle w:val="Hyperlink"/>
          <w:color w:val="000000" w:themeColor="text1"/>
          <w:szCs w:val="22"/>
          <w:u w:val="none"/>
        </w:rPr>
        <w:t xml:space="preserve">The MSAC Executive supported amendments to existing MBS items 73374, 73375, and 73376 at its August 2024 meeting. These amendments allow testing of the </w:t>
      </w:r>
      <w:r w:rsidR="00FE41AF" w:rsidRPr="00414256">
        <w:rPr>
          <w:i/>
          <w:iCs/>
        </w:rPr>
        <w:t>NTRK</w:t>
      </w:r>
      <w:r w:rsidR="00FE41AF">
        <w:rPr>
          <w:i/>
          <w:iCs/>
        </w:rPr>
        <w:t xml:space="preserve">1, </w:t>
      </w:r>
      <w:r w:rsidRPr="004166E2">
        <w:rPr>
          <w:rStyle w:val="Hyperlink"/>
          <w:i/>
          <w:iCs/>
          <w:color w:val="000000" w:themeColor="text1"/>
          <w:szCs w:val="22"/>
          <w:u w:val="none"/>
        </w:rPr>
        <w:t>NTRK2</w:t>
      </w:r>
      <w:r w:rsidRPr="00FD1AFC">
        <w:rPr>
          <w:rStyle w:val="Hyperlink"/>
          <w:color w:val="000000" w:themeColor="text1"/>
          <w:szCs w:val="22"/>
          <w:u w:val="none"/>
        </w:rPr>
        <w:t xml:space="preserve"> </w:t>
      </w:r>
      <w:r w:rsidR="00FE41AF">
        <w:rPr>
          <w:rStyle w:val="Hyperlink"/>
          <w:color w:val="000000" w:themeColor="text1"/>
          <w:szCs w:val="22"/>
          <w:u w:val="none"/>
        </w:rPr>
        <w:t xml:space="preserve">and </w:t>
      </w:r>
      <w:r w:rsidR="00FE41AF" w:rsidRPr="00414256">
        <w:rPr>
          <w:i/>
          <w:iCs/>
        </w:rPr>
        <w:t>NTRK</w:t>
      </w:r>
      <w:r w:rsidR="00FE41AF">
        <w:rPr>
          <w:i/>
          <w:iCs/>
        </w:rPr>
        <w:t xml:space="preserve">3 </w:t>
      </w:r>
      <w:r w:rsidRPr="00FD1AFC">
        <w:rPr>
          <w:rStyle w:val="Hyperlink"/>
          <w:color w:val="000000" w:themeColor="text1"/>
          <w:szCs w:val="22"/>
          <w:u w:val="none"/>
        </w:rPr>
        <w:t>gene</w:t>
      </w:r>
      <w:r w:rsidR="00FE41AF">
        <w:rPr>
          <w:rStyle w:val="Hyperlink"/>
          <w:color w:val="000000" w:themeColor="text1"/>
          <w:szCs w:val="22"/>
          <w:u w:val="none"/>
        </w:rPr>
        <w:t>s</w:t>
      </w:r>
      <w:r w:rsidRPr="00FD1AFC">
        <w:rPr>
          <w:rStyle w:val="Hyperlink"/>
          <w:color w:val="000000" w:themeColor="text1"/>
          <w:szCs w:val="22"/>
          <w:u w:val="none"/>
        </w:rPr>
        <w:t xml:space="preserve"> and other clinically relevant genes as determined by the treating specialist or consultant physician.</w:t>
      </w:r>
      <w:r w:rsidR="00326763">
        <w:rPr>
          <w:rStyle w:val="Hyperlink"/>
          <w:color w:val="000000" w:themeColor="text1"/>
          <w:szCs w:val="22"/>
          <w:u w:val="none"/>
        </w:rPr>
        <w:t xml:space="preserve"> This will ensure that testing </w:t>
      </w:r>
      <w:r w:rsidR="00516694">
        <w:rPr>
          <w:rStyle w:val="Hyperlink"/>
          <w:color w:val="000000" w:themeColor="text1"/>
          <w:szCs w:val="22"/>
          <w:u w:val="none"/>
        </w:rPr>
        <w:t xml:space="preserve">of all clinically relevant genes associated with sarcoma </w:t>
      </w:r>
      <w:r w:rsidR="00326763">
        <w:rPr>
          <w:rStyle w:val="Hyperlink"/>
          <w:color w:val="000000" w:themeColor="text1"/>
          <w:szCs w:val="22"/>
          <w:u w:val="none"/>
        </w:rPr>
        <w:t xml:space="preserve">under these MBS items </w:t>
      </w:r>
      <w:r w:rsidR="00516694">
        <w:rPr>
          <w:rStyle w:val="Hyperlink"/>
          <w:color w:val="000000" w:themeColor="text1"/>
          <w:szCs w:val="22"/>
          <w:u w:val="none"/>
        </w:rPr>
        <w:t>are</w:t>
      </w:r>
      <w:r w:rsidR="00326763">
        <w:rPr>
          <w:rStyle w:val="Hyperlink"/>
          <w:color w:val="000000" w:themeColor="text1"/>
          <w:szCs w:val="22"/>
          <w:u w:val="none"/>
        </w:rPr>
        <w:t xml:space="preserve"> fully support</w:t>
      </w:r>
      <w:r w:rsidR="00516694">
        <w:rPr>
          <w:rStyle w:val="Hyperlink"/>
          <w:color w:val="000000" w:themeColor="text1"/>
          <w:szCs w:val="22"/>
          <w:u w:val="none"/>
        </w:rPr>
        <w:t>ed to determine eligibility for a relevant treatment under the PBS.</w:t>
      </w:r>
    </w:p>
    <w:p w14:paraId="6DFE196D" w14:textId="36BA007E" w:rsidR="00EA317E" w:rsidRDefault="00EA317E" w:rsidP="00EA317E">
      <w:pPr>
        <w:pStyle w:val="Heading2"/>
      </w:pPr>
      <w:r>
        <w:t>What does this mean for request</w:t>
      </w:r>
      <w:r w:rsidR="00D160B9">
        <w:t>e</w:t>
      </w:r>
      <w:r>
        <w:t>rs?</w:t>
      </w:r>
    </w:p>
    <w:p w14:paraId="482250A6" w14:textId="243FD01A" w:rsidR="00EA317E" w:rsidRPr="005920E7" w:rsidRDefault="00617597" w:rsidP="00EA317E">
      <w:r>
        <w:t xml:space="preserve">Specialists and consultant physicians can now request </w:t>
      </w:r>
      <w:r w:rsidRPr="00414256">
        <w:t xml:space="preserve">MBS items 73374, 73375 </w:t>
      </w:r>
      <w:r w:rsidR="00FE41AF">
        <w:t>or</w:t>
      </w:r>
      <w:r w:rsidRPr="00414256">
        <w:t xml:space="preserve"> 73376</w:t>
      </w:r>
      <w:r>
        <w:t xml:space="preserve"> </w:t>
      </w:r>
      <w:r w:rsidR="00935CC7">
        <w:t>for their patients once per tumour diagnostic episode instead of once per lifetime. R</w:t>
      </w:r>
      <w:r w:rsidR="00935CC7" w:rsidRPr="00935CC7">
        <w:t>equestors can select the clinically relevant gene</w:t>
      </w:r>
      <w:r w:rsidR="00935CC7">
        <w:t>s</w:t>
      </w:r>
      <w:r w:rsidR="00935CC7" w:rsidRPr="00935CC7">
        <w:t xml:space="preserve"> to test for their patient</w:t>
      </w:r>
      <w:r w:rsidR="001011D9">
        <w:t>s</w:t>
      </w:r>
      <w:r w:rsidR="00935CC7" w:rsidRPr="00935CC7">
        <w:t xml:space="preserve"> with sarcoma</w:t>
      </w:r>
      <w:r w:rsidR="00935CC7">
        <w:t xml:space="preserve">. </w:t>
      </w:r>
      <w:r w:rsidR="001011D9" w:rsidRPr="001011D9">
        <w:t xml:space="preserve">Approved Pathology Practitioners </w:t>
      </w:r>
      <w:r w:rsidR="001011D9">
        <w:t>render</w:t>
      </w:r>
      <w:r w:rsidR="001011D9" w:rsidRPr="001011D9">
        <w:t xml:space="preserve"> these tests and can continue to </w:t>
      </w:r>
      <w:r w:rsidR="00FE41AF">
        <w:t xml:space="preserve">perform </w:t>
      </w:r>
      <w:r w:rsidR="001011D9" w:rsidRPr="001011D9">
        <w:t xml:space="preserve">these </w:t>
      </w:r>
      <w:r w:rsidR="00FE41AF">
        <w:t xml:space="preserve">tests as </w:t>
      </w:r>
      <w:r w:rsidR="00326763">
        <w:t xml:space="preserve">a </w:t>
      </w:r>
      <w:r w:rsidR="00FE41AF">
        <w:t xml:space="preserve">pathologist determinable service </w:t>
      </w:r>
      <w:r w:rsidR="00326763">
        <w:t>if</w:t>
      </w:r>
      <w:r w:rsidR="00FE41AF">
        <w:t xml:space="preserve"> clinically appropriate</w:t>
      </w:r>
      <w:r w:rsidR="001011D9" w:rsidRPr="001011D9">
        <w:t>.</w:t>
      </w:r>
    </w:p>
    <w:p w14:paraId="677CD96D" w14:textId="77777777" w:rsidR="00EA317E" w:rsidRDefault="00EA317E" w:rsidP="00EA317E">
      <w:pPr>
        <w:pStyle w:val="Heading2"/>
      </w:pPr>
      <w:r>
        <w:t>How will these changes affect patients</w:t>
      </w:r>
      <w:r w:rsidRPr="001A7FB7">
        <w:t>?</w:t>
      </w:r>
    </w:p>
    <w:p w14:paraId="06BB0478" w14:textId="7142763F" w:rsidR="001011D9" w:rsidRPr="001011D9" w:rsidRDefault="001011D9" w:rsidP="001011D9">
      <w:r w:rsidRPr="001011D9">
        <w:t>Patients with sarcoma, especially those with recurring sarcoma, can get tested more often under the amended items if needed.</w:t>
      </w:r>
      <w:r>
        <w:t xml:space="preserve"> </w:t>
      </w:r>
      <w:r w:rsidRPr="001011D9">
        <w:t>Their clinicians can also choose from more genes that are relevant to the patient’s condition.</w:t>
      </w:r>
    </w:p>
    <w:p w14:paraId="22C3F69F" w14:textId="75E253F0" w:rsidR="00EA317E" w:rsidRDefault="00EA317E" w:rsidP="00EA317E">
      <w:pPr>
        <w:pStyle w:val="Heading2"/>
      </w:pPr>
      <w:r w:rsidRPr="001A7FB7">
        <w:t>Who was consulted on the changes?</w:t>
      </w:r>
    </w:p>
    <w:p w14:paraId="519B04C6" w14:textId="45E0C83E" w:rsidR="00935CC7" w:rsidRPr="00935CC7" w:rsidRDefault="00935CC7" w:rsidP="00935CC7">
      <w:r w:rsidRPr="00935CC7">
        <w:t>The MSAC Executive considered the changes as part of PBAC and MSAC processes, following internal consultation within the department.</w:t>
      </w:r>
      <w:r>
        <w:t xml:space="preserve"> </w:t>
      </w:r>
    </w:p>
    <w:p w14:paraId="32E82B19" w14:textId="2A80049D" w:rsidR="00064168" w:rsidRDefault="00064168" w:rsidP="00064168">
      <w:pPr>
        <w:pStyle w:val="Heading2"/>
      </w:pPr>
      <w:r w:rsidRPr="001A7FB7">
        <w:lastRenderedPageBreak/>
        <w:t>How will the changes be monitored</w:t>
      </w:r>
      <w:r>
        <w:t xml:space="preserve"> and reviewed</w:t>
      </w:r>
      <w:r w:rsidRPr="001A7FB7">
        <w:t>?</w:t>
      </w:r>
    </w:p>
    <w:p w14:paraId="41BBDDBB" w14:textId="5259FE70"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8E007D" w:rsidRPr="00867595">
        <w:rPr>
          <w:szCs w:val="22"/>
        </w:rPr>
        <w:t>Department of Health</w:t>
      </w:r>
      <w:r w:rsidR="009357DA">
        <w:rPr>
          <w:szCs w:val="22"/>
        </w:rPr>
        <w:t>, Disability</w:t>
      </w:r>
      <w:r w:rsidR="008E007D" w:rsidRPr="00867595">
        <w:rPr>
          <w:szCs w:val="22"/>
        </w:rPr>
        <w:t xml:space="preserve"> </w:t>
      </w:r>
      <w:r w:rsidR="008E007D">
        <w:rPr>
          <w:szCs w:val="22"/>
        </w:rPr>
        <w:t xml:space="preserve">and </w:t>
      </w:r>
      <w:r w:rsidR="009357DA">
        <w:rPr>
          <w:szCs w:val="22"/>
        </w:rPr>
        <w:t>Ageing’s</w:t>
      </w:r>
      <w:r w:rsidR="008E007D">
        <w:rPr>
          <w:szCs w:val="22"/>
        </w:rPr>
        <w:t xml:space="preserve"> (the </w:t>
      </w:r>
      <w:r w:rsidR="009C2FF7">
        <w:rPr>
          <w:szCs w:val="22"/>
        </w:rPr>
        <w:t>d</w:t>
      </w:r>
      <w:r w:rsidRPr="00D20254">
        <w:rPr>
          <w:szCs w:val="22"/>
        </w:rPr>
        <w:t>epartment</w:t>
      </w:r>
      <w:r w:rsidR="00F76ED3">
        <w:rPr>
          <w:szCs w:val="22"/>
        </w:rPr>
        <w:t>’s</w:t>
      </w:r>
      <w:r w:rsidR="008E007D">
        <w:rPr>
          <w:szCs w:val="22"/>
        </w:rPr>
        <w:t>)</w:t>
      </w:r>
      <w:r w:rsidRPr="00D20254">
        <w:rPr>
          <w:szCs w:val="22"/>
        </w:rPr>
        <w:t xml:space="preserve"> compliance program can be found on its website at </w:t>
      </w:r>
      <w:hyperlink r:id="rId9"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416ECF52" w14:textId="77777777" w:rsidR="00652F6D" w:rsidRPr="00867595" w:rsidRDefault="00652F6D" w:rsidP="00652F6D">
      <w:pPr>
        <w:rPr>
          <w:szCs w:val="22"/>
        </w:rPr>
      </w:pPr>
      <w:r w:rsidRPr="00867595">
        <w:rPr>
          <w:szCs w:val="22"/>
        </w:rPr>
        <w:t xml:space="preserve">The full item descriptor(s) and information on other changes to the MBS can be found on the </w:t>
      </w:r>
      <w:hyperlink r:id="rId10"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11" w:history="1">
        <w:r>
          <w:rPr>
            <w:rStyle w:val="Hyperlink"/>
            <w:szCs w:val="22"/>
          </w:rPr>
          <w:t>Subscribe to the MBS</w:t>
        </w:r>
      </w:hyperlink>
      <w:r>
        <w:rPr>
          <w:szCs w:val="22"/>
        </w:rPr>
        <w:t>’ on the MBS Online website</w:t>
      </w:r>
      <w:r w:rsidRPr="00867595">
        <w:rPr>
          <w:szCs w:val="22"/>
        </w:rPr>
        <w:t xml:space="preserve">. </w:t>
      </w:r>
    </w:p>
    <w:p w14:paraId="53145188" w14:textId="77777777" w:rsidR="00652F6D" w:rsidRPr="000B7029" w:rsidRDefault="00652F6D" w:rsidP="00652F6D">
      <w:pPr>
        <w:rPr>
          <w:szCs w:val="22"/>
        </w:rPr>
      </w:pPr>
      <w:r w:rsidRPr="001873B1">
        <w:rPr>
          <w:szCs w:val="22"/>
        </w:rPr>
        <w:t xml:space="preserve">Providers seeking advice on interpretation of MBS items, explanatory notes and associated legislation can use the department’s email advice service by emailing </w:t>
      </w:r>
      <w:hyperlink r:id="rId12" w:history="1">
        <w:r w:rsidRPr="001873B1">
          <w:rPr>
            <w:rStyle w:val="Hyperlink"/>
            <w:szCs w:val="22"/>
          </w:rPr>
          <w:t>askMBS@health.gov.au</w:t>
        </w:r>
      </w:hyperlink>
      <w:r w:rsidRPr="001873B1">
        <w:rPr>
          <w:szCs w:val="22"/>
        </w:rPr>
        <w:t>.</w:t>
      </w:r>
    </w:p>
    <w:p w14:paraId="4D88B8F4" w14:textId="5FA429DC" w:rsidR="00652F6D" w:rsidRDefault="00652F6D" w:rsidP="00652F6D">
      <w:pPr>
        <w:rPr>
          <w:color w:val="auto"/>
          <w:sz w:val="20"/>
          <w:szCs w:val="21"/>
        </w:rPr>
      </w:pPr>
      <w:r>
        <w:t xml:space="preserve">Private health insurance information on the product tier arrangements is available at </w:t>
      </w:r>
      <w:hyperlink r:id="rId13" w:history="1">
        <w:r>
          <w:rPr>
            <w:rStyle w:val="Hyperlink"/>
          </w:rPr>
          <w:t>www.privatehealth.gov.au</w:t>
        </w:r>
      </w:hyperlink>
      <w:r>
        <w:t xml:space="preserve">. Detailed information on the MBS item listing within clinical categories is available on the </w:t>
      </w:r>
      <w:hyperlink r:id="rId14"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15" w:history="1">
        <w:r w:rsidRPr="005E2D76">
          <w:rPr>
            <w:rStyle w:val="Hyperlink"/>
            <w:iCs/>
          </w:rPr>
          <w:t>Federal Register of Legislation</w:t>
        </w:r>
      </w:hyperlink>
      <w:r>
        <w:t xml:space="preserve">. If you have a query in relation to private health insurance, you should email </w:t>
      </w:r>
      <w:hyperlink r:id="rId16" w:history="1">
        <w:r>
          <w:rPr>
            <w:rStyle w:val="Hyperlink"/>
          </w:rPr>
          <w:t>PHI@health.gov.au</w:t>
        </w:r>
      </w:hyperlink>
      <w:r>
        <w:t>.</w:t>
      </w:r>
    </w:p>
    <w:p w14:paraId="112C4DB9" w14:textId="77777777" w:rsidR="00652F6D" w:rsidRPr="00867595" w:rsidRDefault="00652F6D" w:rsidP="00652F6D">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6BAE66F4" w14:textId="77777777" w:rsidR="00652F6D" w:rsidRDefault="00652F6D" w:rsidP="00652F6D">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719A61" w14:textId="6EA49F0F" w:rsidR="004166E2" w:rsidRPr="00237003" w:rsidRDefault="00652F6D" w:rsidP="00237003">
      <w:pPr>
        <w:rPr>
          <w:szCs w:val="22"/>
        </w:rPr>
      </w:pPr>
      <w:r w:rsidRPr="00867595">
        <w:rPr>
          <w:szCs w:val="22"/>
        </w:rPr>
        <w:t xml:space="preserve">The data file for software vendors when available can be accessed via the </w:t>
      </w:r>
      <w:hyperlink r:id="rId18" w:history="1">
        <w:r w:rsidRPr="00C02732">
          <w:rPr>
            <w:rStyle w:val="Hyperlink"/>
            <w:szCs w:val="22"/>
          </w:rPr>
          <w:t>Downloads</w:t>
        </w:r>
      </w:hyperlink>
      <w:r w:rsidRPr="00867595">
        <w:rPr>
          <w:szCs w:val="22"/>
        </w:rPr>
        <w:t xml:space="preserve"> page.</w:t>
      </w:r>
    </w:p>
    <w:p w14:paraId="48C8710F" w14:textId="77777777" w:rsidR="00D8691F" w:rsidRDefault="00D8691F">
      <w:pPr>
        <w:spacing w:before="0" w:after="0" w:line="240" w:lineRule="auto"/>
        <w:rPr>
          <w:rFonts w:cs="Arial"/>
          <w:b/>
          <w:bCs/>
          <w:iCs/>
          <w:color w:val="358189"/>
          <w:sz w:val="36"/>
          <w:szCs w:val="28"/>
        </w:rPr>
      </w:pPr>
      <w:r>
        <w:br w:type="page"/>
      </w:r>
    </w:p>
    <w:p w14:paraId="6D6EB19D" w14:textId="77693EC8" w:rsidR="00BE3ED5" w:rsidRDefault="00BE3ED5" w:rsidP="00BE3ED5">
      <w:pPr>
        <w:pStyle w:val="Heading2"/>
      </w:pPr>
      <w:r>
        <w:lastRenderedPageBreak/>
        <w:t xml:space="preserve">Amended item descriptors (to take effect </w:t>
      </w:r>
      <w:r w:rsidR="001211D0">
        <w:t>1</w:t>
      </w:r>
      <w:r w:rsidR="00D160B9">
        <w:t> </w:t>
      </w:r>
      <w:r w:rsidR="001211D0">
        <w:t>November</w:t>
      </w:r>
      <w:r w:rsidR="00D160B9">
        <w:t> </w:t>
      </w:r>
      <w:r w:rsidR="001211D0">
        <w:t>2025</w:t>
      </w:r>
      <w:r>
        <w:t>)</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0329D290" w:rsidR="00BE3ED5" w:rsidRDefault="008437CA" w:rsidP="001210F8">
            <w:pPr>
              <w:rPr>
                <w:b w:val="0"/>
                <w:bCs w:val="0"/>
                <w:lang w:eastAsia="en-AU"/>
              </w:rPr>
            </w:pPr>
            <w:bookmarkStart w:id="3" w:name="_Hlk118987208"/>
            <w:r>
              <w:rPr>
                <w:lang w:eastAsia="en-AU"/>
              </w:rPr>
              <w:t>Category</w:t>
            </w:r>
            <w:r w:rsidR="00824671">
              <w:rPr>
                <w:lang w:eastAsia="en-AU"/>
              </w:rPr>
              <w:t xml:space="preserve"> 6 – Pathology Services </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19C610BD" w:rsidR="00BE3ED5" w:rsidRDefault="008437CA" w:rsidP="001210F8">
            <w:pPr>
              <w:rPr>
                <w:b w:val="0"/>
                <w:bCs w:val="0"/>
                <w:lang w:eastAsia="en-AU"/>
              </w:rPr>
            </w:pPr>
            <w:r>
              <w:rPr>
                <w:lang w:eastAsia="en-AU"/>
              </w:rPr>
              <w:t>Group</w:t>
            </w:r>
            <w:r w:rsidR="00824671">
              <w:rPr>
                <w:lang w:eastAsia="en-AU"/>
              </w:rPr>
              <w:t xml:space="preserve"> </w:t>
            </w:r>
            <w:r w:rsidR="00153376">
              <w:rPr>
                <w:lang w:eastAsia="en-AU"/>
              </w:rPr>
              <w:t>7</w:t>
            </w:r>
            <w:r w:rsidR="00824671">
              <w:rPr>
                <w:lang w:eastAsia="en-AU"/>
              </w:rPr>
              <w:t xml:space="preserve"> – Genetics </w:t>
            </w:r>
          </w:p>
        </w:tc>
      </w:tr>
      <w:tr w:rsidR="00547ABC" w14:paraId="3DDFF680" w14:textId="77777777" w:rsidTr="00237003">
        <w:tc>
          <w:tcPr>
            <w:cnfStyle w:val="001000000000" w:firstRow="0" w:lastRow="0" w:firstColumn="1" w:lastColumn="0" w:oddVBand="0" w:evenVBand="0" w:oddHBand="0" w:evenHBand="0" w:firstRowFirstColumn="0" w:firstRowLastColumn="0" w:lastRowFirstColumn="0" w:lastRowLastColumn="0"/>
            <w:tcW w:w="9060" w:type="dxa"/>
            <w:hideMark/>
          </w:tcPr>
          <w:p w14:paraId="004BC917" w14:textId="13150215" w:rsidR="00547ABC" w:rsidRDefault="00547ABC" w:rsidP="00547ABC">
            <w:pPr>
              <w:spacing w:after="0" w:line="240" w:lineRule="auto"/>
              <w:rPr>
                <w:rFonts w:cs="Arial"/>
                <w:szCs w:val="22"/>
              </w:rPr>
            </w:pPr>
            <w:r>
              <w:rPr>
                <w:rFonts w:cs="Arial"/>
                <w:szCs w:val="22"/>
              </w:rPr>
              <w:t>73374</w:t>
            </w:r>
          </w:p>
          <w:p w14:paraId="573ED67A" w14:textId="23D3680F" w:rsidR="00547ABC" w:rsidRPr="00547ABC" w:rsidRDefault="00547ABC" w:rsidP="00547ABC">
            <w:pPr>
              <w:spacing w:after="0" w:line="240" w:lineRule="auto"/>
              <w:rPr>
                <w:rFonts w:cs="Arial"/>
                <w:b w:val="0"/>
                <w:bCs w:val="0"/>
                <w:szCs w:val="22"/>
              </w:rPr>
            </w:pPr>
            <w:r w:rsidRPr="00547ABC">
              <w:rPr>
                <w:rFonts w:cs="Arial"/>
                <w:b w:val="0"/>
                <w:bCs w:val="0"/>
                <w:szCs w:val="22"/>
              </w:rPr>
              <w:t>Analysis of tumour tissue, requested by a specialist or consultant physician, that:</w:t>
            </w:r>
          </w:p>
          <w:p w14:paraId="20B6F345" w14:textId="750D2533" w:rsidR="00547ABC" w:rsidRPr="00547ABC" w:rsidRDefault="00547ABC" w:rsidP="00547ABC">
            <w:pPr>
              <w:pStyle w:val="ListParagraph"/>
              <w:numPr>
                <w:ilvl w:val="0"/>
                <w:numId w:val="39"/>
              </w:numPr>
              <w:spacing w:before="0" w:after="200"/>
              <w:rPr>
                <w:rFonts w:cs="Arial"/>
                <w:b w:val="0"/>
                <w:bCs w:val="0"/>
                <w:szCs w:val="22"/>
              </w:rPr>
            </w:pPr>
            <w:r w:rsidRPr="00547ABC">
              <w:rPr>
                <w:rFonts w:cs="Arial"/>
                <w:b w:val="0"/>
                <w:bCs w:val="0"/>
                <w:szCs w:val="22"/>
              </w:rPr>
              <w:t xml:space="preserve">is for the characterisation of copy number changes, gene rearrangements, or other molecular changes in </w:t>
            </w:r>
            <w:r w:rsidRPr="00547ABC">
              <w:rPr>
                <w:rFonts w:cs="Arial"/>
                <w:b w:val="0"/>
                <w:bCs w:val="0"/>
                <w:strike/>
                <w:szCs w:val="22"/>
              </w:rPr>
              <w:t>of the following genes:</w:t>
            </w:r>
            <w:r w:rsidRPr="00547ABC">
              <w:rPr>
                <w:rFonts w:cs="Arial"/>
                <w:b w:val="0"/>
                <w:bCs w:val="0"/>
                <w:szCs w:val="22"/>
              </w:rPr>
              <w:t xml:space="preserve"> </w:t>
            </w:r>
            <w:r w:rsidRPr="008A0FF4">
              <w:rPr>
                <w:rFonts w:cs="Arial"/>
                <w:b w:val="0"/>
                <w:bCs w:val="0"/>
                <w:color w:val="A20000"/>
                <w:szCs w:val="22"/>
              </w:rPr>
              <w:t>gene</w:t>
            </w:r>
            <w:r w:rsidR="00C714A7" w:rsidRPr="008A0FF4">
              <w:rPr>
                <w:rFonts w:cs="Arial"/>
                <w:b w:val="0"/>
                <w:bCs w:val="0"/>
                <w:color w:val="A20000"/>
                <w:szCs w:val="22"/>
              </w:rPr>
              <w:t>s</w:t>
            </w:r>
            <w:r w:rsidRPr="008A0FF4">
              <w:rPr>
                <w:rFonts w:cs="Arial"/>
                <w:b w:val="0"/>
                <w:bCs w:val="0"/>
                <w:color w:val="A20000"/>
                <w:szCs w:val="22"/>
              </w:rPr>
              <w:t xml:space="preserve"> associated with </w:t>
            </w:r>
            <w:proofErr w:type="gramStart"/>
            <w:r w:rsidRPr="008A0FF4">
              <w:rPr>
                <w:rFonts w:cs="Arial"/>
                <w:b w:val="0"/>
                <w:bCs w:val="0"/>
                <w:color w:val="A20000"/>
                <w:szCs w:val="22"/>
              </w:rPr>
              <w:t>sarcoma;</w:t>
            </w:r>
            <w:proofErr w:type="gramEnd"/>
            <w:r w:rsidRPr="008A0FF4">
              <w:rPr>
                <w:rFonts w:cs="Arial"/>
                <w:b w:val="0"/>
                <w:bCs w:val="0"/>
                <w:color w:val="A20000"/>
                <w:szCs w:val="22"/>
              </w:rPr>
              <w:t xml:space="preserve"> </w:t>
            </w:r>
          </w:p>
          <w:p w14:paraId="259F5597" w14:textId="77777777" w:rsidR="00547ABC" w:rsidRPr="00547ABC" w:rsidRDefault="00547ABC" w:rsidP="00547ABC">
            <w:pPr>
              <w:pStyle w:val="ListParagraph"/>
              <w:ind w:left="360"/>
              <w:rPr>
                <w:rFonts w:cs="Arial"/>
                <w:b w:val="0"/>
                <w:bCs w:val="0"/>
                <w:szCs w:val="22"/>
              </w:rPr>
            </w:pPr>
            <w:r w:rsidRPr="00547ABC">
              <w:rPr>
                <w:rFonts w:cs="Arial"/>
                <w:b w:val="0"/>
                <w:bCs w:val="0"/>
                <w:strike/>
                <w:szCs w:val="22"/>
              </w:rPr>
              <w:t>(i) MDM2 CNV; (ii) FUS; (iii) DDIT3; (iv) EWSR1; (v) ETV6; (vi) NTRK1; (vii) NTRK3; (viii) COL1A1; (ix) PDGFB; (x) STAT6; (xi) PAX3; (xii) PAX7; (xiii) SS18; (xiv) BCOR; (xv) CIC; (xvi) HEY1; (xvii) ALK; (xviii) USP6; (xix) NR4A3; (xx) NCOA2; (xxi) FOXO1;</w:t>
            </w:r>
            <w:r w:rsidRPr="00547ABC">
              <w:rPr>
                <w:rFonts w:cs="Arial"/>
                <w:b w:val="0"/>
                <w:bCs w:val="0"/>
                <w:szCs w:val="22"/>
              </w:rPr>
              <w:t xml:space="preserve"> and </w:t>
            </w:r>
          </w:p>
          <w:p w14:paraId="2D677111" w14:textId="23471C82" w:rsidR="001F6401" w:rsidRPr="00C70E72" w:rsidRDefault="00547ABC" w:rsidP="001F6401">
            <w:pPr>
              <w:pStyle w:val="ListParagraph"/>
              <w:numPr>
                <w:ilvl w:val="0"/>
                <w:numId w:val="39"/>
              </w:numPr>
              <w:spacing w:before="0" w:after="0" w:line="240" w:lineRule="auto"/>
              <w:rPr>
                <w:rFonts w:cs="Arial"/>
                <w:b w:val="0"/>
                <w:bCs w:val="0"/>
                <w:color w:val="00598F" w:themeColor="accent3" w:themeShade="BF"/>
                <w:szCs w:val="22"/>
              </w:rPr>
            </w:pPr>
            <w:r w:rsidRPr="00547ABC">
              <w:rPr>
                <w:rFonts w:cs="Arial"/>
                <w:b w:val="0"/>
                <w:bCs w:val="0"/>
                <w:szCs w:val="22"/>
              </w:rPr>
              <w:t>is for a patient with clinical or laboratory evidence, including morphological features, of sarcoma</w:t>
            </w:r>
            <w:r w:rsidR="001F6401" w:rsidRPr="00C70E72">
              <w:rPr>
                <w:rFonts w:cs="Arial"/>
                <w:b w:val="0"/>
                <w:bCs w:val="0"/>
                <w:color w:val="00598F" w:themeColor="accent3" w:themeShade="BF"/>
                <w:szCs w:val="22"/>
              </w:rPr>
              <w:t>—</w:t>
            </w:r>
          </w:p>
          <w:p w14:paraId="4FAE881B" w14:textId="002189C9" w:rsidR="00547ABC" w:rsidRPr="008A0FF4" w:rsidRDefault="001F6401" w:rsidP="00DE6D9D">
            <w:pPr>
              <w:spacing w:after="0" w:line="240" w:lineRule="auto"/>
              <w:rPr>
                <w:rFonts w:cs="Arial"/>
                <w:b w:val="0"/>
                <w:bCs w:val="0"/>
                <w:color w:val="A20000"/>
                <w:szCs w:val="22"/>
              </w:rPr>
            </w:pPr>
            <w:r w:rsidRPr="008A0FF4">
              <w:rPr>
                <w:rFonts w:cs="Arial"/>
                <w:b w:val="0"/>
                <w:bCs w:val="0"/>
                <w:color w:val="A20000"/>
                <w:szCs w:val="22"/>
              </w:rPr>
              <w:t>analysis in relation to only one gene</w:t>
            </w:r>
          </w:p>
          <w:p w14:paraId="75A85656" w14:textId="42717B96" w:rsidR="00547ABC" w:rsidRPr="00547ABC" w:rsidRDefault="00547ABC" w:rsidP="00547ABC">
            <w:pPr>
              <w:spacing w:after="0" w:line="240" w:lineRule="auto"/>
              <w:rPr>
                <w:rFonts w:cs="Arial"/>
                <w:b w:val="0"/>
                <w:bCs w:val="0"/>
                <w:szCs w:val="22"/>
              </w:rPr>
            </w:pPr>
            <w:r w:rsidRPr="00547ABC">
              <w:rPr>
                <w:rFonts w:cs="Arial"/>
                <w:b w:val="0"/>
                <w:bCs w:val="0"/>
                <w:szCs w:val="22"/>
              </w:rPr>
              <w:t xml:space="preserve">Applicable </w:t>
            </w:r>
            <w:r w:rsidRPr="00547ABC">
              <w:rPr>
                <w:rFonts w:cs="Arial"/>
                <w:b w:val="0"/>
                <w:bCs w:val="0"/>
                <w:strike/>
                <w:szCs w:val="22"/>
              </w:rPr>
              <w:t>only per lifetime</w:t>
            </w:r>
            <w:r w:rsidRPr="00547ABC">
              <w:rPr>
                <w:rFonts w:cs="Arial"/>
                <w:b w:val="0"/>
                <w:bCs w:val="0"/>
                <w:szCs w:val="22"/>
              </w:rPr>
              <w:t xml:space="preserve"> </w:t>
            </w:r>
            <w:r w:rsidRPr="008A0FF4">
              <w:rPr>
                <w:rFonts w:cs="Arial"/>
                <w:b w:val="0"/>
                <w:bCs w:val="0"/>
                <w:color w:val="A20000"/>
                <w:szCs w:val="22"/>
              </w:rPr>
              <w:t xml:space="preserve">once per tumour diagnostic episode. </w:t>
            </w:r>
          </w:p>
          <w:p w14:paraId="24BECFD7" w14:textId="60289856" w:rsidR="00237003" w:rsidRDefault="00547ABC" w:rsidP="00237003">
            <w:pPr>
              <w:spacing w:after="0" w:line="240" w:lineRule="auto"/>
              <w:rPr>
                <w:rFonts w:cs="Arial"/>
                <w:szCs w:val="22"/>
              </w:rPr>
            </w:pPr>
            <w:r w:rsidRPr="00547ABC">
              <w:rPr>
                <w:rFonts w:cs="Arial"/>
                <w:b w:val="0"/>
                <w:bCs w:val="0"/>
                <w:szCs w:val="22"/>
              </w:rPr>
              <w:br/>
              <w:t xml:space="preserve">Fee: $340.00 </w:t>
            </w:r>
            <w:r w:rsidR="00D160B9">
              <w:rPr>
                <w:rFonts w:cs="Arial"/>
                <w:b w:val="0"/>
                <w:bCs w:val="0"/>
                <w:szCs w:val="22"/>
              </w:rPr>
              <w:t xml:space="preserve">   </w:t>
            </w:r>
            <w:r w:rsidRPr="00547ABC">
              <w:rPr>
                <w:rFonts w:cs="Arial"/>
                <w:b w:val="0"/>
                <w:bCs w:val="0"/>
                <w:szCs w:val="22"/>
              </w:rPr>
              <w:t xml:space="preserve">Benefit: 75% = $255.00 </w:t>
            </w:r>
            <w:r w:rsidR="00D160B9">
              <w:rPr>
                <w:rFonts w:cs="Arial"/>
                <w:b w:val="0"/>
                <w:bCs w:val="0"/>
                <w:szCs w:val="22"/>
              </w:rPr>
              <w:t xml:space="preserve">  </w:t>
            </w:r>
            <w:r w:rsidRPr="00547ABC">
              <w:rPr>
                <w:rFonts w:cs="Arial"/>
                <w:b w:val="0"/>
                <w:bCs w:val="0"/>
                <w:szCs w:val="22"/>
              </w:rPr>
              <w:t xml:space="preserve">85% = $289.00 </w:t>
            </w:r>
          </w:p>
          <w:p w14:paraId="7D263584" w14:textId="0959FC06" w:rsidR="00935CC7" w:rsidRPr="00AD3453" w:rsidRDefault="00935CC7" w:rsidP="002C09EF">
            <w:pPr>
              <w:pStyle w:val="ListBullet"/>
              <w:numPr>
                <w:ilvl w:val="0"/>
                <w:numId w:val="0"/>
              </w:numPr>
              <w:rPr>
                <w:b w:val="0"/>
                <w:bCs w:val="0"/>
              </w:rPr>
            </w:pPr>
          </w:p>
        </w:tc>
      </w:tr>
      <w:bookmarkEnd w:id="3"/>
    </w:tbl>
    <w:p w14:paraId="025190BF" w14:textId="57F8B6B7" w:rsidR="00237003" w:rsidRDefault="00237003" w:rsidP="00BE3ED5"/>
    <w:p w14:paraId="7B867DA4" w14:textId="77777777" w:rsidR="00237003" w:rsidRDefault="00237003">
      <w:pPr>
        <w:spacing w:before="0" w:after="0" w:line="240" w:lineRule="auto"/>
      </w:pPr>
      <w:r>
        <w:br w:type="page"/>
      </w:r>
    </w:p>
    <w:tbl>
      <w:tblPr>
        <w:tblStyle w:val="GridTable4-Accent2"/>
        <w:tblW w:w="0" w:type="auto"/>
        <w:tblLook w:val="04A0" w:firstRow="1" w:lastRow="0" w:firstColumn="1" w:lastColumn="0" w:noHBand="0" w:noVBand="1"/>
      </w:tblPr>
      <w:tblGrid>
        <w:gridCol w:w="9060"/>
      </w:tblGrid>
      <w:tr w:rsidR="00237003" w14:paraId="5FFF3F7D" w14:textId="77777777" w:rsidTr="00A032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8E2CDD4" w14:textId="75EE8A3F" w:rsidR="00237003" w:rsidRPr="00237003" w:rsidRDefault="00237003" w:rsidP="00237003">
            <w:pPr>
              <w:rPr>
                <w:lang w:eastAsia="en-AU"/>
              </w:rPr>
            </w:pPr>
            <w:r>
              <w:rPr>
                <w:lang w:eastAsia="en-AU"/>
              </w:rPr>
              <w:lastRenderedPageBreak/>
              <w:t xml:space="preserve">Category 6 – Pathology Services </w:t>
            </w:r>
          </w:p>
        </w:tc>
      </w:tr>
      <w:tr w:rsidR="00237003" w14:paraId="3EFE8624" w14:textId="77777777" w:rsidTr="00A03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CA0C6FB" w14:textId="5B3A7F02" w:rsidR="00237003" w:rsidRPr="00237003" w:rsidRDefault="00237003" w:rsidP="00237003">
            <w:pPr>
              <w:rPr>
                <w:lang w:eastAsia="en-AU"/>
              </w:rPr>
            </w:pPr>
            <w:r>
              <w:rPr>
                <w:lang w:eastAsia="en-AU"/>
              </w:rPr>
              <w:t xml:space="preserve">Group 7 – Genetics </w:t>
            </w:r>
          </w:p>
        </w:tc>
      </w:tr>
      <w:tr w:rsidR="00237003" w14:paraId="43C4B691" w14:textId="77777777" w:rsidTr="00A0328A">
        <w:tc>
          <w:tcPr>
            <w:cnfStyle w:val="001000000000" w:firstRow="0" w:lastRow="0" w:firstColumn="1" w:lastColumn="0" w:oddVBand="0" w:evenVBand="0" w:oddHBand="0" w:evenHBand="0" w:firstRowFirstColumn="0" w:firstRowLastColumn="0" w:lastRowFirstColumn="0" w:lastRowLastColumn="0"/>
            <w:tcW w:w="9060" w:type="dxa"/>
            <w:hideMark/>
          </w:tcPr>
          <w:p w14:paraId="718F03BF" w14:textId="77777777" w:rsidR="00237003" w:rsidRPr="00547ABC" w:rsidRDefault="00237003" w:rsidP="00A0328A">
            <w:pPr>
              <w:spacing w:after="0" w:line="240" w:lineRule="auto"/>
              <w:rPr>
                <w:rFonts w:cs="Arial"/>
                <w:szCs w:val="22"/>
              </w:rPr>
            </w:pPr>
            <w:r w:rsidRPr="00547ABC">
              <w:rPr>
                <w:rFonts w:cs="Arial"/>
                <w:szCs w:val="22"/>
              </w:rPr>
              <w:t>73375</w:t>
            </w:r>
          </w:p>
          <w:p w14:paraId="168FAA4E" w14:textId="77777777" w:rsidR="00237003" w:rsidRPr="00547ABC" w:rsidRDefault="00237003" w:rsidP="00A0328A">
            <w:pPr>
              <w:spacing w:after="0" w:line="240" w:lineRule="auto"/>
              <w:rPr>
                <w:rFonts w:cs="Arial"/>
                <w:b w:val="0"/>
                <w:bCs w:val="0"/>
                <w:strike/>
                <w:szCs w:val="22"/>
              </w:rPr>
            </w:pPr>
            <w:r w:rsidRPr="00547ABC">
              <w:rPr>
                <w:rFonts w:cs="Arial"/>
                <w:b w:val="0"/>
                <w:bCs w:val="0"/>
                <w:strike/>
                <w:szCs w:val="22"/>
              </w:rPr>
              <w:t>Analysis of tumour tissue, requested by a specialist or consultant physician, that:</w:t>
            </w:r>
          </w:p>
          <w:p w14:paraId="208525D0" w14:textId="77777777" w:rsidR="00237003" w:rsidRPr="00547ABC" w:rsidRDefault="00237003" w:rsidP="00A0328A">
            <w:pPr>
              <w:spacing w:after="0" w:line="240" w:lineRule="auto"/>
              <w:rPr>
                <w:rFonts w:cs="Arial"/>
                <w:b w:val="0"/>
                <w:bCs w:val="0"/>
                <w:strike/>
                <w:szCs w:val="22"/>
              </w:rPr>
            </w:pPr>
            <w:r w:rsidRPr="00547ABC">
              <w:rPr>
                <w:rFonts w:cs="Arial"/>
                <w:b w:val="0"/>
                <w:bCs w:val="0"/>
                <w:strike/>
                <w:szCs w:val="22"/>
              </w:rPr>
              <w:t>(a) is for the characterisation of copy number changes, gene rearrangements, or other molecular changes, in 2 or 3 genes mentioned in item 73374; and</w:t>
            </w:r>
          </w:p>
          <w:p w14:paraId="2F086E3C" w14:textId="77777777" w:rsidR="00237003" w:rsidRPr="00DE26BC" w:rsidRDefault="00237003" w:rsidP="00A0328A">
            <w:pPr>
              <w:spacing w:after="0" w:line="240" w:lineRule="auto"/>
              <w:rPr>
                <w:rFonts w:cs="Arial"/>
                <w:b w:val="0"/>
                <w:bCs w:val="0"/>
                <w:strike/>
                <w:szCs w:val="22"/>
              </w:rPr>
            </w:pPr>
            <w:r w:rsidRPr="00547ABC">
              <w:rPr>
                <w:rFonts w:cs="Arial"/>
                <w:b w:val="0"/>
                <w:bCs w:val="0"/>
                <w:strike/>
                <w:szCs w:val="22"/>
              </w:rPr>
              <w:t>(b) is for a patient with clinical or laboratory evidence, including morphological features, of sarcoma</w:t>
            </w:r>
          </w:p>
          <w:p w14:paraId="7179CD2F" w14:textId="77777777" w:rsidR="00237003" w:rsidRPr="008A0FF4" w:rsidRDefault="00237003" w:rsidP="00A0328A">
            <w:pPr>
              <w:spacing w:after="0" w:line="240" w:lineRule="auto"/>
              <w:rPr>
                <w:rFonts w:cs="Arial"/>
                <w:b w:val="0"/>
                <w:bCs w:val="0"/>
                <w:color w:val="A20000"/>
                <w:szCs w:val="22"/>
              </w:rPr>
            </w:pPr>
            <w:r w:rsidRPr="008A0FF4">
              <w:rPr>
                <w:rFonts w:cs="Arial"/>
                <w:b w:val="0"/>
                <w:bCs w:val="0"/>
                <w:color w:val="A20000"/>
                <w:szCs w:val="22"/>
              </w:rPr>
              <w:t xml:space="preserve">An analysis described in item 73374 – analysis in relation to only 2 or 3 genes </w:t>
            </w:r>
          </w:p>
          <w:p w14:paraId="68C178A9" w14:textId="77777777" w:rsidR="00237003" w:rsidRPr="00547ABC" w:rsidRDefault="00237003" w:rsidP="00A0328A">
            <w:pPr>
              <w:spacing w:after="0" w:line="240" w:lineRule="auto"/>
              <w:rPr>
                <w:rFonts w:cs="Arial"/>
                <w:b w:val="0"/>
                <w:bCs w:val="0"/>
                <w:szCs w:val="22"/>
              </w:rPr>
            </w:pPr>
            <w:r w:rsidRPr="00547ABC">
              <w:rPr>
                <w:rFonts w:cs="Arial"/>
                <w:b w:val="0"/>
                <w:bCs w:val="0"/>
                <w:szCs w:val="22"/>
              </w:rPr>
              <w:t xml:space="preserve">Applicable </w:t>
            </w:r>
            <w:r w:rsidRPr="00547ABC">
              <w:rPr>
                <w:rFonts w:cs="Arial"/>
                <w:b w:val="0"/>
                <w:bCs w:val="0"/>
                <w:strike/>
                <w:szCs w:val="22"/>
              </w:rPr>
              <w:t>only per lifetime</w:t>
            </w:r>
            <w:r w:rsidRPr="00547ABC">
              <w:rPr>
                <w:rFonts w:cs="Arial"/>
                <w:b w:val="0"/>
                <w:bCs w:val="0"/>
                <w:szCs w:val="22"/>
              </w:rPr>
              <w:t xml:space="preserve"> </w:t>
            </w:r>
            <w:r w:rsidRPr="008A0FF4">
              <w:rPr>
                <w:rFonts w:cs="Arial"/>
                <w:b w:val="0"/>
                <w:bCs w:val="0"/>
                <w:color w:val="A20000"/>
                <w:szCs w:val="22"/>
              </w:rPr>
              <w:t>once per tumour diagnostic episode</w:t>
            </w:r>
            <w:r w:rsidRPr="00547ABC">
              <w:rPr>
                <w:rFonts w:cs="Arial"/>
                <w:b w:val="0"/>
                <w:bCs w:val="0"/>
                <w:szCs w:val="22"/>
              </w:rPr>
              <w:t xml:space="preserve">. </w:t>
            </w:r>
          </w:p>
          <w:p w14:paraId="439CB022" w14:textId="28F04861" w:rsidR="00237003" w:rsidRDefault="00237003" w:rsidP="00A0328A">
            <w:pPr>
              <w:spacing w:after="0" w:line="240" w:lineRule="auto"/>
              <w:rPr>
                <w:rFonts w:cs="Arial"/>
                <w:szCs w:val="22"/>
              </w:rPr>
            </w:pPr>
            <w:r w:rsidRPr="00547ABC">
              <w:rPr>
                <w:rFonts w:cs="Arial"/>
                <w:b w:val="0"/>
                <w:bCs w:val="0"/>
                <w:szCs w:val="22"/>
              </w:rPr>
              <w:br/>
              <w:t xml:space="preserve">Fee: $400.00 </w:t>
            </w:r>
            <w:r w:rsidR="00D160B9">
              <w:rPr>
                <w:rFonts w:cs="Arial"/>
                <w:b w:val="0"/>
                <w:bCs w:val="0"/>
                <w:szCs w:val="22"/>
              </w:rPr>
              <w:t xml:space="preserve">   </w:t>
            </w:r>
            <w:r w:rsidRPr="00547ABC">
              <w:rPr>
                <w:rFonts w:cs="Arial"/>
                <w:b w:val="0"/>
                <w:bCs w:val="0"/>
                <w:szCs w:val="22"/>
              </w:rPr>
              <w:t xml:space="preserve">Benefit: 75% = $300.00 </w:t>
            </w:r>
            <w:r w:rsidR="00D160B9">
              <w:rPr>
                <w:rFonts w:cs="Arial"/>
                <w:b w:val="0"/>
                <w:bCs w:val="0"/>
                <w:szCs w:val="22"/>
              </w:rPr>
              <w:t xml:space="preserve">  </w:t>
            </w:r>
            <w:r w:rsidRPr="00547ABC">
              <w:rPr>
                <w:rFonts w:cs="Arial"/>
                <w:b w:val="0"/>
                <w:bCs w:val="0"/>
                <w:szCs w:val="22"/>
              </w:rPr>
              <w:t>85% = $340.00</w:t>
            </w:r>
          </w:p>
          <w:p w14:paraId="613EDD82" w14:textId="663A69C3" w:rsidR="009602DC" w:rsidRPr="00AD3453" w:rsidRDefault="009602DC" w:rsidP="002C09EF">
            <w:pPr>
              <w:pStyle w:val="ListBullet"/>
              <w:numPr>
                <w:ilvl w:val="0"/>
                <w:numId w:val="0"/>
              </w:numPr>
              <w:ind w:left="360" w:hanging="360"/>
              <w:rPr>
                <w:b w:val="0"/>
                <w:bCs w:val="0"/>
              </w:rPr>
            </w:pPr>
          </w:p>
        </w:tc>
      </w:tr>
      <w:tr w:rsidR="00237003" w14:paraId="13A30D15" w14:textId="77777777" w:rsidTr="00A03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C9CB98E" w14:textId="77777777" w:rsidR="00237003" w:rsidRPr="00547ABC" w:rsidRDefault="00237003" w:rsidP="00A0328A">
            <w:pPr>
              <w:spacing w:after="0" w:line="240" w:lineRule="auto"/>
              <w:rPr>
                <w:rFonts w:cs="Arial"/>
                <w:szCs w:val="22"/>
              </w:rPr>
            </w:pPr>
            <w:r w:rsidRPr="00547ABC">
              <w:rPr>
                <w:rFonts w:cs="Arial"/>
                <w:szCs w:val="22"/>
              </w:rPr>
              <w:t>73376</w:t>
            </w:r>
          </w:p>
          <w:p w14:paraId="53877778" w14:textId="77777777" w:rsidR="00237003" w:rsidRPr="00547ABC" w:rsidRDefault="00237003" w:rsidP="00A0328A">
            <w:pPr>
              <w:spacing w:after="0" w:line="240" w:lineRule="auto"/>
              <w:rPr>
                <w:rFonts w:cs="Arial"/>
                <w:b w:val="0"/>
                <w:bCs w:val="0"/>
                <w:strike/>
                <w:szCs w:val="22"/>
              </w:rPr>
            </w:pPr>
            <w:r w:rsidRPr="00547ABC">
              <w:rPr>
                <w:rFonts w:cs="Arial"/>
                <w:b w:val="0"/>
                <w:bCs w:val="0"/>
                <w:strike/>
                <w:szCs w:val="22"/>
              </w:rPr>
              <w:t>Analysis of tumour tissue, requested by a specialist or consultant physician, that:</w:t>
            </w:r>
          </w:p>
          <w:p w14:paraId="0EFF0C3D" w14:textId="77777777" w:rsidR="00237003" w:rsidRPr="00547ABC" w:rsidRDefault="00237003" w:rsidP="00A0328A">
            <w:pPr>
              <w:spacing w:after="0" w:line="240" w:lineRule="auto"/>
              <w:rPr>
                <w:rFonts w:cs="Arial"/>
                <w:b w:val="0"/>
                <w:bCs w:val="0"/>
                <w:strike/>
                <w:szCs w:val="22"/>
              </w:rPr>
            </w:pPr>
            <w:r w:rsidRPr="00547ABC">
              <w:rPr>
                <w:rFonts w:cs="Arial"/>
                <w:b w:val="0"/>
                <w:bCs w:val="0"/>
                <w:strike/>
                <w:szCs w:val="22"/>
              </w:rPr>
              <w:t>(a) is for the characterisation of copy number changes, gene rearrangements, or other molecular changes, in 4 or more genes mentioned in item 73374; and</w:t>
            </w:r>
          </w:p>
          <w:p w14:paraId="69854B3C" w14:textId="77777777" w:rsidR="00237003" w:rsidRPr="00857820" w:rsidRDefault="00237003" w:rsidP="00A0328A">
            <w:pPr>
              <w:spacing w:after="0" w:line="240" w:lineRule="auto"/>
              <w:rPr>
                <w:rFonts w:cs="Arial"/>
                <w:b w:val="0"/>
                <w:bCs w:val="0"/>
                <w:strike/>
                <w:szCs w:val="22"/>
              </w:rPr>
            </w:pPr>
            <w:r w:rsidRPr="00547ABC">
              <w:rPr>
                <w:rFonts w:cs="Arial"/>
                <w:b w:val="0"/>
                <w:bCs w:val="0"/>
                <w:strike/>
                <w:szCs w:val="22"/>
              </w:rPr>
              <w:t>(b) is for a patient with clinical or laboratory evidence, including morphological features, of sarcoma</w:t>
            </w:r>
          </w:p>
          <w:p w14:paraId="39A43D26" w14:textId="661456DA" w:rsidR="00237003" w:rsidRPr="008A0FF4" w:rsidRDefault="00237003" w:rsidP="00A0328A">
            <w:pPr>
              <w:spacing w:after="0" w:line="240" w:lineRule="auto"/>
              <w:rPr>
                <w:rFonts w:cs="Arial"/>
                <w:b w:val="0"/>
                <w:bCs w:val="0"/>
                <w:color w:val="A20000"/>
                <w:szCs w:val="22"/>
              </w:rPr>
            </w:pPr>
            <w:r w:rsidRPr="008A0FF4">
              <w:rPr>
                <w:rFonts w:cs="Arial"/>
                <w:b w:val="0"/>
                <w:bCs w:val="0"/>
                <w:color w:val="A20000"/>
                <w:szCs w:val="22"/>
              </w:rPr>
              <w:t>A</w:t>
            </w:r>
            <w:r w:rsidR="00AF7C2B" w:rsidRPr="008A0FF4">
              <w:rPr>
                <w:rFonts w:cs="Arial"/>
                <w:b w:val="0"/>
                <w:bCs w:val="0"/>
                <w:color w:val="A20000"/>
                <w:szCs w:val="22"/>
              </w:rPr>
              <w:t>n analysis</w:t>
            </w:r>
            <w:r w:rsidRPr="008A0FF4">
              <w:rPr>
                <w:rFonts w:cs="Arial"/>
                <w:b w:val="0"/>
                <w:bCs w:val="0"/>
                <w:color w:val="A20000"/>
                <w:szCs w:val="22"/>
              </w:rPr>
              <w:t xml:space="preserve"> described in item 73374 – analysis in relation to 4 or more genes </w:t>
            </w:r>
          </w:p>
          <w:p w14:paraId="6CCABA69" w14:textId="77777777" w:rsidR="00237003" w:rsidRPr="00547ABC" w:rsidRDefault="00237003" w:rsidP="00A0328A">
            <w:pPr>
              <w:spacing w:after="0" w:line="240" w:lineRule="auto"/>
              <w:rPr>
                <w:rFonts w:cs="Arial"/>
                <w:b w:val="0"/>
                <w:bCs w:val="0"/>
                <w:szCs w:val="22"/>
              </w:rPr>
            </w:pPr>
            <w:r w:rsidRPr="00547ABC">
              <w:rPr>
                <w:rFonts w:cs="Arial"/>
                <w:b w:val="0"/>
                <w:bCs w:val="0"/>
                <w:szCs w:val="22"/>
              </w:rPr>
              <w:t xml:space="preserve">Applicable </w:t>
            </w:r>
            <w:r w:rsidRPr="00547ABC">
              <w:rPr>
                <w:rFonts w:cs="Arial"/>
                <w:b w:val="0"/>
                <w:bCs w:val="0"/>
                <w:strike/>
                <w:szCs w:val="22"/>
              </w:rPr>
              <w:t>only per lifetime</w:t>
            </w:r>
            <w:r w:rsidRPr="00547ABC">
              <w:rPr>
                <w:rFonts w:cs="Arial"/>
                <w:b w:val="0"/>
                <w:bCs w:val="0"/>
                <w:szCs w:val="22"/>
              </w:rPr>
              <w:t xml:space="preserve"> </w:t>
            </w:r>
            <w:r w:rsidRPr="008A0FF4">
              <w:rPr>
                <w:rFonts w:cs="Arial"/>
                <w:b w:val="0"/>
                <w:bCs w:val="0"/>
                <w:color w:val="A20000"/>
                <w:szCs w:val="22"/>
              </w:rPr>
              <w:t xml:space="preserve">once per tumour diagnostic episode. </w:t>
            </w:r>
          </w:p>
          <w:p w14:paraId="39E971DB" w14:textId="77777777" w:rsidR="00237003" w:rsidRDefault="00237003" w:rsidP="00A0328A">
            <w:pPr>
              <w:spacing w:after="0" w:line="240" w:lineRule="auto"/>
              <w:rPr>
                <w:rFonts w:cs="Arial"/>
                <w:szCs w:val="22"/>
              </w:rPr>
            </w:pPr>
            <w:r w:rsidRPr="00547ABC">
              <w:rPr>
                <w:rFonts w:cs="Arial"/>
                <w:b w:val="0"/>
                <w:bCs w:val="0"/>
                <w:szCs w:val="22"/>
              </w:rPr>
              <w:br/>
              <w:t xml:space="preserve">Fee: $800.00 </w:t>
            </w:r>
            <w:r w:rsidR="00D160B9">
              <w:rPr>
                <w:rFonts w:cs="Arial"/>
                <w:b w:val="0"/>
                <w:bCs w:val="0"/>
                <w:szCs w:val="22"/>
              </w:rPr>
              <w:t xml:space="preserve">   </w:t>
            </w:r>
            <w:r w:rsidRPr="00547ABC">
              <w:rPr>
                <w:rFonts w:cs="Arial"/>
                <w:b w:val="0"/>
                <w:bCs w:val="0"/>
                <w:szCs w:val="22"/>
              </w:rPr>
              <w:t xml:space="preserve">Benefit: 75% = $600.00 </w:t>
            </w:r>
            <w:r w:rsidR="00D160B9">
              <w:rPr>
                <w:rFonts w:cs="Arial"/>
                <w:b w:val="0"/>
                <w:bCs w:val="0"/>
                <w:szCs w:val="22"/>
              </w:rPr>
              <w:t xml:space="preserve">  </w:t>
            </w:r>
            <w:r w:rsidRPr="00547ABC">
              <w:rPr>
                <w:rFonts w:cs="Arial"/>
                <w:b w:val="0"/>
                <w:bCs w:val="0"/>
                <w:szCs w:val="22"/>
              </w:rPr>
              <w:t>85% = $69</w:t>
            </w:r>
            <w:r w:rsidR="00B80CA5">
              <w:rPr>
                <w:rFonts w:cs="Arial"/>
                <w:b w:val="0"/>
                <w:bCs w:val="0"/>
                <w:szCs w:val="22"/>
              </w:rPr>
              <w:t>5</w:t>
            </w:r>
            <w:r w:rsidRPr="00547ABC">
              <w:rPr>
                <w:rFonts w:cs="Arial"/>
                <w:b w:val="0"/>
                <w:bCs w:val="0"/>
                <w:szCs w:val="22"/>
              </w:rPr>
              <w:t>.</w:t>
            </w:r>
            <w:r w:rsidR="00B80CA5">
              <w:rPr>
                <w:rFonts w:cs="Arial"/>
                <w:b w:val="0"/>
                <w:bCs w:val="0"/>
                <w:szCs w:val="22"/>
              </w:rPr>
              <w:t>5</w:t>
            </w:r>
            <w:r w:rsidRPr="00547ABC">
              <w:rPr>
                <w:rFonts w:cs="Arial"/>
                <w:b w:val="0"/>
                <w:bCs w:val="0"/>
                <w:szCs w:val="22"/>
              </w:rPr>
              <w:t>0</w:t>
            </w:r>
            <w:r>
              <w:rPr>
                <w:rFonts w:cs="Arial"/>
                <w:b w:val="0"/>
                <w:bCs w:val="0"/>
                <w:szCs w:val="22"/>
              </w:rPr>
              <w:t>*</w:t>
            </w:r>
          </w:p>
          <w:p w14:paraId="385E45A8" w14:textId="58FE8466" w:rsidR="00AD3453" w:rsidRPr="00547ABC" w:rsidRDefault="00AD3453" w:rsidP="002C09EF">
            <w:pPr>
              <w:pStyle w:val="ListBullet"/>
              <w:numPr>
                <w:ilvl w:val="0"/>
                <w:numId w:val="0"/>
              </w:numPr>
              <w:ind w:left="360" w:hanging="360"/>
              <w:rPr>
                <w:rFonts w:cs="Arial"/>
                <w:b w:val="0"/>
                <w:bCs w:val="0"/>
              </w:rPr>
            </w:pPr>
          </w:p>
        </w:tc>
      </w:tr>
    </w:tbl>
    <w:p w14:paraId="7139AA4E" w14:textId="0A9DB392" w:rsidR="00237003" w:rsidRDefault="00237003" w:rsidP="00237003">
      <w:r>
        <w:t>*subject to greatest permissible gap</w:t>
      </w:r>
      <w:r w:rsidR="0098268E">
        <w:t xml:space="preserve"> from 1 November 2025</w:t>
      </w:r>
    </w:p>
    <w:p w14:paraId="6F5982B8" w14:textId="77777777" w:rsidR="00547ABC" w:rsidRDefault="00547ABC"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766D" w14:textId="77777777" w:rsidR="009B1E79" w:rsidRDefault="009B1E79" w:rsidP="006B56BB">
      <w:r>
        <w:separator/>
      </w:r>
    </w:p>
    <w:p w14:paraId="3AB11FDF" w14:textId="77777777" w:rsidR="009B1E79" w:rsidRDefault="009B1E79"/>
  </w:endnote>
  <w:endnote w:type="continuationSeparator" w:id="0">
    <w:p w14:paraId="50006AC9" w14:textId="77777777" w:rsidR="009B1E79" w:rsidRDefault="009B1E79" w:rsidP="006B56BB">
      <w:r>
        <w:continuationSeparator/>
      </w:r>
    </w:p>
    <w:p w14:paraId="3B0D7A8F" w14:textId="77777777" w:rsidR="009B1E79" w:rsidRDefault="009B1E79"/>
  </w:endnote>
  <w:endnote w:type="continuationNotice" w:id="1">
    <w:p w14:paraId="6428C80B" w14:textId="77777777" w:rsidR="009B1E79" w:rsidRDefault="009B1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7E75" w14:textId="42D7225C" w:rsidR="00D80804" w:rsidRDefault="00883033">
    <w:pPr>
      <w:pStyle w:val="Footer"/>
    </w:pPr>
    <w:r>
      <w:rPr>
        <w:noProof/>
      </w:rPr>
      <mc:AlternateContent>
        <mc:Choice Requires="wps">
          <w:drawing>
            <wp:anchor distT="0" distB="0" distL="0" distR="0" simplePos="0" relativeHeight="251668480" behindDoc="0" locked="0" layoutInCell="1" allowOverlap="1" wp14:anchorId="709997FA" wp14:editId="69EB45DB">
              <wp:simplePos x="635" y="635"/>
              <wp:positionH relativeFrom="page">
                <wp:align>center</wp:align>
              </wp:positionH>
              <wp:positionV relativeFrom="page">
                <wp:align>bottom</wp:align>
              </wp:positionV>
              <wp:extent cx="551815" cy="480695"/>
              <wp:effectExtent l="0" t="0" r="635" b="0"/>
              <wp:wrapNone/>
              <wp:docPr id="45375349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C230FC3" w14:textId="18208A67" w:rsidR="00883033" w:rsidRPr="00883033" w:rsidRDefault="00883033" w:rsidP="00883033">
                          <w:pPr>
                            <w:spacing w:after="0"/>
                            <w:rPr>
                              <w:rFonts w:ascii="Calibri" w:eastAsia="Calibri" w:hAnsi="Calibri" w:cs="Calibri"/>
                              <w:noProof/>
                              <w:color w:val="FF0000"/>
                              <w:sz w:val="24"/>
                            </w:rPr>
                          </w:pPr>
                          <w:r w:rsidRPr="0088303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997FA"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6C230FC3" w14:textId="18208A67" w:rsidR="00883033" w:rsidRPr="00883033" w:rsidRDefault="00883033" w:rsidP="00883033">
                    <w:pPr>
                      <w:spacing w:after="0"/>
                      <w:rPr>
                        <w:rFonts w:ascii="Calibri" w:eastAsia="Calibri" w:hAnsi="Calibri" w:cs="Calibri"/>
                        <w:noProof/>
                        <w:color w:val="FF0000"/>
                        <w:sz w:val="24"/>
                      </w:rPr>
                    </w:pPr>
                    <w:r w:rsidRPr="00883033">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CD6B" w14:textId="0C8382C5" w:rsidR="00CB2ED6" w:rsidRDefault="00883033" w:rsidP="00CB2ED6">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79BCC247" wp14:editId="2A6370C2">
              <wp:simplePos x="635" y="635"/>
              <wp:positionH relativeFrom="page">
                <wp:align>center</wp:align>
              </wp:positionH>
              <wp:positionV relativeFrom="page">
                <wp:align>bottom</wp:align>
              </wp:positionV>
              <wp:extent cx="551815" cy="480695"/>
              <wp:effectExtent l="0" t="0" r="635" b="0"/>
              <wp:wrapNone/>
              <wp:docPr id="115648810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223726" w14:textId="6F70D0BD" w:rsidR="00883033" w:rsidRPr="00883033" w:rsidRDefault="00883033" w:rsidP="00883033">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BCC247" id="_x0000_t202" coordsize="21600,21600" o:spt="202" path="m,l,21600r21600,l21600,xe">
              <v:stroke joinstyle="miter"/>
              <v:path gradientshapeok="t" o:connecttype="rect"/>
            </v:shapetype>
            <v:shape id="Text Box 12" o:spid="_x0000_s1029" type="#_x0000_t202" alt="OFFICIAL" style="position:absolute;margin-left:0;margin-top:0;width:43.45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20223726" w14:textId="6F70D0BD" w:rsidR="00883033" w:rsidRPr="00883033" w:rsidRDefault="00883033" w:rsidP="00883033">
                    <w:pPr>
                      <w:spacing w:after="0"/>
                      <w:rPr>
                        <w:rFonts w:ascii="Calibri" w:eastAsia="Calibri" w:hAnsi="Calibri" w:cs="Calibri"/>
                        <w:noProof/>
                        <w:color w:val="FF0000"/>
                        <w:sz w:val="24"/>
                      </w:rPr>
                    </w:pPr>
                  </w:p>
                </w:txbxContent>
              </v:textbox>
              <w10:wrap anchorx="page" anchory="page"/>
            </v:shape>
          </w:pict>
        </mc:Fallback>
      </mc:AlternateContent>
    </w:r>
    <w:r w:rsidR="002D0CA5">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0C8382C5" w:rsidR="00F51321" w:rsidRPr="00BD1D77" w:rsidRDefault="00201AC3" w:rsidP="00CB2ED6">
    <w:pPr>
      <w:pStyle w:val="Footer"/>
      <w:jc w:val="left"/>
      <w:rPr>
        <w:szCs w:val="20"/>
      </w:rPr>
    </w:pPr>
    <w:r>
      <w:rPr>
        <w:b/>
        <w:szCs w:val="20"/>
      </w:rPr>
      <w:t xml:space="preserve">Expansion of MBS items 73374, 73375, 73376 for somatic gene testing in patients with sarcoma </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45EA5EA2"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09659E44" w:rsidR="00CB03B8" w:rsidRPr="00F51321" w:rsidRDefault="00F51321" w:rsidP="00292535">
    <w:pPr>
      <w:pStyle w:val="Footer"/>
      <w:jc w:val="left"/>
    </w:pPr>
    <w:r w:rsidRPr="00BD1D77">
      <w:rPr>
        <w:szCs w:val="20"/>
      </w:rPr>
      <w:t xml:space="preserve">Last updated – </w:t>
    </w:r>
    <w:r w:rsidR="004731F2">
      <w:rPr>
        <w:szCs w:val="20"/>
      </w:rPr>
      <w:t>1</w:t>
    </w:r>
    <w:r w:rsidR="002D0CA5">
      <w:rPr>
        <w:szCs w:val="20"/>
      </w:rPr>
      <w:t>5</w:t>
    </w:r>
    <w:r w:rsidR="004731F2">
      <w:rPr>
        <w:szCs w:val="20"/>
      </w:rPr>
      <w:t xml:space="preserve"> October</w:t>
    </w:r>
    <w:r w:rsidR="00496D2C">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69291CCE" w:rsidR="00064168" w:rsidRPr="00BD1D77" w:rsidRDefault="00883033"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0DF4018A" wp14:editId="49C9C9FC">
              <wp:simplePos x="635" y="635"/>
              <wp:positionH relativeFrom="page">
                <wp:align>center</wp:align>
              </wp:positionH>
              <wp:positionV relativeFrom="page">
                <wp:align>bottom</wp:align>
              </wp:positionV>
              <wp:extent cx="551815" cy="480695"/>
              <wp:effectExtent l="0" t="0" r="635" b="0"/>
              <wp:wrapNone/>
              <wp:docPr id="156349668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4CB0386" w14:textId="5604E2DD" w:rsidR="00883033" w:rsidRPr="00883033" w:rsidRDefault="00883033" w:rsidP="00883033">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4018A" id="_x0000_t202" coordsize="21600,21600" o:spt="202" path="m,l,21600r21600,l21600,xe">
              <v:stroke joinstyle="miter"/>
              <v:path gradientshapeok="t" o:connecttype="rect"/>
            </v:shapetype>
            <v:shape id="Text Box 10" o:spid="_x0000_s1031"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44CB0386" w14:textId="5604E2DD" w:rsidR="00883033" w:rsidRPr="00883033" w:rsidRDefault="00883033" w:rsidP="00883033">
                    <w:pPr>
                      <w:spacing w:after="0"/>
                      <w:rPr>
                        <w:rFonts w:ascii="Calibri" w:eastAsia="Calibri" w:hAnsi="Calibri" w:cs="Calibri"/>
                        <w:noProof/>
                        <w:color w:val="FF0000"/>
                        <w:sz w:val="24"/>
                      </w:rPr>
                    </w:pPr>
                  </w:p>
                </w:txbxContent>
              </v:textbox>
              <w10:wrap anchorx="page" anchory="page"/>
            </v:shape>
          </w:pict>
        </mc:Fallback>
      </mc:AlternateContent>
    </w:r>
    <w:r w:rsidR="002D0CA5">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69291CCE" w:rsidR="00064168" w:rsidRPr="00BD1D77" w:rsidRDefault="00201AC3" w:rsidP="00CB2ED6">
    <w:pPr>
      <w:pStyle w:val="Footer"/>
      <w:tabs>
        <w:tab w:val="clear" w:pos="9026"/>
        <w:tab w:val="right" w:pos="10466"/>
      </w:tabs>
      <w:jc w:val="left"/>
      <w:rPr>
        <w:szCs w:val="20"/>
      </w:rPr>
    </w:pPr>
    <w:r>
      <w:rPr>
        <w:b/>
        <w:szCs w:val="20"/>
      </w:rPr>
      <w:t>Expansion of MBS items 73374, 73375, 73376 for somatic gene testing in patients with sarcoma</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432B4022"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2964AB57" w14:textId="26B3A6C1" w:rsidR="00CB03B8" w:rsidRPr="00064168" w:rsidRDefault="00064168" w:rsidP="00496D2C">
    <w:pPr>
      <w:pStyle w:val="Footer"/>
      <w:jc w:val="left"/>
    </w:pPr>
    <w:r w:rsidRPr="00BD1D77">
      <w:rPr>
        <w:szCs w:val="20"/>
      </w:rPr>
      <w:t xml:space="preserve">Last updated – </w:t>
    </w:r>
    <w:r w:rsidR="004731F2">
      <w:rPr>
        <w:szCs w:val="20"/>
      </w:rPr>
      <w:t>1</w:t>
    </w:r>
    <w:r w:rsidR="002D0CA5">
      <w:rPr>
        <w:szCs w:val="20"/>
      </w:rPr>
      <w:t>5</w:t>
    </w:r>
    <w:r w:rsidR="004731F2">
      <w:rPr>
        <w:szCs w:val="20"/>
      </w:rPr>
      <w:t xml:space="preserve"> October</w:t>
    </w:r>
    <w:r w:rsidR="00496D2C">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09D3" w14:textId="77777777" w:rsidR="009B1E79" w:rsidRDefault="009B1E79" w:rsidP="006B56BB">
      <w:r>
        <w:separator/>
      </w:r>
    </w:p>
    <w:p w14:paraId="398DAB49" w14:textId="77777777" w:rsidR="009B1E79" w:rsidRDefault="009B1E79"/>
  </w:footnote>
  <w:footnote w:type="continuationSeparator" w:id="0">
    <w:p w14:paraId="552FD75F" w14:textId="77777777" w:rsidR="009B1E79" w:rsidRDefault="009B1E79" w:rsidP="006B56BB">
      <w:r>
        <w:continuationSeparator/>
      </w:r>
    </w:p>
    <w:p w14:paraId="27663DCA" w14:textId="77777777" w:rsidR="009B1E79" w:rsidRDefault="009B1E79"/>
  </w:footnote>
  <w:footnote w:type="continuationNotice" w:id="1">
    <w:p w14:paraId="4D4F6863" w14:textId="77777777" w:rsidR="009B1E79" w:rsidRDefault="009B1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A6F1" w14:textId="4D6225B4" w:rsidR="00D80804" w:rsidRDefault="00883033">
    <w:pPr>
      <w:pStyle w:val="Header"/>
    </w:pPr>
    <w:r>
      <w:rPr>
        <w:noProof/>
      </w:rPr>
      <mc:AlternateContent>
        <mc:Choice Requires="wps">
          <w:drawing>
            <wp:anchor distT="0" distB="0" distL="0" distR="0" simplePos="0" relativeHeight="251665408" behindDoc="0" locked="0" layoutInCell="1" allowOverlap="1" wp14:anchorId="32B4664F" wp14:editId="0C939DB1">
              <wp:simplePos x="635" y="635"/>
              <wp:positionH relativeFrom="page">
                <wp:align>center</wp:align>
              </wp:positionH>
              <wp:positionV relativeFrom="page">
                <wp:align>top</wp:align>
              </wp:positionV>
              <wp:extent cx="551815" cy="480695"/>
              <wp:effectExtent l="0" t="0" r="635" b="14605"/>
              <wp:wrapNone/>
              <wp:docPr id="90698433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293AF31" w14:textId="66B4AC36" w:rsidR="00883033" w:rsidRPr="00883033" w:rsidRDefault="00883033" w:rsidP="00883033">
                          <w:pPr>
                            <w:spacing w:after="0"/>
                            <w:rPr>
                              <w:rFonts w:ascii="Calibri" w:eastAsia="Calibri" w:hAnsi="Calibri" w:cs="Calibri"/>
                              <w:noProof/>
                              <w:color w:val="FF0000"/>
                              <w:sz w:val="24"/>
                            </w:rPr>
                          </w:pPr>
                          <w:r w:rsidRPr="0088303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B4664F" id="_x0000_t202" coordsize="21600,21600" o:spt="202" path="m,l,21600r21600,l21600,xe">
              <v:stroke joinstyle="miter"/>
              <v:path gradientshapeok="t" o:connecttype="rect"/>
            </v:shapetype>
            <v:shape id="Text Box 8"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293AF31" w14:textId="66B4AC36" w:rsidR="00883033" w:rsidRPr="00883033" w:rsidRDefault="00883033" w:rsidP="00883033">
                    <w:pPr>
                      <w:spacing w:after="0"/>
                      <w:rPr>
                        <w:rFonts w:ascii="Calibri" w:eastAsia="Calibri" w:hAnsi="Calibri" w:cs="Calibri"/>
                        <w:noProof/>
                        <w:color w:val="FF0000"/>
                        <w:sz w:val="24"/>
                      </w:rPr>
                    </w:pPr>
                    <w:r w:rsidRPr="00883033">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7970" w14:textId="6FB9BF14" w:rsidR="00D80804" w:rsidRDefault="00883033">
    <w:pPr>
      <w:pStyle w:val="Header"/>
    </w:pPr>
    <w:r>
      <w:rPr>
        <w:noProof/>
      </w:rPr>
      <mc:AlternateContent>
        <mc:Choice Requires="wps">
          <w:drawing>
            <wp:anchor distT="0" distB="0" distL="0" distR="0" simplePos="0" relativeHeight="251666432" behindDoc="0" locked="0" layoutInCell="1" allowOverlap="1" wp14:anchorId="0215DB96" wp14:editId="707B6656">
              <wp:simplePos x="635" y="635"/>
              <wp:positionH relativeFrom="page">
                <wp:align>center</wp:align>
              </wp:positionH>
              <wp:positionV relativeFrom="page">
                <wp:align>top</wp:align>
              </wp:positionV>
              <wp:extent cx="551815" cy="480695"/>
              <wp:effectExtent l="0" t="0" r="635" b="14605"/>
              <wp:wrapNone/>
              <wp:docPr id="156339039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BE97779" w14:textId="6EB34BD3" w:rsidR="00883033" w:rsidRPr="00883033" w:rsidRDefault="00883033" w:rsidP="00883033">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15DB96" id="_x0000_t202" coordsize="21600,21600" o:spt="202" path="m,l,21600r21600,l21600,xe">
              <v:stroke joinstyle="miter"/>
              <v:path gradientshapeok="t" o:connecttype="rect"/>
            </v:shapetype>
            <v:shape id="Text Box 9"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5BE97779" w14:textId="6EB34BD3" w:rsidR="00883033" w:rsidRPr="00883033" w:rsidRDefault="00883033" w:rsidP="00883033">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2063A2A5" w:rsidR="00B53987" w:rsidRDefault="00883033">
    <w:pPr>
      <w:pStyle w:val="Header"/>
    </w:pPr>
    <w:r>
      <w:rPr>
        <w:noProof/>
      </w:rPr>
      <mc:AlternateContent>
        <mc:Choice Requires="wps">
          <w:drawing>
            <wp:anchor distT="0" distB="0" distL="0" distR="0" simplePos="0" relativeHeight="251664384" behindDoc="0" locked="0" layoutInCell="1" allowOverlap="1" wp14:anchorId="1BE93A6A" wp14:editId="7886D9BC">
              <wp:simplePos x="635" y="635"/>
              <wp:positionH relativeFrom="page">
                <wp:align>center</wp:align>
              </wp:positionH>
              <wp:positionV relativeFrom="page">
                <wp:align>top</wp:align>
              </wp:positionV>
              <wp:extent cx="551815" cy="480695"/>
              <wp:effectExtent l="0" t="0" r="635" b="14605"/>
              <wp:wrapNone/>
              <wp:docPr id="187771336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38935E0" w14:textId="14800A09" w:rsidR="00883033" w:rsidRPr="00883033" w:rsidRDefault="00883033" w:rsidP="00883033">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E93A6A" id="_x0000_t202" coordsize="21600,21600" o:spt="202" path="m,l,21600r21600,l21600,xe">
              <v:stroke joinstyle="miter"/>
              <v:path gradientshapeok="t" o:connecttype="rect"/>
            </v:shapetype>
            <v:shape id="Text Box 7" o:spid="_x0000_s1030"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138935E0" w14:textId="14800A09" w:rsidR="00883033" w:rsidRPr="00883033" w:rsidRDefault="00883033" w:rsidP="00883033">
                    <w:pPr>
                      <w:spacing w:after="0"/>
                      <w:rPr>
                        <w:rFonts w:ascii="Calibri" w:eastAsia="Calibri" w:hAnsi="Calibri" w:cs="Calibri"/>
                        <w:noProof/>
                        <w:color w:val="FF0000"/>
                        <w:sz w:val="24"/>
                      </w:rPr>
                    </w:pPr>
                  </w:p>
                </w:txbxContent>
              </v:textbox>
              <w10:wrap anchorx="page" anchory="page"/>
            </v:shape>
          </w:pict>
        </mc:Fallback>
      </mc:AlternateContent>
    </w:r>
    <w:r w:rsidR="00687882">
      <w:rPr>
        <w:noProof/>
      </w:rPr>
      <w:drawing>
        <wp:inline distT="0" distB="0" distL="0" distR="0" wp14:anchorId="7CF64599" wp14:editId="0ED8ED08">
          <wp:extent cx="5756275" cy="941705"/>
          <wp:effectExtent l="0" t="0" r="0" b="0"/>
          <wp:docPr id="111947598"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7598" name="Picture 1" descr="Australian Government Department of Health, Disability and Ageing"/>
                  <pic:cNvPicPr>
                    <a:picLocks noChangeAspect="1"/>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6275"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BC185754"/>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2C7796"/>
    <w:multiLevelType w:val="hybridMultilevel"/>
    <w:tmpl w:val="7BD045B2"/>
    <w:lvl w:ilvl="0" w:tplc="0C090001">
      <w:start w:val="1"/>
      <w:numFmt w:val="bullet"/>
      <w:lvlText w:val=""/>
      <w:lvlJc w:val="left"/>
      <w:pPr>
        <w:ind w:left="720" w:hanging="360"/>
      </w:pPr>
      <w:rPr>
        <w:rFonts w:ascii="Symbol" w:hAnsi="Symbol" w:hint="default"/>
        <w:color w:val="358189" w:themeColor="accent2"/>
        <w:spacing w:val="0"/>
        <w:w w:val="100"/>
        <w:sz w:val="24"/>
      </w:rPr>
    </w:lvl>
    <w:lvl w:ilvl="1" w:tplc="FFFFFFFF">
      <w:start w:val="1"/>
      <w:numFmt w:val="bullet"/>
      <w:lvlText w:val="­"/>
      <w:lvlJc w:val="left"/>
      <w:pPr>
        <w:ind w:left="2520" w:hanging="360"/>
      </w:pPr>
      <w:rPr>
        <w:rFonts w:ascii="Courier New" w:hAnsi="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2C3B211D"/>
    <w:multiLevelType w:val="hybridMultilevel"/>
    <w:tmpl w:val="323A4420"/>
    <w:lvl w:ilvl="0" w:tplc="2B7ED8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43D3989"/>
    <w:multiLevelType w:val="hybridMultilevel"/>
    <w:tmpl w:val="5C78BF08"/>
    <w:lvl w:ilvl="0" w:tplc="2B7ED852">
      <w:start w:val="1"/>
      <w:numFmt w:val="bullet"/>
      <w:lvlText w:val="­"/>
      <w:lvlJc w:val="left"/>
      <w:pPr>
        <w:ind w:left="720" w:hanging="360"/>
      </w:pPr>
      <w:rPr>
        <w:rFonts w:ascii="Courier New" w:hAnsi="Courier New" w:hint="default"/>
        <w:color w:val="358189" w:themeColor="accent2"/>
        <w:spacing w:val="0"/>
        <w:w w:val="100"/>
        <w:sz w:val="24"/>
      </w:rPr>
    </w:lvl>
    <w:lvl w:ilvl="1" w:tplc="FFFFFFFF">
      <w:start w:val="1"/>
      <w:numFmt w:val="bullet"/>
      <w:lvlText w:val="­"/>
      <w:lvlJc w:val="left"/>
      <w:pPr>
        <w:ind w:left="2520" w:hanging="360"/>
      </w:pPr>
      <w:rPr>
        <w:rFonts w:ascii="Courier New" w:hAnsi="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BB6706F"/>
    <w:multiLevelType w:val="hybridMultilevel"/>
    <w:tmpl w:val="63089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335CFB"/>
    <w:multiLevelType w:val="hybridMultilevel"/>
    <w:tmpl w:val="E0BAFD3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582834"/>
    <w:multiLevelType w:val="hybridMultilevel"/>
    <w:tmpl w:val="D466EE4E"/>
    <w:lvl w:ilvl="0" w:tplc="FFFFFFFF">
      <w:start w:val="1"/>
      <w:numFmt w:val="bullet"/>
      <w:lvlText w:val=""/>
      <w:lvlJc w:val="left"/>
      <w:pPr>
        <w:ind w:left="720" w:hanging="360"/>
      </w:pPr>
      <w:rPr>
        <w:rFonts w:ascii="Symbol" w:hAnsi="Symbol" w:hint="default"/>
        <w:color w:val="358189" w:themeColor="accent2"/>
        <w:spacing w:val="0"/>
        <w:w w:val="100"/>
        <w:sz w:val="24"/>
      </w:rPr>
    </w:lvl>
    <w:lvl w:ilvl="1" w:tplc="2B7ED852">
      <w:start w:val="1"/>
      <w:numFmt w:val="bullet"/>
      <w:lvlText w:val="­"/>
      <w:lvlJc w:val="left"/>
      <w:pPr>
        <w:ind w:left="2520" w:hanging="360"/>
      </w:pPr>
      <w:rPr>
        <w:rFonts w:ascii="Courier New" w:hAnsi="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206BC6"/>
    <w:multiLevelType w:val="hybridMultilevel"/>
    <w:tmpl w:val="4E7AFA18"/>
    <w:lvl w:ilvl="0" w:tplc="0DBA0192">
      <w:start w:val="1"/>
      <w:numFmt w:val="lowerLetter"/>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2"/>
  </w:num>
  <w:num w:numId="3" w16cid:durableId="1161390217">
    <w:abstractNumId w:val="26"/>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20"/>
  </w:num>
  <w:num w:numId="8" w16cid:durableId="565603559">
    <w:abstractNumId w:val="24"/>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8"/>
  </w:num>
  <w:num w:numId="17" w16cid:durableId="2113471318">
    <w:abstractNumId w:val="11"/>
  </w:num>
  <w:num w:numId="18" w16cid:durableId="828592903">
    <w:abstractNumId w:val="13"/>
  </w:num>
  <w:num w:numId="19" w16cid:durableId="1273391997">
    <w:abstractNumId w:val="18"/>
  </w:num>
  <w:num w:numId="20" w16cid:durableId="2041469188">
    <w:abstractNumId w:val="11"/>
  </w:num>
  <w:num w:numId="21" w16cid:durableId="120997448">
    <w:abstractNumId w:val="18"/>
  </w:num>
  <w:num w:numId="22" w16cid:durableId="1088427743">
    <w:abstractNumId w:val="28"/>
  </w:num>
  <w:num w:numId="23" w16cid:durableId="111368400">
    <w:abstractNumId w:val="22"/>
  </w:num>
  <w:num w:numId="24" w16cid:durableId="815339056">
    <w:abstractNumId w:val="26"/>
  </w:num>
  <w:num w:numId="25" w16cid:durableId="743180995">
    <w:abstractNumId w:val="8"/>
  </w:num>
  <w:num w:numId="26" w16cid:durableId="320358050">
    <w:abstractNumId w:val="21"/>
  </w:num>
  <w:num w:numId="27" w16cid:durableId="508569404">
    <w:abstractNumId w:val="12"/>
  </w:num>
  <w:num w:numId="28" w16cid:durableId="1416364898">
    <w:abstractNumId w:val="16"/>
  </w:num>
  <w:num w:numId="29" w16cid:durableId="100344043">
    <w:abstractNumId w:val="10"/>
  </w:num>
  <w:num w:numId="30" w16cid:durableId="1575821124">
    <w:abstractNumId w:val="12"/>
  </w:num>
  <w:num w:numId="31" w16cid:durableId="491337523">
    <w:abstractNumId w:val="25"/>
  </w:num>
  <w:num w:numId="32" w16cid:durableId="134372969">
    <w:abstractNumId w:val="17"/>
  </w:num>
  <w:num w:numId="33" w16cid:durableId="1191575843">
    <w:abstractNumId w:val="12"/>
  </w:num>
  <w:num w:numId="34" w16cid:durableId="1081754479">
    <w:abstractNumId w:val="15"/>
  </w:num>
  <w:num w:numId="35" w16cid:durableId="1269774382">
    <w:abstractNumId w:val="23"/>
  </w:num>
  <w:num w:numId="36" w16cid:durableId="486627744">
    <w:abstractNumId w:val="12"/>
  </w:num>
  <w:num w:numId="37" w16cid:durableId="476918048">
    <w:abstractNumId w:val="12"/>
  </w:num>
  <w:num w:numId="38" w16cid:durableId="250235436">
    <w:abstractNumId w:val="12"/>
  </w:num>
  <w:num w:numId="39" w16cid:durableId="2081055657">
    <w:abstractNumId w:val="27"/>
  </w:num>
  <w:num w:numId="40" w16cid:durableId="1656646262">
    <w:abstractNumId w:val="12"/>
  </w:num>
  <w:num w:numId="41" w16cid:durableId="34358914">
    <w:abstractNumId w:val="19"/>
  </w:num>
  <w:num w:numId="42" w16cid:durableId="4152494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666"/>
    <w:rsid w:val="000117F8"/>
    <w:rsid w:val="0001460F"/>
    <w:rsid w:val="00022629"/>
    <w:rsid w:val="00024DFE"/>
    <w:rsid w:val="00026139"/>
    <w:rsid w:val="00027601"/>
    <w:rsid w:val="00033321"/>
    <w:rsid w:val="000338E5"/>
    <w:rsid w:val="00033ECC"/>
    <w:rsid w:val="0003422F"/>
    <w:rsid w:val="00037C24"/>
    <w:rsid w:val="00046FF0"/>
    <w:rsid w:val="00050176"/>
    <w:rsid w:val="00050342"/>
    <w:rsid w:val="00056A81"/>
    <w:rsid w:val="00064168"/>
    <w:rsid w:val="00067456"/>
    <w:rsid w:val="00071506"/>
    <w:rsid w:val="0007154F"/>
    <w:rsid w:val="00080BAC"/>
    <w:rsid w:val="00081AB1"/>
    <w:rsid w:val="00090316"/>
    <w:rsid w:val="00093981"/>
    <w:rsid w:val="000A63FC"/>
    <w:rsid w:val="000A6B4B"/>
    <w:rsid w:val="000B067A"/>
    <w:rsid w:val="000B1540"/>
    <w:rsid w:val="000B1E53"/>
    <w:rsid w:val="000B2849"/>
    <w:rsid w:val="000B33FD"/>
    <w:rsid w:val="000B3B62"/>
    <w:rsid w:val="000B4ABA"/>
    <w:rsid w:val="000B7DA3"/>
    <w:rsid w:val="000C0475"/>
    <w:rsid w:val="000C4B16"/>
    <w:rsid w:val="000C50C3"/>
    <w:rsid w:val="000C5E14"/>
    <w:rsid w:val="000D21F6"/>
    <w:rsid w:val="000D4500"/>
    <w:rsid w:val="000D7AEA"/>
    <w:rsid w:val="000E2C66"/>
    <w:rsid w:val="000E7DFC"/>
    <w:rsid w:val="000F123C"/>
    <w:rsid w:val="000F2FED"/>
    <w:rsid w:val="001011D9"/>
    <w:rsid w:val="001038F0"/>
    <w:rsid w:val="0010616D"/>
    <w:rsid w:val="00110478"/>
    <w:rsid w:val="00111901"/>
    <w:rsid w:val="0011711B"/>
    <w:rsid w:val="00117F8A"/>
    <w:rsid w:val="001210F8"/>
    <w:rsid w:val="001211D0"/>
    <w:rsid w:val="00121B9B"/>
    <w:rsid w:val="00122ADC"/>
    <w:rsid w:val="001245EF"/>
    <w:rsid w:val="00127018"/>
    <w:rsid w:val="00130F59"/>
    <w:rsid w:val="00133EC0"/>
    <w:rsid w:val="00141CE5"/>
    <w:rsid w:val="00144908"/>
    <w:rsid w:val="00153376"/>
    <w:rsid w:val="00154CA7"/>
    <w:rsid w:val="00156D96"/>
    <w:rsid w:val="00156FA5"/>
    <w:rsid w:val="001571C7"/>
    <w:rsid w:val="00161094"/>
    <w:rsid w:val="001676ED"/>
    <w:rsid w:val="0017665C"/>
    <w:rsid w:val="00177AD2"/>
    <w:rsid w:val="001815A8"/>
    <w:rsid w:val="001840FA"/>
    <w:rsid w:val="00190079"/>
    <w:rsid w:val="0019622E"/>
    <w:rsid w:val="001966A7"/>
    <w:rsid w:val="00197479"/>
    <w:rsid w:val="0019761F"/>
    <w:rsid w:val="001A2646"/>
    <w:rsid w:val="001A4627"/>
    <w:rsid w:val="001A4979"/>
    <w:rsid w:val="001B15D3"/>
    <w:rsid w:val="001B3443"/>
    <w:rsid w:val="001B59AE"/>
    <w:rsid w:val="001C0326"/>
    <w:rsid w:val="001C192F"/>
    <w:rsid w:val="001C3C42"/>
    <w:rsid w:val="001D72F1"/>
    <w:rsid w:val="001D7869"/>
    <w:rsid w:val="001E2C07"/>
    <w:rsid w:val="001F0930"/>
    <w:rsid w:val="001F3920"/>
    <w:rsid w:val="001F6401"/>
    <w:rsid w:val="001F76C6"/>
    <w:rsid w:val="00201AC3"/>
    <w:rsid w:val="002026CD"/>
    <w:rsid w:val="002033FC"/>
    <w:rsid w:val="002044BB"/>
    <w:rsid w:val="00210B09"/>
    <w:rsid w:val="00210C9E"/>
    <w:rsid w:val="00211840"/>
    <w:rsid w:val="002207DB"/>
    <w:rsid w:val="00220E5F"/>
    <w:rsid w:val="00220F39"/>
    <w:rsid w:val="002212B5"/>
    <w:rsid w:val="002214B2"/>
    <w:rsid w:val="00226668"/>
    <w:rsid w:val="00233809"/>
    <w:rsid w:val="00237003"/>
    <w:rsid w:val="00237A42"/>
    <w:rsid w:val="00240046"/>
    <w:rsid w:val="00242D68"/>
    <w:rsid w:val="0024650C"/>
    <w:rsid w:val="0024797F"/>
    <w:rsid w:val="00247E80"/>
    <w:rsid w:val="0025119E"/>
    <w:rsid w:val="00251269"/>
    <w:rsid w:val="002535C0"/>
    <w:rsid w:val="002579FE"/>
    <w:rsid w:val="00260552"/>
    <w:rsid w:val="00261360"/>
    <w:rsid w:val="0026311C"/>
    <w:rsid w:val="0026668C"/>
    <w:rsid w:val="00266AC1"/>
    <w:rsid w:val="002703DD"/>
    <w:rsid w:val="0027178C"/>
    <w:rsid w:val="00271954"/>
    <w:rsid w:val="002719FA"/>
    <w:rsid w:val="00272668"/>
    <w:rsid w:val="0027330B"/>
    <w:rsid w:val="00275D9C"/>
    <w:rsid w:val="00276CB4"/>
    <w:rsid w:val="002803AD"/>
    <w:rsid w:val="00282052"/>
    <w:rsid w:val="002831A3"/>
    <w:rsid w:val="002844B9"/>
    <w:rsid w:val="00284E43"/>
    <w:rsid w:val="0028519E"/>
    <w:rsid w:val="002856A5"/>
    <w:rsid w:val="002872ED"/>
    <w:rsid w:val="002905C2"/>
    <w:rsid w:val="00292535"/>
    <w:rsid w:val="00295AF2"/>
    <w:rsid w:val="00295C91"/>
    <w:rsid w:val="00297151"/>
    <w:rsid w:val="002A6D42"/>
    <w:rsid w:val="002B20E6"/>
    <w:rsid w:val="002B42A3"/>
    <w:rsid w:val="002C09EF"/>
    <w:rsid w:val="002C0CDD"/>
    <w:rsid w:val="002C38C4"/>
    <w:rsid w:val="002C46AA"/>
    <w:rsid w:val="002D0CA5"/>
    <w:rsid w:val="002D1644"/>
    <w:rsid w:val="002D65A2"/>
    <w:rsid w:val="002E1A1D"/>
    <w:rsid w:val="002E4081"/>
    <w:rsid w:val="002E5B78"/>
    <w:rsid w:val="002F3AE3"/>
    <w:rsid w:val="0030464B"/>
    <w:rsid w:val="003054A2"/>
    <w:rsid w:val="00305D73"/>
    <w:rsid w:val="0030786C"/>
    <w:rsid w:val="00317B29"/>
    <w:rsid w:val="003233DE"/>
    <w:rsid w:val="00323ABA"/>
    <w:rsid w:val="0032466B"/>
    <w:rsid w:val="00326763"/>
    <w:rsid w:val="003330EB"/>
    <w:rsid w:val="00333C73"/>
    <w:rsid w:val="003415FD"/>
    <w:rsid w:val="003429F0"/>
    <w:rsid w:val="00345A82"/>
    <w:rsid w:val="0035097A"/>
    <w:rsid w:val="00353C8E"/>
    <w:rsid w:val="003540A4"/>
    <w:rsid w:val="00357BCC"/>
    <w:rsid w:val="00360E4E"/>
    <w:rsid w:val="00370AAA"/>
    <w:rsid w:val="00375F77"/>
    <w:rsid w:val="00381BBE"/>
    <w:rsid w:val="00382903"/>
    <w:rsid w:val="003832F8"/>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5EB"/>
    <w:rsid w:val="003D17F9"/>
    <w:rsid w:val="003D2D88"/>
    <w:rsid w:val="003D419D"/>
    <w:rsid w:val="003D41EA"/>
    <w:rsid w:val="003D4850"/>
    <w:rsid w:val="003D535A"/>
    <w:rsid w:val="003E2CB8"/>
    <w:rsid w:val="003E5265"/>
    <w:rsid w:val="003F0955"/>
    <w:rsid w:val="003F0F91"/>
    <w:rsid w:val="003F5F4D"/>
    <w:rsid w:val="003F646F"/>
    <w:rsid w:val="00400F00"/>
    <w:rsid w:val="00404F8B"/>
    <w:rsid w:val="00405256"/>
    <w:rsid w:val="00405ADD"/>
    <w:rsid w:val="00410031"/>
    <w:rsid w:val="00414256"/>
    <w:rsid w:val="00415C81"/>
    <w:rsid w:val="004166E2"/>
    <w:rsid w:val="00416F39"/>
    <w:rsid w:val="00432378"/>
    <w:rsid w:val="00440D65"/>
    <w:rsid w:val="00442EFF"/>
    <w:rsid w:val="004435E6"/>
    <w:rsid w:val="00447E31"/>
    <w:rsid w:val="004517D9"/>
    <w:rsid w:val="00453923"/>
    <w:rsid w:val="00454B9B"/>
    <w:rsid w:val="00457858"/>
    <w:rsid w:val="00460B0B"/>
    <w:rsid w:val="00461023"/>
    <w:rsid w:val="00462FAC"/>
    <w:rsid w:val="00464631"/>
    <w:rsid w:val="00464B79"/>
    <w:rsid w:val="00467BBF"/>
    <w:rsid w:val="004731F2"/>
    <w:rsid w:val="0048593C"/>
    <w:rsid w:val="004867E2"/>
    <w:rsid w:val="00490FFF"/>
    <w:rsid w:val="004929A9"/>
    <w:rsid w:val="00493395"/>
    <w:rsid w:val="00496D2C"/>
    <w:rsid w:val="004A78D9"/>
    <w:rsid w:val="004A7CD6"/>
    <w:rsid w:val="004C1BCD"/>
    <w:rsid w:val="004C6BCF"/>
    <w:rsid w:val="004D58BF"/>
    <w:rsid w:val="004D5E3F"/>
    <w:rsid w:val="004E4335"/>
    <w:rsid w:val="004E5226"/>
    <w:rsid w:val="004E608B"/>
    <w:rsid w:val="004F13EE"/>
    <w:rsid w:val="004F2022"/>
    <w:rsid w:val="004F7C05"/>
    <w:rsid w:val="00501C94"/>
    <w:rsid w:val="00506432"/>
    <w:rsid w:val="00506E82"/>
    <w:rsid w:val="0051643E"/>
    <w:rsid w:val="005165AB"/>
    <w:rsid w:val="00516694"/>
    <w:rsid w:val="0052051D"/>
    <w:rsid w:val="00525479"/>
    <w:rsid w:val="0054527B"/>
    <w:rsid w:val="00545EE6"/>
    <w:rsid w:val="00547ABC"/>
    <w:rsid w:val="00553353"/>
    <w:rsid w:val="005550E7"/>
    <w:rsid w:val="005564ED"/>
    <w:rsid w:val="005564FB"/>
    <w:rsid w:val="0055706A"/>
    <w:rsid w:val="005572C7"/>
    <w:rsid w:val="005614E2"/>
    <w:rsid w:val="00562E7E"/>
    <w:rsid w:val="00564721"/>
    <w:rsid w:val="005650ED"/>
    <w:rsid w:val="00566B81"/>
    <w:rsid w:val="00575754"/>
    <w:rsid w:val="00581FBA"/>
    <w:rsid w:val="005858A4"/>
    <w:rsid w:val="00591E20"/>
    <w:rsid w:val="005920E7"/>
    <w:rsid w:val="00595408"/>
    <w:rsid w:val="00595E84"/>
    <w:rsid w:val="005A0C59"/>
    <w:rsid w:val="005A48EB"/>
    <w:rsid w:val="005A6BB8"/>
    <w:rsid w:val="005A6CFB"/>
    <w:rsid w:val="005B6E42"/>
    <w:rsid w:val="005C4B3E"/>
    <w:rsid w:val="005C5AEB"/>
    <w:rsid w:val="005D5F4E"/>
    <w:rsid w:val="005E0A3F"/>
    <w:rsid w:val="005E1AF9"/>
    <w:rsid w:val="005E2D76"/>
    <w:rsid w:val="005E659D"/>
    <w:rsid w:val="005E6883"/>
    <w:rsid w:val="005E772F"/>
    <w:rsid w:val="005F4ECA"/>
    <w:rsid w:val="006041BE"/>
    <w:rsid w:val="006043C7"/>
    <w:rsid w:val="00606BAA"/>
    <w:rsid w:val="00613F67"/>
    <w:rsid w:val="00617597"/>
    <w:rsid w:val="006245D3"/>
    <w:rsid w:val="00624B52"/>
    <w:rsid w:val="00630794"/>
    <w:rsid w:val="00631DF4"/>
    <w:rsid w:val="00634175"/>
    <w:rsid w:val="0063574E"/>
    <w:rsid w:val="006408AC"/>
    <w:rsid w:val="00642F20"/>
    <w:rsid w:val="006511B6"/>
    <w:rsid w:val="00652F6D"/>
    <w:rsid w:val="00654832"/>
    <w:rsid w:val="00655459"/>
    <w:rsid w:val="00657FF8"/>
    <w:rsid w:val="0066598A"/>
    <w:rsid w:val="00670D99"/>
    <w:rsid w:val="00670E2B"/>
    <w:rsid w:val="006734BB"/>
    <w:rsid w:val="0067697A"/>
    <w:rsid w:val="006821EB"/>
    <w:rsid w:val="00687882"/>
    <w:rsid w:val="00693A51"/>
    <w:rsid w:val="006B2286"/>
    <w:rsid w:val="006B56BB"/>
    <w:rsid w:val="006C085B"/>
    <w:rsid w:val="006C0AE2"/>
    <w:rsid w:val="006C77A8"/>
    <w:rsid w:val="006D22A7"/>
    <w:rsid w:val="006D4098"/>
    <w:rsid w:val="006D67F4"/>
    <w:rsid w:val="006D7681"/>
    <w:rsid w:val="006D7B2E"/>
    <w:rsid w:val="006E02EA"/>
    <w:rsid w:val="006E0968"/>
    <w:rsid w:val="006E2AF6"/>
    <w:rsid w:val="006E77D2"/>
    <w:rsid w:val="006F5073"/>
    <w:rsid w:val="00701275"/>
    <w:rsid w:val="00707F56"/>
    <w:rsid w:val="00713558"/>
    <w:rsid w:val="00720D08"/>
    <w:rsid w:val="007263B9"/>
    <w:rsid w:val="007334F8"/>
    <w:rsid w:val="007339CD"/>
    <w:rsid w:val="007359D8"/>
    <w:rsid w:val="007362D4"/>
    <w:rsid w:val="00744B30"/>
    <w:rsid w:val="00746C16"/>
    <w:rsid w:val="0075455A"/>
    <w:rsid w:val="0076426C"/>
    <w:rsid w:val="0076672A"/>
    <w:rsid w:val="00775E45"/>
    <w:rsid w:val="00776E74"/>
    <w:rsid w:val="00785169"/>
    <w:rsid w:val="007954AB"/>
    <w:rsid w:val="007A14C5"/>
    <w:rsid w:val="007A2269"/>
    <w:rsid w:val="007A4A10"/>
    <w:rsid w:val="007B1750"/>
    <w:rsid w:val="007B1760"/>
    <w:rsid w:val="007B6398"/>
    <w:rsid w:val="007C1FDC"/>
    <w:rsid w:val="007C31DD"/>
    <w:rsid w:val="007C32D9"/>
    <w:rsid w:val="007C343D"/>
    <w:rsid w:val="007C6D9C"/>
    <w:rsid w:val="007C7DDB"/>
    <w:rsid w:val="007D2A40"/>
    <w:rsid w:val="007D2CC7"/>
    <w:rsid w:val="007D3392"/>
    <w:rsid w:val="007D673D"/>
    <w:rsid w:val="007E0068"/>
    <w:rsid w:val="007E0FB8"/>
    <w:rsid w:val="007E1C7A"/>
    <w:rsid w:val="007E4D09"/>
    <w:rsid w:val="007E7551"/>
    <w:rsid w:val="007F2220"/>
    <w:rsid w:val="007F4B3E"/>
    <w:rsid w:val="00802DC7"/>
    <w:rsid w:val="008045AB"/>
    <w:rsid w:val="008127AF"/>
    <w:rsid w:val="00812B46"/>
    <w:rsid w:val="00815700"/>
    <w:rsid w:val="0081632F"/>
    <w:rsid w:val="0082246B"/>
    <w:rsid w:val="00824671"/>
    <w:rsid w:val="008264EB"/>
    <w:rsid w:val="00826B8F"/>
    <w:rsid w:val="00831E8A"/>
    <w:rsid w:val="0083595B"/>
    <w:rsid w:val="00835C76"/>
    <w:rsid w:val="008376E2"/>
    <w:rsid w:val="00843049"/>
    <w:rsid w:val="008437CA"/>
    <w:rsid w:val="0085209B"/>
    <w:rsid w:val="00856B66"/>
    <w:rsid w:val="00857820"/>
    <w:rsid w:val="008601AC"/>
    <w:rsid w:val="00861A5F"/>
    <w:rsid w:val="008644AD"/>
    <w:rsid w:val="00865735"/>
    <w:rsid w:val="00865DDB"/>
    <w:rsid w:val="00867538"/>
    <w:rsid w:val="00873D90"/>
    <w:rsid w:val="00873FC8"/>
    <w:rsid w:val="00875529"/>
    <w:rsid w:val="00883033"/>
    <w:rsid w:val="00884C63"/>
    <w:rsid w:val="00885908"/>
    <w:rsid w:val="008864B7"/>
    <w:rsid w:val="0089677E"/>
    <w:rsid w:val="008A0FF4"/>
    <w:rsid w:val="008A2441"/>
    <w:rsid w:val="008A7438"/>
    <w:rsid w:val="008B045D"/>
    <w:rsid w:val="008B1334"/>
    <w:rsid w:val="008B25C7"/>
    <w:rsid w:val="008C0278"/>
    <w:rsid w:val="008C1110"/>
    <w:rsid w:val="008C24E9"/>
    <w:rsid w:val="008D0533"/>
    <w:rsid w:val="008D42CB"/>
    <w:rsid w:val="008D48C9"/>
    <w:rsid w:val="008D6381"/>
    <w:rsid w:val="008E007D"/>
    <w:rsid w:val="008E0C77"/>
    <w:rsid w:val="008E625F"/>
    <w:rsid w:val="008F1838"/>
    <w:rsid w:val="008F264D"/>
    <w:rsid w:val="00902A4F"/>
    <w:rsid w:val="009040E9"/>
    <w:rsid w:val="009074E1"/>
    <w:rsid w:val="009112F7"/>
    <w:rsid w:val="009122AF"/>
    <w:rsid w:val="00912D54"/>
    <w:rsid w:val="0091389F"/>
    <w:rsid w:val="0091410D"/>
    <w:rsid w:val="009208F7"/>
    <w:rsid w:val="00920EB4"/>
    <w:rsid w:val="00921649"/>
    <w:rsid w:val="00922517"/>
    <w:rsid w:val="00922722"/>
    <w:rsid w:val="009261E6"/>
    <w:rsid w:val="009268E1"/>
    <w:rsid w:val="009271EE"/>
    <w:rsid w:val="0093226A"/>
    <w:rsid w:val="009338DF"/>
    <w:rsid w:val="009344AE"/>
    <w:rsid w:val="009344DE"/>
    <w:rsid w:val="009357DA"/>
    <w:rsid w:val="00935CC7"/>
    <w:rsid w:val="00945E7F"/>
    <w:rsid w:val="009518C7"/>
    <w:rsid w:val="009557C1"/>
    <w:rsid w:val="009602DC"/>
    <w:rsid w:val="00960D6E"/>
    <w:rsid w:val="00962E7B"/>
    <w:rsid w:val="00974B59"/>
    <w:rsid w:val="0098166B"/>
    <w:rsid w:val="0098268E"/>
    <w:rsid w:val="0098340B"/>
    <w:rsid w:val="00984215"/>
    <w:rsid w:val="00986830"/>
    <w:rsid w:val="009924C3"/>
    <w:rsid w:val="00993102"/>
    <w:rsid w:val="00993C3D"/>
    <w:rsid w:val="009B1570"/>
    <w:rsid w:val="009B1E79"/>
    <w:rsid w:val="009B36D9"/>
    <w:rsid w:val="009C05DD"/>
    <w:rsid w:val="009C2FF7"/>
    <w:rsid w:val="009C6F10"/>
    <w:rsid w:val="009D148F"/>
    <w:rsid w:val="009D3D70"/>
    <w:rsid w:val="009E2F9A"/>
    <w:rsid w:val="009E6F7E"/>
    <w:rsid w:val="009E7A57"/>
    <w:rsid w:val="009E7ABC"/>
    <w:rsid w:val="009F4803"/>
    <w:rsid w:val="009F4F6A"/>
    <w:rsid w:val="009F5046"/>
    <w:rsid w:val="00A07ECE"/>
    <w:rsid w:val="00A13EB5"/>
    <w:rsid w:val="00A16E36"/>
    <w:rsid w:val="00A23012"/>
    <w:rsid w:val="00A24961"/>
    <w:rsid w:val="00A24B10"/>
    <w:rsid w:val="00A2501F"/>
    <w:rsid w:val="00A277EF"/>
    <w:rsid w:val="00A30E9B"/>
    <w:rsid w:val="00A34BD0"/>
    <w:rsid w:val="00A4512D"/>
    <w:rsid w:val="00A50244"/>
    <w:rsid w:val="00A627D7"/>
    <w:rsid w:val="00A656C7"/>
    <w:rsid w:val="00A673D6"/>
    <w:rsid w:val="00A705AF"/>
    <w:rsid w:val="00A719F6"/>
    <w:rsid w:val="00A72454"/>
    <w:rsid w:val="00A77696"/>
    <w:rsid w:val="00A776F2"/>
    <w:rsid w:val="00A80557"/>
    <w:rsid w:val="00A81D33"/>
    <w:rsid w:val="00A8341C"/>
    <w:rsid w:val="00A8695F"/>
    <w:rsid w:val="00A8707B"/>
    <w:rsid w:val="00A930AE"/>
    <w:rsid w:val="00AA1A95"/>
    <w:rsid w:val="00AA260F"/>
    <w:rsid w:val="00AA287F"/>
    <w:rsid w:val="00AA73D0"/>
    <w:rsid w:val="00AB1EE7"/>
    <w:rsid w:val="00AB2B2E"/>
    <w:rsid w:val="00AB41FE"/>
    <w:rsid w:val="00AB4B37"/>
    <w:rsid w:val="00AB5762"/>
    <w:rsid w:val="00AC2679"/>
    <w:rsid w:val="00AC4BE4"/>
    <w:rsid w:val="00AC6513"/>
    <w:rsid w:val="00AD05E6"/>
    <w:rsid w:val="00AD0D3F"/>
    <w:rsid w:val="00AD2969"/>
    <w:rsid w:val="00AD3453"/>
    <w:rsid w:val="00AD5E53"/>
    <w:rsid w:val="00AE1D7D"/>
    <w:rsid w:val="00AE268E"/>
    <w:rsid w:val="00AE2A8B"/>
    <w:rsid w:val="00AE3F64"/>
    <w:rsid w:val="00AF0D2C"/>
    <w:rsid w:val="00AF6B08"/>
    <w:rsid w:val="00AF7386"/>
    <w:rsid w:val="00AF7934"/>
    <w:rsid w:val="00AF7C2B"/>
    <w:rsid w:val="00B00B81"/>
    <w:rsid w:val="00B04580"/>
    <w:rsid w:val="00B04B09"/>
    <w:rsid w:val="00B15F09"/>
    <w:rsid w:val="00B16A51"/>
    <w:rsid w:val="00B27A99"/>
    <w:rsid w:val="00B32222"/>
    <w:rsid w:val="00B32567"/>
    <w:rsid w:val="00B3618D"/>
    <w:rsid w:val="00B36233"/>
    <w:rsid w:val="00B42851"/>
    <w:rsid w:val="00B42D06"/>
    <w:rsid w:val="00B44226"/>
    <w:rsid w:val="00B45350"/>
    <w:rsid w:val="00B45AC7"/>
    <w:rsid w:val="00B5372F"/>
    <w:rsid w:val="00B53987"/>
    <w:rsid w:val="00B61129"/>
    <w:rsid w:val="00B61C9F"/>
    <w:rsid w:val="00B67E7F"/>
    <w:rsid w:val="00B76DB3"/>
    <w:rsid w:val="00B77F9E"/>
    <w:rsid w:val="00B80CA5"/>
    <w:rsid w:val="00B839B2"/>
    <w:rsid w:val="00B873A0"/>
    <w:rsid w:val="00B94252"/>
    <w:rsid w:val="00B9715A"/>
    <w:rsid w:val="00BA14BE"/>
    <w:rsid w:val="00BA25D5"/>
    <w:rsid w:val="00BA2732"/>
    <w:rsid w:val="00BA293D"/>
    <w:rsid w:val="00BA49BC"/>
    <w:rsid w:val="00BA56B7"/>
    <w:rsid w:val="00BA7A1E"/>
    <w:rsid w:val="00BB18DF"/>
    <w:rsid w:val="00BB1E9C"/>
    <w:rsid w:val="00BB2F6C"/>
    <w:rsid w:val="00BB3875"/>
    <w:rsid w:val="00BB5860"/>
    <w:rsid w:val="00BB6AAD"/>
    <w:rsid w:val="00BC0DB9"/>
    <w:rsid w:val="00BC4A19"/>
    <w:rsid w:val="00BC4E6D"/>
    <w:rsid w:val="00BD0617"/>
    <w:rsid w:val="00BD0A9E"/>
    <w:rsid w:val="00BD1D77"/>
    <w:rsid w:val="00BD2E9B"/>
    <w:rsid w:val="00BD50C6"/>
    <w:rsid w:val="00BD7FB2"/>
    <w:rsid w:val="00BE3ED5"/>
    <w:rsid w:val="00BE42C7"/>
    <w:rsid w:val="00C00930"/>
    <w:rsid w:val="00C02732"/>
    <w:rsid w:val="00C02F46"/>
    <w:rsid w:val="00C060AD"/>
    <w:rsid w:val="00C113BF"/>
    <w:rsid w:val="00C13090"/>
    <w:rsid w:val="00C169E4"/>
    <w:rsid w:val="00C1751C"/>
    <w:rsid w:val="00C2176E"/>
    <w:rsid w:val="00C23430"/>
    <w:rsid w:val="00C27D67"/>
    <w:rsid w:val="00C34825"/>
    <w:rsid w:val="00C40A0E"/>
    <w:rsid w:val="00C435AF"/>
    <w:rsid w:val="00C43703"/>
    <w:rsid w:val="00C4631F"/>
    <w:rsid w:val="00C47CDE"/>
    <w:rsid w:val="00C50E16"/>
    <w:rsid w:val="00C55258"/>
    <w:rsid w:val="00C705E9"/>
    <w:rsid w:val="00C70E72"/>
    <w:rsid w:val="00C714A7"/>
    <w:rsid w:val="00C71A8A"/>
    <w:rsid w:val="00C72A7E"/>
    <w:rsid w:val="00C74288"/>
    <w:rsid w:val="00C75FA3"/>
    <w:rsid w:val="00C82EEB"/>
    <w:rsid w:val="00C87A6F"/>
    <w:rsid w:val="00C971DC"/>
    <w:rsid w:val="00CA16B7"/>
    <w:rsid w:val="00CA62AE"/>
    <w:rsid w:val="00CA6718"/>
    <w:rsid w:val="00CB03B8"/>
    <w:rsid w:val="00CB2ED6"/>
    <w:rsid w:val="00CB49DD"/>
    <w:rsid w:val="00CB5B1A"/>
    <w:rsid w:val="00CC220B"/>
    <w:rsid w:val="00CC5C43"/>
    <w:rsid w:val="00CD02AE"/>
    <w:rsid w:val="00CD21E2"/>
    <w:rsid w:val="00CD2A4F"/>
    <w:rsid w:val="00CD2C32"/>
    <w:rsid w:val="00CD389D"/>
    <w:rsid w:val="00CD41E4"/>
    <w:rsid w:val="00CD638C"/>
    <w:rsid w:val="00CE03CA"/>
    <w:rsid w:val="00CE22F1"/>
    <w:rsid w:val="00CE50F2"/>
    <w:rsid w:val="00CE6502"/>
    <w:rsid w:val="00CF1633"/>
    <w:rsid w:val="00CF7D3C"/>
    <w:rsid w:val="00D01F09"/>
    <w:rsid w:val="00D03527"/>
    <w:rsid w:val="00D03E2F"/>
    <w:rsid w:val="00D125F7"/>
    <w:rsid w:val="00D13B92"/>
    <w:rsid w:val="00D147EB"/>
    <w:rsid w:val="00D15287"/>
    <w:rsid w:val="00D160B9"/>
    <w:rsid w:val="00D20254"/>
    <w:rsid w:val="00D27E71"/>
    <w:rsid w:val="00D34667"/>
    <w:rsid w:val="00D401E1"/>
    <w:rsid w:val="00D408B4"/>
    <w:rsid w:val="00D409B0"/>
    <w:rsid w:val="00D44330"/>
    <w:rsid w:val="00D5066A"/>
    <w:rsid w:val="00D524C8"/>
    <w:rsid w:val="00D64AB8"/>
    <w:rsid w:val="00D704C1"/>
    <w:rsid w:val="00D70A3B"/>
    <w:rsid w:val="00D70E24"/>
    <w:rsid w:val="00D72B61"/>
    <w:rsid w:val="00D75709"/>
    <w:rsid w:val="00D80701"/>
    <w:rsid w:val="00D80804"/>
    <w:rsid w:val="00D8691F"/>
    <w:rsid w:val="00D9124A"/>
    <w:rsid w:val="00DA3D1D"/>
    <w:rsid w:val="00DB6286"/>
    <w:rsid w:val="00DB645F"/>
    <w:rsid w:val="00DB76E9"/>
    <w:rsid w:val="00DC0A67"/>
    <w:rsid w:val="00DC1D5E"/>
    <w:rsid w:val="00DC2498"/>
    <w:rsid w:val="00DC5220"/>
    <w:rsid w:val="00DD2061"/>
    <w:rsid w:val="00DD2163"/>
    <w:rsid w:val="00DD31B6"/>
    <w:rsid w:val="00DD7DAB"/>
    <w:rsid w:val="00DE26BC"/>
    <w:rsid w:val="00DE3355"/>
    <w:rsid w:val="00DE6D9D"/>
    <w:rsid w:val="00DF0C60"/>
    <w:rsid w:val="00DF486F"/>
    <w:rsid w:val="00DF5B5B"/>
    <w:rsid w:val="00DF7619"/>
    <w:rsid w:val="00E010E4"/>
    <w:rsid w:val="00E042D8"/>
    <w:rsid w:val="00E04608"/>
    <w:rsid w:val="00E077BB"/>
    <w:rsid w:val="00E07EE7"/>
    <w:rsid w:val="00E1103B"/>
    <w:rsid w:val="00E11D0D"/>
    <w:rsid w:val="00E17B44"/>
    <w:rsid w:val="00E20F27"/>
    <w:rsid w:val="00E22443"/>
    <w:rsid w:val="00E25B1F"/>
    <w:rsid w:val="00E27875"/>
    <w:rsid w:val="00E27FEA"/>
    <w:rsid w:val="00E321F8"/>
    <w:rsid w:val="00E33511"/>
    <w:rsid w:val="00E35B07"/>
    <w:rsid w:val="00E37C62"/>
    <w:rsid w:val="00E4086F"/>
    <w:rsid w:val="00E42D30"/>
    <w:rsid w:val="00E43B3C"/>
    <w:rsid w:val="00E50188"/>
    <w:rsid w:val="00E50BB3"/>
    <w:rsid w:val="00E515CB"/>
    <w:rsid w:val="00E51C45"/>
    <w:rsid w:val="00E52260"/>
    <w:rsid w:val="00E538AE"/>
    <w:rsid w:val="00E639B6"/>
    <w:rsid w:val="00E6434B"/>
    <w:rsid w:val="00E6463D"/>
    <w:rsid w:val="00E71492"/>
    <w:rsid w:val="00E72E9B"/>
    <w:rsid w:val="00E850C3"/>
    <w:rsid w:val="00E87421"/>
    <w:rsid w:val="00E87DF2"/>
    <w:rsid w:val="00E90371"/>
    <w:rsid w:val="00E9462E"/>
    <w:rsid w:val="00EA317E"/>
    <w:rsid w:val="00EA470E"/>
    <w:rsid w:val="00EA47A7"/>
    <w:rsid w:val="00EA57EB"/>
    <w:rsid w:val="00EA5AF6"/>
    <w:rsid w:val="00EB3226"/>
    <w:rsid w:val="00EB5C02"/>
    <w:rsid w:val="00EB7E6D"/>
    <w:rsid w:val="00EC213A"/>
    <w:rsid w:val="00EC589B"/>
    <w:rsid w:val="00EC7744"/>
    <w:rsid w:val="00ED0DAD"/>
    <w:rsid w:val="00ED0F46"/>
    <w:rsid w:val="00ED2373"/>
    <w:rsid w:val="00ED24F9"/>
    <w:rsid w:val="00ED2E38"/>
    <w:rsid w:val="00ED5A5A"/>
    <w:rsid w:val="00EE3E8A"/>
    <w:rsid w:val="00EE579B"/>
    <w:rsid w:val="00EF58B8"/>
    <w:rsid w:val="00EF6ECA"/>
    <w:rsid w:val="00F024E1"/>
    <w:rsid w:val="00F06C10"/>
    <w:rsid w:val="00F1096F"/>
    <w:rsid w:val="00F12589"/>
    <w:rsid w:val="00F12595"/>
    <w:rsid w:val="00F134D9"/>
    <w:rsid w:val="00F1403D"/>
    <w:rsid w:val="00F1463F"/>
    <w:rsid w:val="00F21302"/>
    <w:rsid w:val="00F2430D"/>
    <w:rsid w:val="00F26511"/>
    <w:rsid w:val="00F321DE"/>
    <w:rsid w:val="00F33777"/>
    <w:rsid w:val="00F40573"/>
    <w:rsid w:val="00F40648"/>
    <w:rsid w:val="00F47DA2"/>
    <w:rsid w:val="00F51321"/>
    <w:rsid w:val="00F519FC"/>
    <w:rsid w:val="00F6239D"/>
    <w:rsid w:val="00F62B7B"/>
    <w:rsid w:val="00F715D2"/>
    <w:rsid w:val="00F7274F"/>
    <w:rsid w:val="00F74E84"/>
    <w:rsid w:val="00F7615B"/>
    <w:rsid w:val="00F76ED3"/>
    <w:rsid w:val="00F76FA8"/>
    <w:rsid w:val="00F85065"/>
    <w:rsid w:val="00F85AFE"/>
    <w:rsid w:val="00F86C08"/>
    <w:rsid w:val="00F93F08"/>
    <w:rsid w:val="00F94CED"/>
    <w:rsid w:val="00FA02BB"/>
    <w:rsid w:val="00FA2CEE"/>
    <w:rsid w:val="00FA318C"/>
    <w:rsid w:val="00FB3661"/>
    <w:rsid w:val="00FB3D31"/>
    <w:rsid w:val="00FB6452"/>
    <w:rsid w:val="00FB6F92"/>
    <w:rsid w:val="00FC026E"/>
    <w:rsid w:val="00FC5124"/>
    <w:rsid w:val="00FD0155"/>
    <w:rsid w:val="00FD1AFC"/>
    <w:rsid w:val="00FD4731"/>
    <w:rsid w:val="00FD6768"/>
    <w:rsid w:val="00FE41AF"/>
    <w:rsid w:val="00FE560D"/>
    <w:rsid w:val="00FF0AB0"/>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5"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link w:val="Heading5Char"/>
    <w:uiPriority w:val="9"/>
    <w:qFormat/>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paragraph" w:styleId="HTMLPreformatted">
    <w:name w:val="HTML Preformatted"/>
    <w:basedOn w:val="Normal"/>
    <w:link w:val="HTMLPreformattedChar"/>
    <w:uiPriority w:val="99"/>
    <w:semiHidden/>
    <w:unhideWhenUsed/>
    <w:rsid w:val="00CD3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color w:val="auto"/>
      <w:sz w:val="20"/>
      <w:szCs w:val="20"/>
      <w:lang w:eastAsia="en-AU"/>
    </w:rPr>
  </w:style>
  <w:style w:type="character" w:customStyle="1" w:styleId="HTMLPreformattedChar">
    <w:name w:val="HTML Preformatted Char"/>
    <w:basedOn w:val="DefaultParagraphFont"/>
    <w:link w:val="HTMLPreformatted"/>
    <w:uiPriority w:val="99"/>
    <w:semiHidden/>
    <w:rsid w:val="00CD389D"/>
    <w:rPr>
      <w:rFonts w:ascii="Courier New" w:hAnsi="Courier New" w:cs="Courier New"/>
    </w:rPr>
  </w:style>
  <w:style w:type="character" w:customStyle="1" w:styleId="Heading5Char">
    <w:name w:val="Heading 5 Char"/>
    <w:link w:val="Heading5"/>
    <w:uiPriority w:val="9"/>
    <w:rsid w:val="00547ABC"/>
    <w:rPr>
      <w:rFonts w:ascii="Arial" w:hAnsi="Arial"/>
      <w:b/>
      <w:bCs/>
      <w:iCs/>
      <w:color w:val="358189" w:themeColor="accent2"/>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28282166">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46639542">
      <w:bodyDiv w:val="1"/>
      <w:marLeft w:val="0"/>
      <w:marRight w:val="0"/>
      <w:marTop w:val="0"/>
      <w:marBottom w:val="0"/>
      <w:divBdr>
        <w:top w:val="none" w:sz="0" w:space="0" w:color="auto"/>
        <w:left w:val="none" w:sz="0" w:space="0" w:color="auto"/>
        <w:bottom w:val="none" w:sz="0" w:space="0" w:color="auto"/>
        <w:right w:val="none" w:sz="0" w:space="0" w:color="auto"/>
      </w:divBdr>
    </w:div>
    <w:div w:id="122771670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51390936">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pbac-meetings"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s://www.mbsonline.gov.au/internet/mbsonline/publishing.nsf/Content/download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subscribe.cf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header" Target="header3.xml"/><Relationship Id="rId10" Type="http://schemas.openxmlformats.org/officeDocument/2006/relationships/hyperlink" Target="https://www.mbsonline.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gov.au/topics/medicare/compliance" TargetMode="External"/><Relationship Id="rId14" Type="http://schemas.openxmlformats.org/officeDocument/2006/relationships/hyperlink" Target="https://www.health.gov.au/resources/collections/private-health-insurance-clinical-category-and-procedure-type?language=en"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A977F-2F0B-4276-B1F5-FCC4A625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1360</Words>
  <Characters>8463</Characters>
  <Application>Microsoft Office Word</Application>
  <DocSecurity>0</DocSecurity>
  <Lines>159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2025-09-25T01:43:00Z</dcterms:created>
  <dcterms:modified xsi:type="dcterms:W3CDTF">2025-10-14T22:47:00Z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6feba1d8,360f7b8d,5d2f71bd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5d3110ed,1b0bba92,44ee9bab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2025-09-19T05:40:24Z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07c51d49-1e0a-4103-b651-7ab6c724d923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