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00374CEC" w:rsidR="00BA2732" w:rsidRDefault="00CF4806" w:rsidP="003D033A">
      <w:pPr>
        <w:pStyle w:val="Title"/>
      </w:pPr>
      <w:r w:rsidRPr="00CF4806">
        <w:t>Amendments to improve consistency of non-small cell lung cancer (NSCLC) items on the Medicare Benefits Schedule (MBS)</w:t>
      </w:r>
    </w:p>
    <w:p w14:paraId="775D1E07" w14:textId="73FB7495" w:rsidR="000C0475" w:rsidRPr="00A8695F" w:rsidRDefault="00064168" w:rsidP="006F5073">
      <w:bookmarkStart w:id="0" w:name="_Hlk4568006"/>
      <w:r w:rsidRPr="00867595">
        <w:t xml:space="preserve">Last updated: </w:t>
      </w:r>
      <w:r w:rsidR="006928B4">
        <w:t>15</w:t>
      </w:r>
      <w:r w:rsidR="00753DC0">
        <w:t xml:space="preserve"> </w:t>
      </w:r>
      <w:r w:rsidR="006928B4">
        <w:t>October</w:t>
      </w:r>
      <w:r w:rsidR="00914758">
        <w:t xml:space="preserve"> 2025</w:t>
      </w:r>
    </w:p>
    <w:bookmarkEnd w:id="0"/>
    <w:p w14:paraId="2CD43144" w14:textId="1541AE96" w:rsidR="00850A71" w:rsidRPr="00497876" w:rsidRDefault="00850A71" w:rsidP="00CF4806">
      <w:pPr>
        <w:pStyle w:val="ListBullet"/>
      </w:pPr>
      <w:r>
        <w:t xml:space="preserve">From 1 November 2025, </w:t>
      </w:r>
      <w:r w:rsidR="00497876">
        <w:t>amendments will be made</w:t>
      </w:r>
      <w:r w:rsidR="00CC39B8">
        <w:t xml:space="preserve"> </w:t>
      </w:r>
      <w:r w:rsidR="00CC39B8" w:rsidRPr="00497876">
        <w:t xml:space="preserve">to </w:t>
      </w:r>
      <w:r w:rsidR="00497876" w:rsidRPr="00497876">
        <w:t xml:space="preserve">improve </w:t>
      </w:r>
      <w:r w:rsidR="00497876">
        <w:t xml:space="preserve">the </w:t>
      </w:r>
      <w:r w:rsidR="00497876" w:rsidRPr="00497876">
        <w:t xml:space="preserve">alignment of </w:t>
      </w:r>
      <w:r w:rsidR="00497876">
        <w:t xml:space="preserve">existing </w:t>
      </w:r>
      <w:r w:rsidR="00497876" w:rsidRPr="00497876">
        <w:t xml:space="preserve">non-small cell lung cancer (NSCLC) items on the Medicare Benefits Schedule </w:t>
      </w:r>
      <w:r w:rsidR="00497876">
        <w:t>(</w:t>
      </w:r>
      <w:r w:rsidR="00497876" w:rsidRPr="00497876">
        <w:t>MBS</w:t>
      </w:r>
      <w:r w:rsidR="00497876">
        <w:t>)</w:t>
      </w:r>
      <w:r w:rsidR="00497876" w:rsidRPr="00497876">
        <w:t>.</w:t>
      </w:r>
    </w:p>
    <w:p w14:paraId="7F88D4DD" w14:textId="411E4052" w:rsidR="00064168" w:rsidRPr="006F5073" w:rsidRDefault="00CC39B8" w:rsidP="00CC39B8">
      <w:pPr>
        <w:pStyle w:val="ListBullet"/>
      </w:pPr>
      <w:r>
        <w:t>The amended items will</w:t>
      </w:r>
      <w:r w:rsidRPr="00CC39B8">
        <w:t xml:space="preserve"> </w:t>
      </w:r>
      <w:r w:rsidRPr="00CF4806">
        <w:t xml:space="preserve">allow patients with NSCLC to access </w:t>
      </w:r>
      <w:r>
        <w:t xml:space="preserve">relevant </w:t>
      </w:r>
      <w:r w:rsidRPr="00CF4806">
        <w:t>testing at any diagnostic stage of NSCLC.</w:t>
      </w:r>
      <w:r>
        <w:t xml:space="preserve"> The items will </w:t>
      </w:r>
      <w:r w:rsidR="00CF4806" w:rsidRPr="00CF4806">
        <w:t>allow patients with NSCLC to access fluorescence in situ hybridisation (FISH) single gene testing where pathology laboratories do not yet have Next Generation Sequencing (NGS) technology</w:t>
      </w:r>
      <w:r>
        <w:t xml:space="preserve">. The items will also be amended </w:t>
      </w:r>
      <w:r w:rsidRPr="00CC39B8">
        <w:t>to refer to ‘relevant treatments under the Pharmaceutical Benefits Scheme (PBS)’ in a consistent manner</w:t>
      </w:r>
      <w:r>
        <w:t xml:space="preserve">, </w:t>
      </w:r>
      <w:r w:rsidR="00497876">
        <w:t>which</w:t>
      </w:r>
      <w:r w:rsidRPr="00CC39B8">
        <w:t xml:space="preserve"> allows the MBS item</w:t>
      </w:r>
      <w:r w:rsidR="00F8714E">
        <w:t>s</w:t>
      </w:r>
      <w:r w:rsidRPr="00CC39B8">
        <w:t xml:space="preserve"> to be used to determine eligibility for future PBS treatments</w:t>
      </w:r>
      <w:r>
        <w:t>.</w:t>
      </w:r>
    </w:p>
    <w:p w14:paraId="44460BF5" w14:textId="29A2ED51" w:rsidR="00064168" w:rsidRPr="00867595" w:rsidRDefault="00064168" w:rsidP="00064168">
      <w:pPr>
        <w:pStyle w:val="Heading2"/>
      </w:pPr>
      <w:r w:rsidRPr="00867595">
        <w:t>What are the changes?</w:t>
      </w:r>
    </w:p>
    <w:p w14:paraId="4E459E9A" w14:textId="6311F55A" w:rsidR="00064168" w:rsidRPr="00867595" w:rsidRDefault="00064168" w:rsidP="00064168">
      <w:pPr>
        <w:rPr>
          <w:szCs w:val="22"/>
        </w:rPr>
      </w:pPr>
      <w:r w:rsidRPr="00867595">
        <w:rPr>
          <w:szCs w:val="22"/>
        </w:rPr>
        <w:t xml:space="preserve">Effective </w:t>
      </w:r>
      <w:r w:rsidR="00CF4806">
        <w:rPr>
          <w:szCs w:val="22"/>
        </w:rPr>
        <w:t>1 November 2025</w:t>
      </w:r>
      <w:r w:rsidRPr="00867595">
        <w:rPr>
          <w:szCs w:val="22"/>
        </w:rPr>
        <w:t xml:space="preserve">, </w:t>
      </w:r>
      <w:r w:rsidR="00CF4806">
        <w:rPr>
          <w:szCs w:val="22"/>
        </w:rPr>
        <w:t xml:space="preserve">NSCLC items </w:t>
      </w:r>
      <w:r w:rsidR="00CF4806" w:rsidRPr="00CF4806">
        <w:rPr>
          <w:szCs w:val="22"/>
        </w:rPr>
        <w:t>73337, 73341, 73344, 73436 and 73437-73439</w:t>
      </w:r>
      <w:r w:rsidR="008A1F5B">
        <w:rPr>
          <w:szCs w:val="22"/>
        </w:rPr>
        <w:t xml:space="preserve"> will be amended and </w:t>
      </w:r>
      <w:r w:rsidR="008A1F5B" w:rsidRPr="008A1F5B">
        <w:rPr>
          <w:szCs w:val="22"/>
        </w:rPr>
        <w:t>streamline</w:t>
      </w:r>
      <w:r w:rsidR="008A1F5B">
        <w:rPr>
          <w:szCs w:val="22"/>
        </w:rPr>
        <w:t>d</w:t>
      </w:r>
      <w:r w:rsidRPr="00867595">
        <w:rPr>
          <w:szCs w:val="22"/>
        </w:rPr>
        <w:t xml:space="preserve">. </w:t>
      </w:r>
      <w:r w:rsidR="00CF4806" w:rsidRPr="00CF4806">
        <w:rPr>
          <w:szCs w:val="22"/>
        </w:rPr>
        <w:t xml:space="preserve">The changes will make </w:t>
      </w:r>
      <w:r w:rsidR="00CF4806">
        <w:rPr>
          <w:szCs w:val="22"/>
        </w:rPr>
        <w:t xml:space="preserve">these </w:t>
      </w:r>
      <w:r w:rsidR="00CF4806" w:rsidRPr="00CF4806">
        <w:rPr>
          <w:szCs w:val="22"/>
        </w:rPr>
        <w:t>NSCLC items</w:t>
      </w:r>
      <w:r w:rsidR="00CF4806">
        <w:rPr>
          <w:szCs w:val="22"/>
        </w:rPr>
        <w:t xml:space="preserve"> </w:t>
      </w:r>
      <w:r w:rsidR="00CF4806" w:rsidRPr="00CF4806">
        <w:rPr>
          <w:szCs w:val="22"/>
        </w:rPr>
        <w:t xml:space="preserve">consistent </w:t>
      </w:r>
      <w:r w:rsidR="00CF4806">
        <w:rPr>
          <w:szCs w:val="22"/>
        </w:rPr>
        <w:t xml:space="preserve">across the MBS </w:t>
      </w:r>
      <w:r w:rsidR="00D108B7">
        <w:rPr>
          <w:szCs w:val="22"/>
        </w:rPr>
        <w:t>and</w:t>
      </w:r>
      <w:r w:rsidR="00CF4806" w:rsidRPr="00CF4806">
        <w:rPr>
          <w:szCs w:val="22"/>
        </w:rPr>
        <w:t xml:space="preserve"> in line with the latest advice from the Medical Services Advisory Committee (MSAC) for NSCLC patients. </w:t>
      </w:r>
      <w:r w:rsidRPr="00867595">
        <w:rPr>
          <w:szCs w:val="22"/>
        </w:rPr>
        <w:t xml:space="preserve">The </w:t>
      </w:r>
      <w:r w:rsidR="008A1F5B">
        <w:rPr>
          <w:szCs w:val="22"/>
        </w:rPr>
        <w:t>amendments</w:t>
      </w:r>
      <w:r w:rsidR="008A1F5B" w:rsidRPr="00867595">
        <w:rPr>
          <w:szCs w:val="22"/>
        </w:rPr>
        <w:t xml:space="preserve"> </w:t>
      </w:r>
      <w:r w:rsidRPr="00867595">
        <w:rPr>
          <w:szCs w:val="22"/>
        </w:rPr>
        <w:t>include:</w:t>
      </w:r>
    </w:p>
    <w:p w14:paraId="2508D8A4" w14:textId="317A6302" w:rsidR="00CF4806" w:rsidRDefault="00CF4806" w:rsidP="00CF4806">
      <w:pPr>
        <w:pStyle w:val="ListBullet"/>
      </w:pPr>
      <w:r>
        <w:t xml:space="preserve">Removing ‘locally advanced or metastatic’ from the item descriptors for 73341, 73344 and 73436 to enable access to FISH testing at any diagnostic stage, where pathology laboratories do not yet have NGS technology. </w:t>
      </w:r>
    </w:p>
    <w:p w14:paraId="5F6BC8A5" w14:textId="11EBC33A" w:rsidR="00CF4806" w:rsidRDefault="00CF4806" w:rsidP="00CF4806">
      <w:pPr>
        <w:pStyle w:val="ListBullet"/>
      </w:pPr>
      <w:r>
        <w:t>Removing ‘which is of non-squamous histology or histology not otherwise specified’ from the item descriptors for 73337, 73341 and 73344 to align them with 73436 and the newest NSCLC items 73437 to 73439.</w:t>
      </w:r>
    </w:p>
    <w:p w14:paraId="44FD3D34" w14:textId="52E0ABEB" w:rsidR="00CF4806" w:rsidRDefault="00CF4806" w:rsidP="00CF4806">
      <w:pPr>
        <w:pStyle w:val="ListBullet"/>
      </w:pPr>
      <w:r>
        <w:t>Removing references to previous biomarker tests and results in items 73341 and 73344, as this information is included in the PBS restrictions.</w:t>
      </w:r>
    </w:p>
    <w:p w14:paraId="5FE269A9" w14:textId="332C2758" w:rsidR="00064168" w:rsidRPr="00867595" w:rsidRDefault="00CF4806" w:rsidP="00CF4806">
      <w:pPr>
        <w:pStyle w:val="ListBullet"/>
      </w:pPr>
      <w:r>
        <w:t xml:space="preserve">Replacing ‘an immunotherapy listed under the PBS are fulfilled’ in all seven items, </w:t>
      </w:r>
      <w:proofErr w:type="spellStart"/>
      <w:r>
        <w:t>referring</w:t>
      </w:r>
      <w:proofErr w:type="spellEnd"/>
      <w:r>
        <w:t xml:space="preserve"> instead to ‘</w:t>
      </w:r>
      <w:r w:rsidR="00B803A3">
        <w:t xml:space="preserve">a </w:t>
      </w:r>
      <w:r>
        <w:t xml:space="preserve">relevant </w:t>
      </w:r>
      <w:r w:rsidR="00E77AA9">
        <w:t xml:space="preserve">treatment </w:t>
      </w:r>
      <w:r w:rsidR="00D108B7">
        <w:t xml:space="preserve">under the </w:t>
      </w:r>
      <w:r>
        <w:t xml:space="preserve">PBS’. This follows MSAC supporting the use of the phrase ‘to determine access to a relevant treatment under the </w:t>
      </w:r>
      <w:r w:rsidR="00D108B7">
        <w:t>PBS</w:t>
      </w:r>
      <w:r>
        <w:t>’ for co-dependent pathology item descriptors.</w:t>
      </w:r>
      <w:r w:rsidR="000B6DC2">
        <w:t xml:space="preserve"> </w:t>
      </w:r>
    </w:p>
    <w:p w14:paraId="14CB6C78" w14:textId="548940A2" w:rsidR="007E0068" w:rsidRDefault="007E0068" w:rsidP="007E0068">
      <w:r>
        <w:t>For private health insurance purposes, item</w:t>
      </w:r>
      <w:r w:rsidR="00CF4806">
        <w:t xml:space="preserve">s </w:t>
      </w:r>
      <w:r w:rsidR="00CF4806" w:rsidRPr="00CF4806">
        <w:t xml:space="preserve">73337, 73341, 73344, 73436 and 73437-73439 </w:t>
      </w:r>
      <w:r>
        <w:t>will continue to be listed under the following clinical category and procedure type:</w:t>
      </w:r>
    </w:p>
    <w:p w14:paraId="00DAF94B" w14:textId="77777777" w:rsidR="00385C01" w:rsidRDefault="00385C01" w:rsidP="00385C01">
      <w:pPr>
        <w:pStyle w:val="ListBullet"/>
      </w:pPr>
      <w:r>
        <w:t>Private Health Insurance Classification:</w:t>
      </w:r>
    </w:p>
    <w:p w14:paraId="5B0D04C5" w14:textId="54F8B189" w:rsidR="007E0068" w:rsidRDefault="007E0068" w:rsidP="006F5073">
      <w:pPr>
        <w:pStyle w:val="ListBullet"/>
      </w:pPr>
      <w:r>
        <w:lastRenderedPageBreak/>
        <w:t xml:space="preserve">Clinical category: </w:t>
      </w:r>
      <w:r w:rsidR="00CF4806" w:rsidRPr="00D15F44">
        <w:t>Support list (pathology)</w:t>
      </w:r>
    </w:p>
    <w:p w14:paraId="0F393FB5" w14:textId="04845C06" w:rsidR="007E0068" w:rsidRPr="007E0068" w:rsidRDefault="007E0068" w:rsidP="006F5073">
      <w:pPr>
        <w:pStyle w:val="ListBullet"/>
      </w:pPr>
      <w:r>
        <w:t xml:space="preserve">Procedure type: Type </w:t>
      </w:r>
      <w:r w:rsidR="00CF4806">
        <w:t>C</w:t>
      </w:r>
    </w:p>
    <w:p w14:paraId="42BD5171" w14:textId="77777777" w:rsidR="00064168" w:rsidRDefault="00064168" w:rsidP="00064168">
      <w:pPr>
        <w:pStyle w:val="Heading2"/>
      </w:pPr>
      <w:r>
        <w:t>Why are the changes being made?</w:t>
      </w:r>
    </w:p>
    <w:p w14:paraId="144C3AE2" w14:textId="1783DAF1" w:rsidR="00064168" w:rsidRPr="00867595" w:rsidRDefault="00F30066" w:rsidP="00CF4806">
      <w:pPr>
        <w:rPr>
          <w:szCs w:val="22"/>
        </w:rPr>
      </w:pPr>
      <w:bookmarkStart w:id="1" w:name="_Hlk535386664"/>
      <w:r w:rsidRPr="00F30066">
        <w:rPr>
          <w:szCs w:val="22"/>
        </w:rPr>
        <w:t xml:space="preserve">At its September 2024 meeting the MSAC Executive agreed that NSCLC items on the MBS should </w:t>
      </w:r>
      <w:r w:rsidR="00242314">
        <w:rPr>
          <w:szCs w:val="22"/>
        </w:rPr>
        <w:t xml:space="preserve">be consistent to </w:t>
      </w:r>
      <w:r w:rsidRPr="00F30066">
        <w:rPr>
          <w:szCs w:val="22"/>
        </w:rPr>
        <w:t xml:space="preserve">reflect the most up to date advice from the MSAC for this patient population. </w:t>
      </w:r>
    </w:p>
    <w:bookmarkEnd w:id="1"/>
    <w:p w14:paraId="4B2559AC" w14:textId="581A1F69" w:rsidR="00064168" w:rsidRDefault="00064168" w:rsidP="00064168">
      <w:pPr>
        <w:pStyle w:val="Heading2"/>
      </w:pPr>
      <w:r>
        <w:t xml:space="preserve">What does this mean for </w:t>
      </w:r>
      <w:r w:rsidR="00FA10F1">
        <w:t>request</w:t>
      </w:r>
      <w:r w:rsidR="00034E4B">
        <w:t>e</w:t>
      </w:r>
      <w:r w:rsidR="00FA10F1">
        <w:t>rs</w:t>
      </w:r>
      <w:r>
        <w:t>?</w:t>
      </w:r>
    </w:p>
    <w:p w14:paraId="615D7379" w14:textId="33E1C78E" w:rsidR="0043264B" w:rsidRDefault="0043264B" w:rsidP="00FA10F1">
      <w:pPr>
        <w:rPr>
          <w:szCs w:val="22"/>
        </w:rPr>
      </w:pPr>
      <w:r>
        <w:rPr>
          <w:szCs w:val="22"/>
        </w:rPr>
        <w:t xml:space="preserve">There are no changes to </w:t>
      </w:r>
      <w:r w:rsidR="00B30E0A">
        <w:rPr>
          <w:szCs w:val="22"/>
        </w:rPr>
        <w:t xml:space="preserve">who can </w:t>
      </w:r>
      <w:r>
        <w:rPr>
          <w:szCs w:val="22"/>
        </w:rPr>
        <w:t>request</w:t>
      </w:r>
      <w:r w:rsidR="00BA525D">
        <w:rPr>
          <w:szCs w:val="22"/>
        </w:rPr>
        <w:t xml:space="preserve"> the tests</w:t>
      </w:r>
      <w:r>
        <w:rPr>
          <w:szCs w:val="22"/>
        </w:rPr>
        <w:t xml:space="preserve">. </w:t>
      </w:r>
      <w:r w:rsidR="0015012D">
        <w:rPr>
          <w:szCs w:val="22"/>
        </w:rPr>
        <w:t xml:space="preserve">The tests can </w:t>
      </w:r>
      <w:r>
        <w:rPr>
          <w:szCs w:val="22"/>
        </w:rPr>
        <w:t xml:space="preserve">continue to </w:t>
      </w:r>
      <w:r w:rsidR="0015012D">
        <w:rPr>
          <w:szCs w:val="22"/>
        </w:rPr>
        <w:t xml:space="preserve">be </w:t>
      </w:r>
      <w:r w:rsidR="0015012D" w:rsidRPr="0015012D">
        <w:rPr>
          <w:szCs w:val="22"/>
        </w:rPr>
        <w:t>requested by, or on behalf of, a specialist or consultant physician</w:t>
      </w:r>
      <w:r w:rsidR="0015012D">
        <w:rPr>
          <w:szCs w:val="22"/>
        </w:rPr>
        <w:t xml:space="preserve">. </w:t>
      </w:r>
    </w:p>
    <w:p w14:paraId="0654D50A" w14:textId="38F14F78" w:rsidR="00064168" w:rsidRPr="00867595" w:rsidRDefault="00FA10F1" w:rsidP="00FA10F1">
      <w:pPr>
        <w:rPr>
          <w:szCs w:val="22"/>
        </w:rPr>
      </w:pPr>
      <w:r w:rsidRPr="00FA10F1">
        <w:rPr>
          <w:szCs w:val="22"/>
        </w:rPr>
        <w:t>Request</w:t>
      </w:r>
      <w:r w:rsidR="00034E4B">
        <w:rPr>
          <w:szCs w:val="22"/>
        </w:rPr>
        <w:t>e</w:t>
      </w:r>
      <w:r w:rsidRPr="00FA10F1">
        <w:rPr>
          <w:szCs w:val="22"/>
        </w:rPr>
        <w:t xml:space="preserve">rs will be able to request </w:t>
      </w:r>
      <w:r w:rsidR="00F30066">
        <w:rPr>
          <w:szCs w:val="22"/>
        </w:rPr>
        <w:t xml:space="preserve">relevant </w:t>
      </w:r>
      <w:r w:rsidRPr="00FA10F1">
        <w:rPr>
          <w:szCs w:val="22"/>
        </w:rPr>
        <w:t>testing for patients at any diagnostic stage of NSCLC and determine the appropriate treatment for their patients.</w:t>
      </w:r>
    </w:p>
    <w:p w14:paraId="7F7DA4F7" w14:textId="77777777" w:rsidR="00064168" w:rsidRDefault="00064168" w:rsidP="00064168">
      <w:pPr>
        <w:pStyle w:val="Heading2"/>
      </w:pPr>
      <w:r>
        <w:t>How will these changes affect patients</w:t>
      </w:r>
      <w:r w:rsidRPr="001A7FB7">
        <w:t>?</w:t>
      </w:r>
    </w:p>
    <w:p w14:paraId="29E5E528" w14:textId="1CAD3900" w:rsidR="00AF21B5" w:rsidRDefault="009726CD" w:rsidP="009726CD">
      <w:pPr>
        <w:rPr>
          <w:bCs/>
          <w:lang w:val="en-CA"/>
        </w:rPr>
      </w:pPr>
      <w:r>
        <w:rPr>
          <w:bCs/>
          <w:lang w:val="en-CA"/>
        </w:rPr>
        <w:t>The changes will r</w:t>
      </w:r>
      <w:r w:rsidRPr="009726CD">
        <w:rPr>
          <w:bCs/>
          <w:lang w:val="en-CA"/>
        </w:rPr>
        <w:t>emov</w:t>
      </w:r>
      <w:r>
        <w:rPr>
          <w:bCs/>
          <w:lang w:val="en-CA"/>
        </w:rPr>
        <w:t>e</w:t>
      </w:r>
      <w:r w:rsidRPr="009726CD">
        <w:rPr>
          <w:bCs/>
          <w:lang w:val="en-CA"/>
        </w:rPr>
        <w:t xml:space="preserve"> ‘locally advanced or metastatic’ from the descriptors for 73341, 73344 and 73436</w:t>
      </w:r>
      <w:r>
        <w:rPr>
          <w:bCs/>
          <w:lang w:val="en-CA"/>
        </w:rPr>
        <w:t>, and</w:t>
      </w:r>
      <w:r w:rsidRPr="009726CD">
        <w:rPr>
          <w:bCs/>
          <w:lang w:val="en-CA"/>
        </w:rPr>
        <w:t xml:space="preserve"> ‘which is of non-squamous histology or histology not otherwise specified’ from the descriptor for 73337, 73341 and 73344. </w:t>
      </w:r>
      <w:r w:rsidRPr="00863CFD">
        <w:rPr>
          <w:bCs/>
          <w:lang w:val="en-CA"/>
        </w:rPr>
        <w:t>The descriptors for items 73341 and 73344 will also be amended to remove references to previous biomarker tests and results.</w:t>
      </w:r>
      <w:r>
        <w:rPr>
          <w:bCs/>
          <w:lang w:val="en-CA"/>
        </w:rPr>
        <w:t xml:space="preserve"> </w:t>
      </w:r>
    </w:p>
    <w:p w14:paraId="1C429932" w14:textId="27F0D909" w:rsidR="009726CD" w:rsidRDefault="009726CD" w:rsidP="009726CD">
      <w:pPr>
        <w:rPr>
          <w:bCs/>
          <w:lang w:val="en-CA"/>
        </w:rPr>
      </w:pPr>
      <w:r>
        <w:rPr>
          <w:bCs/>
          <w:lang w:val="en-CA"/>
        </w:rPr>
        <w:t xml:space="preserve">This means patients at any diagnostic stages of NSCLC will have access to </w:t>
      </w:r>
      <w:r w:rsidR="00BA525D">
        <w:rPr>
          <w:bCs/>
          <w:lang w:val="en-CA"/>
        </w:rPr>
        <w:t xml:space="preserve">MBS </w:t>
      </w:r>
      <w:r w:rsidR="00E14101">
        <w:rPr>
          <w:bCs/>
          <w:lang w:val="en-CA"/>
        </w:rPr>
        <w:t>benefits</w:t>
      </w:r>
      <w:r w:rsidR="00BA525D">
        <w:rPr>
          <w:bCs/>
          <w:lang w:val="en-CA"/>
        </w:rPr>
        <w:t xml:space="preserve"> for </w:t>
      </w:r>
      <w:r w:rsidR="000E060D">
        <w:rPr>
          <w:bCs/>
          <w:lang w:val="en-CA"/>
        </w:rPr>
        <w:t xml:space="preserve">clinically appropriate </w:t>
      </w:r>
      <w:r w:rsidR="00AF21B5">
        <w:rPr>
          <w:bCs/>
          <w:lang w:val="en-CA"/>
        </w:rPr>
        <w:t xml:space="preserve">tests </w:t>
      </w:r>
      <w:r w:rsidR="00AF21B5" w:rsidRPr="00AF21B5">
        <w:rPr>
          <w:bCs/>
          <w:lang w:val="en-CA"/>
        </w:rPr>
        <w:t xml:space="preserve">to determine eligibility for </w:t>
      </w:r>
      <w:r w:rsidR="00AF21B5">
        <w:rPr>
          <w:bCs/>
          <w:lang w:val="en-CA"/>
        </w:rPr>
        <w:t xml:space="preserve">a relevant </w:t>
      </w:r>
      <w:r w:rsidR="00AF21B5" w:rsidRPr="00AF21B5">
        <w:rPr>
          <w:bCs/>
          <w:lang w:val="en-CA"/>
        </w:rPr>
        <w:t xml:space="preserve">treatment </w:t>
      </w:r>
      <w:r w:rsidR="00AF21B5">
        <w:rPr>
          <w:bCs/>
          <w:lang w:val="en-CA"/>
        </w:rPr>
        <w:t>under the</w:t>
      </w:r>
      <w:r w:rsidR="00AF21B5" w:rsidRPr="00AF21B5">
        <w:rPr>
          <w:bCs/>
          <w:lang w:val="en-CA"/>
        </w:rPr>
        <w:t xml:space="preserve"> PBS</w:t>
      </w:r>
      <w:r>
        <w:rPr>
          <w:bCs/>
          <w:lang w:val="en-CA"/>
        </w:rPr>
        <w:t>.</w:t>
      </w:r>
    </w:p>
    <w:p w14:paraId="5BD9BE80" w14:textId="77777777" w:rsidR="00064168" w:rsidRDefault="00064168" w:rsidP="00064168">
      <w:pPr>
        <w:pStyle w:val="Heading2"/>
      </w:pPr>
      <w:r w:rsidRPr="001A7FB7">
        <w:t>Who was consulted on the changes?</w:t>
      </w:r>
    </w:p>
    <w:p w14:paraId="06DE1B0B" w14:textId="25D5A30E" w:rsidR="00FA10F1" w:rsidRPr="00034E4B" w:rsidRDefault="00FA10F1" w:rsidP="00FA10F1">
      <w:pPr>
        <w:spacing w:before="0" w:after="0" w:line="240" w:lineRule="auto"/>
        <w:rPr>
          <w:bCs/>
          <w:iCs/>
          <w:szCs w:val="22"/>
        </w:rPr>
      </w:pPr>
      <w:r w:rsidRPr="00034E4B">
        <w:rPr>
          <w:bCs/>
          <w:iCs/>
          <w:szCs w:val="22"/>
        </w:rPr>
        <w:t xml:space="preserve">MSAC consultation input was from received from the following: </w:t>
      </w:r>
    </w:p>
    <w:p w14:paraId="11C01DD6" w14:textId="77777777"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The Royal College of Pathologists of Australasia,</w:t>
      </w:r>
    </w:p>
    <w:p w14:paraId="12454DFF" w14:textId="0EB64F76"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Australian Pathology</w:t>
      </w:r>
      <w:r w:rsidR="00457F11">
        <w:rPr>
          <w:bCs/>
          <w:iCs/>
          <w:szCs w:val="22"/>
        </w:rPr>
        <w:t>,</w:t>
      </w:r>
      <w:r w:rsidRPr="00034E4B">
        <w:rPr>
          <w:bCs/>
          <w:iCs/>
          <w:szCs w:val="22"/>
        </w:rPr>
        <w:t xml:space="preserve"> </w:t>
      </w:r>
    </w:p>
    <w:p w14:paraId="07CDEC68" w14:textId="6234FF32"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Public Pathology Australia (PPA)</w:t>
      </w:r>
      <w:r w:rsidR="00457F11">
        <w:rPr>
          <w:bCs/>
          <w:iCs/>
          <w:szCs w:val="22"/>
        </w:rPr>
        <w:t>,</w:t>
      </w:r>
    </w:p>
    <w:p w14:paraId="01F3112D" w14:textId="0FDCEDA8"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Human Genetics Society of Australasia (HGSA)</w:t>
      </w:r>
      <w:r w:rsidR="00457F11">
        <w:rPr>
          <w:bCs/>
          <w:iCs/>
          <w:szCs w:val="22"/>
        </w:rPr>
        <w:t>,</w:t>
      </w:r>
    </w:p>
    <w:p w14:paraId="64E69215" w14:textId="77777777"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 xml:space="preserve">Roche Products Pty Ltd and Roche Diagnostics Australia, </w:t>
      </w:r>
    </w:p>
    <w:p w14:paraId="7C7F2C4F" w14:textId="77777777"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 xml:space="preserve">Australian Genomics Health Alliance (AGHA), </w:t>
      </w:r>
    </w:p>
    <w:p w14:paraId="6E8FCAC2" w14:textId="77777777" w:rsidR="00034E4B" w:rsidRPr="00034E4B" w:rsidRDefault="00FA10F1" w:rsidP="00FA10F1">
      <w:pPr>
        <w:pStyle w:val="ListParagraph"/>
        <w:numPr>
          <w:ilvl w:val="0"/>
          <w:numId w:val="31"/>
        </w:numPr>
        <w:spacing w:before="0" w:after="0" w:line="240" w:lineRule="auto"/>
        <w:rPr>
          <w:bCs/>
          <w:iCs/>
          <w:szCs w:val="22"/>
        </w:rPr>
      </w:pPr>
      <w:proofErr w:type="spellStart"/>
      <w:r w:rsidRPr="00034E4B">
        <w:rPr>
          <w:bCs/>
          <w:iCs/>
          <w:szCs w:val="22"/>
        </w:rPr>
        <w:t>InGeNA</w:t>
      </w:r>
      <w:proofErr w:type="spellEnd"/>
      <w:r w:rsidRPr="00034E4B">
        <w:rPr>
          <w:bCs/>
          <w:iCs/>
          <w:szCs w:val="22"/>
        </w:rPr>
        <w:t xml:space="preserve">, </w:t>
      </w:r>
    </w:p>
    <w:p w14:paraId="35D3CD22" w14:textId="217CEFC9" w:rsidR="00FA10F1" w:rsidRPr="00034E4B" w:rsidRDefault="00FA10F1" w:rsidP="00FA10F1">
      <w:pPr>
        <w:pStyle w:val="ListParagraph"/>
        <w:numPr>
          <w:ilvl w:val="0"/>
          <w:numId w:val="31"/>
        </w:numPr>
        <w:spacing w:before="0" w:after="0" w:line="240" w:lineRule="auto"/>
        <w:rPr>
          <w:bCs/>
          <w:iCs/>
          <w:szCs w:val="22"/>
        </w:rPr>
      </w:pPr>
      <w:r w:rsidRPr="00034E4B">
        <w:rPr>
          <w:bCs/>
          <w:iCs/>
          <w:szCs w:val="22"/>
        </w:rPr>
        <w:t>Janssen-Cilag Pty Ltd</w:t>
      </w:r>
      <w:r w:rsidR="00457F11">
        <w:rPr>
          <w:bCs/>
          <w:iCs/>
          <w:szCs w:val="22"/>
        </w:rPr>
        <w:t>,</w:t>
      </w:r>
      <w:r w:rsidRPr="00034E4B">
        <w:rPr>
          <w:bCs/>
          <w:iCs/>
          <w:szCs w:val="22"/>
        </w:rPr>
        <w:t xml:space="preserve"> and </w:t>
      </w:r>
    </w:p>
    <w:p w14:paraId="2D96523F" w14:textId="589BF90B" w:rsidR="00064168" w:rsidRPr="00034E4B" w:rsidRDefault="00FA10F1" w:rsidP="00FA10F1">
      <w:pPr>
        <w:pStyle w:val="ListParagraph"/>
        <w:numPr>
          <w:ilvl w:val="0"/>
          <w:numId w:val="31"/>
        </w:numPr>
        <w:spacing w:before="0" w:after="0" w:line="240" w:lineRule="auto"/>
        <w:rPr>
          <w:bCs/>
          <w:iCs/>
          <w:szCs w:val="22"/>
        </w:rPr>
      </w:pPr>
      <w:r w:rsidRPr="00034E4B">
        <w:rPr>
          <w:bCs/>
          <w:iCs/>
          <w:szCs w:val="22"/>
        </w:rPr>
        <w:t xml:space="preserve">The Thoracic Oncology Group of Australasia (TOGA) </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1A5A20C0" w:rsidR="00BE42C7" w:rsidRPr="00FA10F1"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034E4B">
        <w:rPr>
          <w:szCs w:val="22"/>
        </w:rPr>
        <w:t>, Disability</w:t>
      </w:r>
      <w:r w:rsidR="008E007D" w:rsidRPr="00867595">
        <w:rPr>
          <w:szCs w:val="22"/>
        </w:rPr>
        <w:t xml:space="preserve"> </w:t>
      </w:r>
      <w:r w:rsidR="008E007D">
        <w:rPr>
          <w:szCs w:val="22"/>
        </w:rPr>
        <w:t>and Age</w:t>
      </w:r>
      <w:r w:rsidR="00034E4B">
        <w:rPr>
          <w:szCs w:val="22"/>
        </w:rPr>
        <w:t>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8"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lastRenderedPageBreak/>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34EB4682"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Detailed information on the MBS item listing within clinical categories is available on the</w:t>
      </w:r>
      <w:r w:rsidR="00B56DCF">
        <w:t xml:space="preserve"> </w:t>
      </w:r>
      <w:hyperlink r:id="rId13" w:history="1">
        <w:r w:rsidR="00B56DCF">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09C8D4E7" w:rsidR="0043500D"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C837267" w14:textId="227EBE9B" w:rsidR="00064168" w:rsidRPr="00867595" w:rsidRDefault="0043500D" w:rsidP="0043500D">
      <w:pPr>
        <w:spacing w:before="0" w:after="0" w:line="240" w:lineRule="auto"/>
        <w:rPr>
          <w:szCs w:val="22"/>
        </w:rPr>
      </w:pPr>
      <w:r>
        <w:rPr>
          <w:szCs w:val="22"/>
        </w:rPr>
        <w:br w:type="page"/>
      </w:r>
    </w:p>
    <w:p w14:paraId="79D787A7" w14:textId="3E5524A5" w:rsidR="007C38C3" w:rsidRDefault="00BE3ED5" w:rsidP="001051F5">
      <w:pPr>
        <w:pStyle w:val="Heading2"/>
      </w:pPr>
      <w:r>
        <w:lastRenderedPageBreak/>
        <w:t xml:space="preserve">Amended item descriptors (to take effect </w:t>
      </w:r>
      <w:r w:rsidR="00FA10F1">
        <w:t>1</w:t>
      </w:r>
      <w:r w:rsidR="00B56DCF">
        <w:t> </w:t>
      </w:r>
      <w:r w:rsidR="00FA10F1">
        <w:t>November</w:t>
      </w:r>
      <w:r w:rsidR="00B56DCF">
        <w:t> </w:t>
      </w:r>
      <w:r>
        <w:t>20</w:t>
      </w:r>
      <w:r w:rsidR="00FA10F1">
        <w:t>25</w:t>
      </w:r>
      <w:r>
        <w:t>)</w:t>
      </w:r>
    </w:p>
    <w:p w14:paraId="275C8342" w14:textId="77777777" w:rsidR="001051F5" w:rsidRPr="001051F5" w:rsidRDefault="001051F5" w:rsidP="001051F5"/>
    <w:tbl>
      <w:tblPr>
        <w:tblStyle w:val="GridTable4-Accent2"/>
        <w:tblW w:w="0" w:type="auto"/>
        <w:tblLook w:val="04A0" w:firstRow="1" w:lastRow="0" w:firstColumn="1" w:lastColumn="0" w:noHBand="0" w:noVBand="1"/>
      </w:tblPr>
      <w:tblGrid>
        <w:gridCol w:w="9060"/>
      </w:tblGrid>
      <w:tr w:rsidR="009C495E" w14:paraId="37E7FCD1"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207FFA9" w14:textId="77777777" w:rsidR="009C495E" w:rsidRDefault="009C495E" w:rsidP="00552651">
            <w:pPr>
              <w:rPr>
                <w:b w:val="0"/>
                <w:bCs w:val="0"/>
                <w:lang w:eastAsia="en-AU"/>
              </w:rPr>
            </w:pPr>
            <w:bookmarkStart w:id="3" w:name="_Hlk118987208"/>
            <w:r>
              <w:rPr>
                <w:lang w:eastAsia="en-AU"/>
              </w:rPr>
              <w:t>Category 6 – Pathology Services</w:t>
            </w:r>
          </w:p>
        </w:tc>
      </w:tr>
      <w:tr w:rsidR="009C495E" w14:paraId="360534AC"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9DAB2AB" w14:textId="77777777" w:rsidR="009C495E" w:rsidRDefault="009C495E" w:rsidP="00552651">
            <w:pPr>
              <w:rPr>
                <w:b w:val="0"/>
                <w:bCs w:val="0"/>
                <w:lang w:eastAsia="en-AU"/>
              </w:rPr>
            </w:pPr>
            <w:r>
              <w:rPr>
                <w:lang w:eastAsia="en-AU"/>
              </w:rPr>
              <w:t>Group P7 - Genetics</w:t>
            </w:r>
          </w:p>
        </w:tc>
      </w:tr>
      <w:tr w:rsidR="009C495E" w14:paraId="2271E753" w14:textId="77777777" w:rsidTr="00552651">
        <w:tc>
          <w:tcPr>
            <w:cnfStyle w:val="001000000000" w:firstRow="0" w:lastRow="0" w:firstColumn="1" w:lastColumn="0" w:oddVBand="0" w:evenVBand="0" w:oddHBand="0" w:evenHBand="0" w:firstRowFirstColumn="0" w:firstRowLastColumn="0" w:lastRowFirstColumn="0" w:lastRowLastColumn="0"/>
            <w:tcW w:w="9060" w:type="dxa"/>
            <w:hideMark/>
          </w:tcPr>
          <w:p w14:paraId="00C26934" w14:textId="77777777" w:rsidR="009C495E" w:rsidRPr="00642F20" w:rsidRDefault="009C495E" w:rsidP="00552651">
            <w:pPr>
              <w:rPr>
                <w:b w:val="0"/>
                <w:bCs w:val="0"/>
              </w:rPr>
            </w:pPr>
            <w:r>
              <w:rPr>
                <w:b w:val="0"/>
                <w:bCs w:val="0"/>
              </w:rPr>
              <w:t>73337</w:t>
            </w:r>
          </w:p>
          <w:p w14:paraId="04018D85" w14:textId="77777777" w:rsidR="00025349" w:rsidRPr="00025349" w:rsidRDefault="00025349" w:rsidP="00025349">
            <w:pPr>
              <w:spacing w:after="200"/>
              <w:rPr>
                <w:rFonts w:cs="Arial"/>
                <w:b w:val="0"/>
                <w:bCs w:val="0"/>
                <w:szCs w:val="22"/>
              </w:rPr>
            </w:pPr>
            <w:r w:rsidRPr="00025349">
              <w:rPr>
                <w:rFonts w:cs="Arial"/>
                <w:b w:val="0"/>
                <w:bCs w:val="0"/>
                <w:szCs w:val="22"/>
              </w:rPr>
              <w:t xml:space="preserve">A test of tumour tissue from a patient with </w:t>
            </w:r>
            <w:r w:rsidRPr="00206DEA">
              <w:rPr>
                <w:rFonts w:cs="Arial"/>
                <w:b w:val="0"/>
                <w:bCs w:val="0"/>
                <w:szCs w:val="22"/>
              </w:rPr>
              <w:t>a new diagnosis of non-small cell lung cancer</w:t>
            </w:r>
            <w:r w:rsidRPr="00025349">
              <w:rPr>
                <w:rFonts w:cs="Arial"/>
                <w:b w:val="0"/>
                <w:bCs w:val="0"/>
                <w:szCs w:val="22"/>
              </w:rPr>
              <w:t>, requested by, or on behalf of, a specialist or consultant physician, if the test is:</w:t>
            </w:r>
          </w:p>
          <w:p w14:paraId="4A9ED5D9" w14:textId="77ADC288" w:rsidR="00025349" w:rsidRPr="00025349" w:rsidRDefault="00025349" w:rsidP="00025349">
            <w:pPr>
              <w:spacing w:before="200" w:after="200"/>
              <w:rPr>
                <w:rFonts w:cs="Arial"/>
                <w:b w:val="0"/>
                <w:bCs w:val="0"/>
                <w:szCs w:val="22"/>
              </w:rPr>
            </w:pPr>
            <w:r w:rsidRPr="00025349">
              <w:rPr>
                <w:rFonts w:cs="Arial"/>
                <w:b w:val="0"/>
                <w:bCs w:val="0"/>
                <w:szCs w:val="22"/>
              </w:rPr>
              <w:t xml:space="preserve">(a) for epidermal growth factor receptor (EGFR) status </w:t>
            </w:r>
            <w:r w:rsidR="008B5260">
              <w:rPr>
                <w:rFonts w:cs="Arial"/>
                <w:b w:val="0"/>
                <w:bCs w:val="0"/>
                <w:szCs w:val="22"/>
              </w:rPr>
              <w:t>to determine eligibility for</w:t>
            </w:r>
            <w:r w:rsidR="008B5260" w:rsidRPr="00025349">
              <w:rPr>
                <w:rFonts w:cs="Arial"/>
                <w:b w:val="0"/>
                <w:bCs w:val="0"/>
                <w:szCs w:val="22"/>
              </w:rPr>
              <w:t xml:space="preserve"> </w:t>
            </w:r>
            <w:r w:rsidRPr="00CD73DF">
              <w:rPr>
                <w:rFonts w:cs="Arial"/>
                <w:b w:val="0"/>
                <w:bCs w:val="0"/>
                <w:szCs w:val="22"/>
              </w:rPr>
              <w:t xml:space="preserve">a relevant treatment under the Pharmaceutical Benefits Scheme; </w:t>
            </w:r>
            <w:r w:rsidRPr="00025349">
              <w:rPr>
                <w:rFonts w:cs="Arial"/>
                <w:b w:val="0"/>
                <w:bCs w:val="0"/>
                <w:szCs w:val="22"/>
              </w:rPr>
              <w:t>and</w:t>
            </w:r>
          </w:p>
          <w:p w14:paraId="4A7EB7F4" w14:textId="77777777" w:rsidR="00025349" w:rsidRPr="00025349" w:rsidRDefault="00025349" w:rsidP="00025349">
            <w:pPr>
              <w:spacing w:before="200" w:after="200"/>
              <w:rPr>
                <w:rFonts w:cs="Arial"/>
                <w:b w:val="0"/>
                <w:bCs w:val="0"/>
                <w:szCs w:val="22"/>
              </w:rPr>
            </w:pPr>
            <w:r w:rsidRPr="00025349">
              <w:rPr>
                <w:rFonts w:cs="Arial"/>
                <w:b w:val="0"/>
                <w:bCs w:val="0"/>
                <w:szCs w:val="22"/>
              </w:rPr>
              <w:t>(b) not associated with a service to which item 73437 or 73438 applies</w:t>
            </w:r>
          </w:p>
          <w:p w14:paraId="6C10FFBA" w14:textId="77777777" w:rsidR="00DB0CD3" w:rsidRPr="00DB0CD3" w:rsidRDefault="00DB0CD3" w:rsidP="00DB0CD3">
            <w:pPr>
              <w:spacing w:after="0"/>
              <w:rPr>
                <w:rFonts w:cs="Arial"/>
                <w:b w:val="0"/>
                <w:bCs w:val="0"/>
                <w:szCs w:val="22"/>
              </w:rPr>
            </w:pPr>
            <w:r w:rsidRPr="00427C48">
              <w:rPr>
                <w:rFonts w:cs="Arial"/>
                <w:b w:val="0"/>
                <w:bCs w:val="0"/>
                <w:szCs w:val="22"/>
              </w:rPr>
              <w:t>Fee: $397.35 Benefit: 75% = $298.05 85% = $337.75</w:t>
            </w:r>
          </w:p>
          <w:p w14:paraId="05BF998A" w14:textId="2C42D042" w:rsidR="009C495E" w:rsidRPr="00AA6575" w:rsidRDefault="00025349" w:rsidP="002176E2">
            <w:pPr>
              <w:pStyle w:val="ListBullet"/>
              <w:numPr>
                <w:ilvl w:val="0"/>
                <w:numId w:val="0"/>
              </w:numPr>
            </w:pPr>
            <w:r w:rsidRPr="00025349">
              <w:rPr>
                <w:rFonts w:cs="Arial"/>
                <w:b w:val="0"/>
                <w:bCs w:val="0"/>
              </w:rPr>
              <w:t xml:space="preserve">(See para </w:t>
            </w:r>
            <w:r w:rsidR="00DB0CD3" w:rsidRPr="00025349">
              <w:rPr>
                <w:rFonts w:cs="Arial"/>
                <w:b w:val="0"/>
                <w:bCs w:val="0"/>
              </w:rPr>
              <w:t>PN.1.2</w:t>
            </w:r>
            <w:r w:rsidR="00DB0CD3">
              <w:rPr>
                <w:rFonts w:cs="Arial"/>
                <w:b w:val="0"/>
                <w:bCs w:val="0"/>
              </w:rPr>
              <w:t>,</w:t>
            </w:r>
            <w:r w:rsidR="00DB0CD3" w:rsidRPr="00025349">
              <w:rPr>
                <w:rFonts w:cs="Arial"/>
                <w:b w:val="0"/>
                <w:bCs w:val="0"/>
              </w:rPr>
              <w:t xml:space="preserve"> </w:t>
            </w:r>
            <w:r w:rsidRPr="00025349">
              <w:rPr>
                <w:rFonts w:cs="Arial"/>
                <w:b w:val="0"/>
                <w:bCs w:val="0"/>
              </w:rPr>
              <w:t>PN.7.15 of explanatory notes to this Category)</w:t>
            </w:r>
          </w:p>
        </w:tc>
      </w:tr>
      <w:bookmarkEnd w:id="3"/>
    </w:tbl>
    <w:p w14:paraId="60F4CA3C" w14:textId="77777777" w:rsidR="0092506A" w:rsidRDefault="0092506A" w:rsidP="009C495E"/>
    <w:tbl>
      <w:tblPr>
        <w:tblStyle w:val="GridTable4-Accent2"/>
        <w:tblW w:w="0" w:type="auto"/>
        <w:tblLook w:val="04A0" w:firstRow="1" w:lastRow="0" w:firstColumn="1" w:lastColumn="0" w:noHBand="0" w:noVBand="1"/>
      </w:tblPr>
      <w:tblGrid>
        <w:gridCol w:w="9060"/>
      </w:tblGrid>
      <w:tr w:rsidR="009C495E" w14:paraId="7CD50347"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EA7F7AA" w14:textId="77777777" w:rsidR="009C495E" w:rsidRDefault="009C495E" w:rsidP="00552651">
            <w:pPr>
              <w:rPr>
                <w:b w:val="0"/>
                <w:bCs w:val="0"/>
                <w:lang w:eastAsia="en-AU"/>
              </w:rPr>
            </w:pPr>
            <w:r>
              <w:rPr>
                <w:lang w:eastAsia="en-AU"/>
              </w:rPr>
              <w:t>Category 6 – Pathology Services</w:t>
            </w:r>
          </w:p>
        </w:tc>
      </w:tr>
      <w:tr w:rsidR="009C495E" w14:paraId="7A828296"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2EBC8C9" w14:textId="77777777" w:rsidR="009C495E" w:rsidRDefault="009C495E" w:rsidP="00552651">
            <w:pPr>
              <w:rPr>
                <w:b w:val="0"/>
                <w:bCs w:val="0"/>
                <w:lang w:eastAsia="en-AU"/>
              </w:rPr>
            </w:pPr>
            <w:r>
              <w:rPr>
                <w:lang w:eastAsia="en-AU"/>
              </w:rPr>
              <w:t>Group P7 - Genetics</w:t>
            </w:r>
          </w:p>
        </w:tc>
      </w:tr>
      <w:tr w:rsidR="009C495E" w14:paraId="0917A23C" w14:textId="77777777" w:rsidTr="00552651">
        <w:tc>
          <w:tcPr>
            <w:cnfStyle w:val="001000000000" w:firstRow="0" w:lastRow="0" w:firstColumn="1" w:lastColumn="0" w:oddVBand="0" w:evenVBand="0" w:oddHBand="0" w:evenHBand="0" w:firstRowFirstColumn="0" w:firstRowLastColumn="0" w:lastRowFirstColumn="0" w:lastRowLastColumn="0"/>
            <w:tcW w:w="9060" w:type="dxa"/>
            <w:hideMark/>
          </w:tcPr>
          <w:p w14:paraId="7BD89DD7" w14:textId="77777777" w:rsidR="009C495E" w:rsidRPr="00B734B2" w:rsidRDefault="009C495E" w:rsidP="00552651">
            <w:pPr>
              <w:rPr>
                <w:b w:val="0"/>
                <w:bCs w:val="0"/>
              </w:rPr>
            </w:pPr>
            <w:r w:rsidRPr="00B734B2">
              <w:rPr>
                <w:b w:val="0"/>
                <w:bCs w:val="0"/>
              </w:rPr>
              <w:t>73341</w:t>
            </w:r>
          </w:p>
          <w:p w14:paraId="2B881708" w14:textId="292CF841" w:rsidR="005D7A13" w:rsidRPr="005D7A13" w:rsidRDefault="005D7A13" w:rsidP="005D7A13">
            <w:pPr>
              <w:spacing w:after="200"/>
              <w:rPr>
                <w:rFonts w:cs="Arial"/>
                <w:b w:val="0"/>
                <w:bCs w:val="0"/>
                <w:szCs w:val="22"/>
              </w:rPr>
            </w:pPr>
            <w:r w:rsidRPr="005D7A13">
              <w:rPr>
                <w:rFonts w:cs="Arial"/>
                <w:b w:val="0"/>
                <w:bCs w:val="0"/>
                <w:szCs w:val="22"/>
              </w:rPr>
              <w:t>Fluorescence in situ hybridi</w:t>
            </w:r>
            <w:r w:rsidR="0005169F">
              <w:rPr>
                <w:rFonts w:cs="Arial"/>
                <w:b w:val="0"/>
                <w:bCs w:val="0"/>
                <w:szCs w:val="22"/>
              </w:rPr>
              <w:t>z</w:t>
            </w:r>
            <w:r w:rsidRPr="005D7A13">
              <w:rPr>
                <w:rFonts w:cs="Arial"/>
                <w:b w:val="0"/>
                <w:bCs w:val="0"/>
                <w:szCs w:val="22"/>
              </w:rPr>
              <w:t>ation (FISH) test of tumour tissue from a patient with a new diagnosis of non-small cell lung cancer, requested by a specialist or consultant physician, if the test is:</w:t>
            </w:r>
          </w:p>
          <w:p w14:paraId="1EE8480E" w14:textId="77777777" w:rsidR="005D7A13" w:rsidRPr="005D7A13" w:rsidRDefault="005D7A13" w:rsidP="005D7A13">
            <w:pPr>
              <w:spacing w:before="200" w:after="200"/>
              <w:rPr>
                <w:rFonts w:cs="Arial"/>
                <w:b w:val="0"/>
                <w:bCs w:val="0"/>
                <w:szCs w:val="22"/>
              </w:rPr>
            </w:pPr>
            <w:r w:rsidRPr="005D7A13">
              <w:rPr>
                <w:rFonts w:cs="Arial"/>
                <w:b w:val="0"/>
                <w:bCs w:val="0"/>
                <w:szCs w:val="22"/>
              </w:rPr>
              <w:t xml:space="preserve">(a) for ALK gene rearrangement status </w:t>
            </w:r>
            <w:r w:rsidRPr="00FF2AA4">
              <w:rPr>
                <w:rFonts w:cs="Arial"/>
                <w:b w:val="0"/>
                <w:bCs w:val="0"/>
                <w:szCs w:val="22"/>
              </w:rPr>
              <w:t>to determine eligibility for</w:t>
            </w:r>
            <w:r w:rsidRPr="00206DEA">
              <w:rPr>
                <w:rFonts w:cs="Arial"/>
                <w:szCs w:val="22"/>
              </w:rPr>
              <w:t xml:space="preserve"> </w:t>
            </w:r>
            <w:r w:rsidRPr="00CD73DF">
              <w:rPr>
                <w:rFonts w:cs="Arial"/>
                <w:b w:val="0"/>
                <w:bCs w:val="0"/>
                <w:szCs w:val="22"/>
              </w:rPr>
              <w:t>a relevant treatment under the Pharmaceutical Benefits Scheme;</w:t>
            </w:r>
            <w:r w:rsidRPr="005D7A13">
              <w:rPr>
                <w:rFonts w:cs="Arial"/>
                <w:b w:val="0"/>
                <w:bCs w:val="0"/>
                <w:szCs w:val="22"/>
              </w:rPr>
              <w:t xml:space="preserve"> and</w:t>
            </w:r>
          </w:p>
          <w:p w14:paraId="5020F2C3" w14:textId="77777777" w:rsidR="005D7A13" w:rsidRPr="005D7A13" w:rsidRDefault="005D7A13" w:rsidP="005D7A13">
            <w:pPr>
              <w:spacing w:before="200"/>
              <w:rPr>
                <w:rFonts w:cs="Arial"/>
                <w:b w:val="0"/>
                <w:bCs w:val="0"/>
                <w:szCs w:val="22"/>
              </w:rPr>
            </w:pPr>
            <w:r w:rsidRPr="005D7A13">
              <w:rPr>
                <w:rFonts w:cs="Arial"/>
                <w:b w:val="0"/>
                <w:bCs w:val="0"/>
                <w:szCs w:val="22"/>
              </w:rPr>
              <w:t>(b) not associated with a service to which item 73437 or 73439 applies</w:t>
            </w:r>
          </w:p>
          <w:p w14:paraId="4086EF26" w14:textId="77777777" w:rsidR="00DB0CD3" w:rsidRPr="00DB0CD3" w:rsidRDefault="00DB0CD3" w:rsidP="00DB0CD3">
            <w:pPr>
              <w:spacing w:after="0"/>
              <w:rPr>
                <w:rFonts w:cs="Arial"/>
                <w:b w:val="0"/>
                <w:bCs w:val="0"/>
                <w:szCs w:val="22"/>
              </w:rPr>
            </w:pPr>
            <w:r w:rsidRPr="00BC4341">
              <w:rPr>
                <w:rFonts w:cs="Arial"/>
                <w:b w:val="0"/>
                <w:bCs w:val="0"/>
                <w:szCs w:val="22"/>
              </w:rPr>
              <w:t>Fee: $400.00 Benefit: 75% = $300.00 85% = $340.00</w:t>
            </w:r>
          </w:p>
          <w:p w14:paraId="7F5C0ACF" w14:textId="4D395AA6" w:rsidR="009C495E" w:rsidRPr="00AA6575" w:rsidRDefault="005D7A13" w:rsidP="002176E2">
            <w:pPr>
              <w:pStyle w:val="ListBullet"/>
              <w:numPr>
                <w:ilvl w:val="0"/>
                <w:numId w:val="0"/>
              </w:numPr>
              <w:spacing w:after="0"/>
            </w:pPr>
            <w:r w:rsidRPr="005D7A13">
              <w:rPr>
                <w:rFonts w:cs="Arial"/>
                <w:b w:val="0"/>
                <w:bCs w:val="0"/>
              </w:rPr>
              <w:t>(See para PN.7.15 of explanatory notes to this Category)</w:t>
            </w:r>
          </w:p>
        </w:tc>
      </w:tr>
    </w:tbl>
    <w:p w14:paraId="1617DDBE" w14:textId="561C8251" w:rsidR="002612BA" w:rsidRDefault="002612BA" w:rsidP="009C495E"/>
    <w:p w14:paraId="3281D7A3" w14:textId="77777777" w:rsidR="00EC5A23" w:rsidRDefault="00EC5A23">
      <w:pPr>
        <w:spacing w:before="0" w:after="0" w:line="240" w:lineRule="auto"/>
      </w:pPr>
      <w:r>
        <w:br w:type="page"/>
      </w:r>
    </w:p>
    <w:p w14:paraId="652B87D9" w14:textId="77777777" w:rsidR="00EC5A23" w:rsidRDefault="00EC5A23">
      <w:pPr>
        <w:spacing w:before="0" w:after="0" w:line="240" w:lineRule="auto"/>
      </w:pPr>
    </w:p>
    <w:p w14:paraId="163A5005" w14:textId="77777777" w:rsidR="009C495E" w:rsidRDefault="009C495E" w:rsidP="00184411">
      <w:pPr>
        <w:spacing w:before="0" w:after="0" w:line="240" w:lineRule="auto"/>
      </w:pPr>
    </w:p>
    <w:tbl>
      <w:tblPr>
        <w:tblStyle w:val="GridTable4-Accent2"/>
        <w:tblW w:w="0" w:type="auto"/>
        <w:tblLook w:val="04A0" w:firstRow="1" w:lastRow="0" w:firstColumn="1" w:lastColumn="0" w:noHBand="0" w:noVBand="1"/>
      </w:tblPr>
      <w:tblGrid>
        <w:gridCol w:w="9060"/>
      </w:tblGrid>
      <w:tr w:rsidR="009C495E" w14:paraId="454C2E67"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FE23D08" w14:textId="77777777" w:rsidR="009C495E" w:rsidRDefault="009C495E" w:rsidP="00552651">
            <w:pPr>
              <w:rPr>
                <w:b w:val="0"/>
                <w:bCs w:val="0"/>
                <w:lang w:eastAsia="en-AU"/>
              </w:rPr>
            </w:pPr>
            <w:r>
              <w:rPr>
                <w:lang w:eastAsia="en-AU"/>
              </w:rPr>
              <w:t>Category 6 – Pathology Services</w:t>
            </w:r>
          </w:p>
        </w:tc>
      </w:tr>
      <w:tr w:rsidR="009C495E" w14:paraId="1FE5398E"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69CFEBC" w14:textId="77777777" w:rsidR="009C495E" w:rsidRDefault="009C495E" w:rsidP="00552651">
            <w:pPr>
              <w:rPr>
                <w:b w:val="0"/>
                <w:bCs w:val="0"/>
                <w:lang w:eastAsia="en-AU"/>
              </w:rPr>
            </w:pPr>
            <w:r>
              <w:rPr>
                <w:lang w:eastAsia="en-AU"/>
              </w:rPr>
              <w:t>Group P7 - Genetics</w:t>
            </w:r>
          </w:p>
        </w:tc>
      </w:tr>
      <w:tr w:rsidR="009C495E" w14:paraId="72BB98E8" w14:textId="77777777" w:rsidTr="002176E2">
        <w:trPr>
          <w:trHeight w:val="3844"/>
        </w:trPr>
        <w:tc>
          <w:tcPr>
            <w:cnfStyle w:val="001000000000" w:firstRow="0" w:lastRow="0" w:firstColumn="1" w:lastColumn="0" w:oddVBand="0" w:evenVBand="0" w:oddHBand="0" w:evenHBand="0" w:firstRowFirstColumn="0" w:firstRowLastColumn="0" w:lastRowFirstColumn="0" w:lastRowLastColumn="0"/>
            <w:tcW w:w="0" w:type="dxa"/>
          </w:tcPr>
          <w:p w14:paraId="37DDCC76" w14:textId="77777777" w:rsidR="009C495E" w:rsidRDefault="009C495E" w:rsidP="00552651">
            <w:pPr>
              <w:pStyle w:val="ListBullet"/>
              <w:numPr>
                <w:ilvl w:val="0"/>
                <w:numId w:val="0"/>
              </w:numPr>
              <w:ind w:left="360" w:hanging="360"/>
            </w:pPr>
            <w:r w:rsidRPr="00A42BB2">
              <w:rPr>
                <w:b w:val="0"/>
                <w:bCs w:val="0"/>
              </w:rPr>
              <w:t>73344</w:t>
            </w:r>
          </w:p>
          <w:p w14:paraId="33779F01" w14:textId="582553D9" w:rsidR="00206DEA" w:rsidRPr="00206DEA" w:rsidRDefault="00206DEA" w:rsidP="00206DEA">
            <w:pPr>
              <w:spacing w:after="200"/>
              <w:rPr>
                <w:rFonts w:cs="Arial"/>
                <w:b w:val="0"/>
                <w:bCs w:val="0"/>
                <w:szCs w:val="22"/>
              </w:rPr>
            </w:pPr>
            <w:r w:rsidRPr="00206DEA">
              <w:rPr>
                <w:rFonts w:cs="Arial"/>
                <w:b w:val="0"/>
                <w:bCs w:val="0"/>
                <w:szCs w:val="22"/>
              </w:rPr>
              <w:t xml:space="preserve">Fluorescence in situ hybridization (FISH) test of tumour tissue from a patient with a new diagnosis </w:t>
            </w:r>
            <w:r w:rsidR="0005169F">
              <w:rPr>
                <w:rFonts w:cs="Arial"/>
                <w:b w:val="0"/>
                <w:bCs w:val="0"/>
                <w:szCs w:val="22"/>
              </w:rPr>
              <w:t xml:space="preserve">of </w:t>
            </w:r>
            <w:r w:rsidRPr="00206DEA">
              <w:rPr>
                <w:rFonts w:cs="Arial"/>
                <w:b w:val="0"/>
                <w:bCs w:val="0"/>
                <w:szCs w:val="22"/>
              </w:rPr>
              <w:t>non-small cell lung cancer, requested by a specialist or consultant physician, if the test is:</w:t>
            </w:r>
          </w:p>
          <w:p w14:paraId="0F1BA5E9" w14:textId="77777777" w:rsidR="00206DEA" w:rsidRPr="00206DEA" w:rsidRDefault="00206DEA" w:rsidP="00206DEA">
            <w:pPr>
              <w:spacing w:before="200" w:after="200"/>
              <w:rPr>
                <w:rFonts w:cs="Arial"/>
                <w:b w:val="0"/>
                <w:bCs w:val="0"/>
                <w:szCs w:val="22"/>
              </w:rPr>
            </w:pPr>
            <w:r w:rsidRPr="00206DEA">
              <w:rPr>
                <w:rFonts w:cs="Arial"/>
                <w:b w:val="0"/>
                <w:bCs w:val="0"/>
                <w:szCs w:val="22"/>
              </w:rPr>
              <w:t xml:space="preserve">(a) for ROS1 gene arrangement status to determine eligibility </w:t>
            </w:r>
            <w:r w:rsidRPr="00DB0CD3">
              <w:rPr>
                <w:rFonts w:cs="Arial"/>
                <w:b w:val="0"/>
                <w:bCs w:val="0"/>
                <w:szCs w:val="22"/>
              </w:rPr>
              <w:t xml:space="preserve">for </w:t>
            </w:r>
            <w:r w:rsidRPr="00CD73DF">
              <w:rPr>
                <w:rFonts w:cs="Arial"/>
                <w:b w:val="0"/>
                <w:bCs w:val="0"/>
                <w:szCs w:val="22"/>
              </w:rPr>
              <w:t>a relevant treatment under the Pharmaceutical Benefits Scheme;</w:t>
            </w:r>
            <w:r w:rsidRPr="00206DEA">
              <w:rPr>
                <w:rFonts w:cs="Arial"/>
                <w:b w:val="0"/>
                <w:bCs w:val="0"/>
                <w:szCs w:val="22"/>
              </w:rPr>
              <w:t xml:space="preserve"> and</w:t>
            </w:r>
          </w:p>
          <w:p w14:paraId="32B88621" w14:textId="77777777" w:rsidR="00206DEA" w:rsidRPr="00206DEA" w:rsidRDefault="00206DEA" w:rsidP="00206DEA">
            <w:pPr>
              <w:spacing w:before="200" w:after="200"/>
              <w:rPr>
                <w:rFonts w:cs="Arial"/>
                <w:b w:val="0"/>
                <w:bCs w:val="0"/>
                <w:szCs w:val="22"/>
              </w:rPr>
            </w:pPr>
            <w:r w:rsidRPr="00206DEA">
              <w:rPr>
                <w:rFonts w:cs="Arial"/>
                <w:b w:val="0"/>
                <w:bCs w:val="0"/>
                <w:szCs w:val="22"/>
              </w:rPr>
              <w:t>(b) not associated with a service to which item 73437 or 73439 applies</w:t>
            </w:r>
          </w:p>
          <w:p w14:paraId="2AC01A97" w14:textId="05EDBB00" w:rsidR="00DB0CD3" w:rsidRPr="00375245" w:rsidRDefault="00DB0CD3" w:rsidP="00206DEA">
            <w:pPr>
              <w:rPr>
                <w:rFonts w:cs="Arial"/>
                <w:b w:val="0"/>
                <w:bCs w:val="0"/>
                <w:szCs w:val="22"/>
              </w:rPr>
            </w:pPr>
            <w:r w:rsidRPr="00375245">
              <w:rPr>
                <w:rFonts w:cs="Arial"/>
                <w:b w:val="0"/>
                <w:bCs w:val="0"/>
                <w:szCs w:val="22"/>
              </w:rPr>
              <w:t>Fee: $400.00 Benefit: 75% = $300.00 85% = $340.00</w:t>
            </w:r>
          </w:p>
          <w:p w14:paraId="1E4E3CF9" w14:textId="7FE2F22F" w:rsidR="00DB0CD3" w:rsidRPr="002176E2" w:rsidRDefault="00206DEA" w:rsidP="00206DEA">
            <w:pPr>
              <w:rPr>
                <w:rFonts w:cs="Arial"/>
                <w:szCs w:val="22"/>
              </w:rPr>
            </w:pPr>
            <w:r w:rsidRPr="00206DEA">
              <w:rPr>
                <w:rFonts w:cs="Arial"/>
                <w:b w:val="0"/>
                <w:bCs w:val="0"/>
                <w:szCs w:val="22"/>
              </w:rPr>
              <w:t>(See para PN.1.2, PN.7.15 of explanatory notes to this Category)</w:t>
            </w:r>
          </w:p>
          <w:p w14:paraId="373476BA" w14:textId="77777777" w:rsidR="009C495E" w:rsidRPr="00A42BB2" w:rsidRDefault="009C495E" w:rsidP="00DB0CD3">
            <w:pPr>
              <w:pStyle w:val="ListBullet"/>
              <w:numPr>
                <w:ilvl w:val="0"/>
                <w:numId w:val="0"/>
              </w:numPr>
              <w:rPr>
                <w:b w:val="0"/>
                <w:bCs w:val="0"/>
              </w:rPr>
            </w:pPr>
          </w:p>
        </w:tc>
      </w:tr>
    </w:tbl>
    <w:p w14:paraId="21E5E63B" w14:textId="77777777" w:rsidR="009C495E" w:rsidRDefault="009C495E" w:rsidP="009C495E"/>
    <w:tbl>
      <w:tblPr>
        <w:tblStyle w:val="GridTable4-Accent2"/>
        <w:tblW w:w="0" w:type="auto"/>
        <w:tblLook w:val="04A0" w:firstRow="1" w:lastRow="0" w:firstColumn="1" w:lastColumn="0" w:noHBand="0" w:noVBand="1"/>
      </w:tblPr>
      <w:tblGrid>
        <w:gridCol w:w="9060"/>
      </w:tblGrid>
      <w:tr w:rsidR="009C495E" w14:paraId="1BA83C73"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BBE3948" w14:textId="77777777" w:rsidR="009C495E" w:rsidRDefault="009C495E" w:rsidP="00552651">
            <w:pPr>
              <w:rPr>
                <w:b w:val="0"/>
                <w:bCs w:val="0"/>
                <w:lang w:eastAsia="en-AU"/>
              </w:rPr>
            </w:pPr>
            <w:r>
              <w:rPr>
                <w:lang w:eastAsia="en-AU"/>
              </w:rPr>
              <w:t>Category 6 – Pathology Services</w:t>
            </w:r>
          </w:p>
        </w:tc>
      </w:tr>
      <w:tr w:rsidR="009C495E" w14:paraId="192C17C0"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023D195" w14:textId="77777777" w:rsidR="009C495E" w:rsidRDefault="009C495E" w:rsidP="00552651">
            <w:pPr>
              <w:rPr>
                <w:b w:val="0"/>
                <w:bCs w:val="0"/>
                <w:lang w:eastAsia="en-AU"/>
              </w:rPr>
            </w:pPr>
            <w:r>
              <w:rPr>
                <w:lang w:eastAsia="en-AU"/>
              </w:rPr>
              <w:t>Group P7 - Genetics</w:t>
            </w:r>
          </w:p>
        </w:tc>
      </w:tr>
      <w:tr w:rsidR="009C495E" w14:paraId="21B088C2" w14:textId="77777777" w:rsidTr="00552651">
        <w:tc>
          <w:tcPr>
            <w:cnfStyle w:val="001000000000" w:firstRow="0" w:lastRow="0" w:firstColumn="1" w:lastColumn="0" w:oddVBand="0" w:evenVBand="0" w:oddHBand="0" w:evenHBand="0" w:firstRowFirstColumn="0" w:firstRowLastColumn="0" w:lastRowFirstColumn="0" w:lastRowLastColumn="0"/>
            <w:tcW w:w="9060" w:type="dxa"/>
          </w:tcPr>
          <w:p w14:paraId="4B97D354" w14:textId="77777777" w:rsidR="009C495E" w:rsidRDefault="009C495E" w:rsidP="00552651">
            <w:pPr>
              <w:pStyle w:val="ListBullet"/>
              <w:numPr>
                <w:ilvl w:val="0"/>
                <w:numId w:val="0"/>
              </w:numPr>
              <w:ind w:left="360" w:hanging="360"/>
            </w:pPr>
            <w:r w:rsidRPr="00F84E91">
              <w:rPr>
                <w:b w:val="0"/>
                <w:bCs w:val="0"/>
              </w:rPr>
              <w:t>73436</w:t>
            </w:r>
          </w:p>
          <w:p w14:paraId="7E7A5C64" w14:textId="77777777" w:rsidR="003537D9" w:rsidRPr="003537D9" w:rsidRDefault="003537D9" w:rsidP="003537D9">
            <w:pPr>
              <w:spacing w:after="200"/>
              <w:rPr>
                <w:rFonts w:cs="Arial"/>
                <w:b w:val="0"/>
                <w:bCs w:val="0"/>
                <w:szCs w:val="22"/>
              </w:rPr>
            </w:pPr>
            <w:r w:rsidRPr="003537D9">
              <w:rPr>
                <w:rFonts w:cs="Arial"/>
                <w:b w:val="0"/>
                <w:bCs w:val="0"/>
                <w:szCs w:val="22"/>
              </w:rPr>
              <w:t>A test of tumour tissue from a patient with a new diagnosis of non-small cell lung cancer requested by, or on behalf of, a specialist or consultant physician, if the test is:</w:t>
            </w:r>
          </w:p>
          <w:p w14:paraId="37376CE1" w14:textId="0AFEC2C7" w:rsidR="003537D9" w:rsidRPr="003537D9" w:rsidRDefault="003537D9" w:rsidP="003537D9">
            <w:pPr>
              <w:spacing w:before="200" w:after="200"/>
              <w:rPr>
                <w:rFonts w:cs="Arial"/>
                <w:b w:val="0"/>
                <w:bCs w:val="0"/>
                <w:szCs w:val="22"/>
              </w:rPr>
            </w:pPr>
            <w:r w:rsidRPr="003537D9">
              <w:rPr>
                <w:rFonts w:cs="Arial"/>
                <w:b w:val="0"/>
                <w:bCs w:val="0"/>
                <w:szCs w:val="22"/>
              </w:rPr>
              <w:t xml:space="preserve">(a)   </w:t>
            </w:r>
            <w:r w:rsidR="00E67376">
              <w:rPr>
                <w:rFonts w:cs="Arial"/>
                <w:b w:val="0"/>
                <w:bCs w:val="0"/>
                <w:szCs w:val="22"/>
              </w:rPr>
              <w:t>for</w:t>
            </w:r>
            <w:r w:rsidRPr="003537D9">
              <w:rPr>
                <w:rFonts w:cs="Arial"/>
                <w:b w:val="0"/>
                <w:bCs w:val="0"/>
                <w:szCs w:val="22"/>
              </w:rPr>
              <w:t xml:space="preserve"> MET proto-oncogene, receptor tyrosine kinase (MET) exon 14 skipping alterations (METex14sk) status</w:t>
            </w:r>
            <w:r w:rsidR="00E67376">
              <w:rPr>
                <w:rFonts w:cs="Arial"/>
                <w:b w:val="0"/>
                <w:bCs w:val="0"/>
                <w:szCs w:val="22"/>
              </w:rPr>
              <w:t xml:space="preserve"> to determine eligibility</w:t>
            </w:r>
            <w:r w:rsidRPr="003537D9">
              <w:rPr>
                <w:rFonts w:cs="Arial"/>
                <w:b w:val="0"/>
                <w:bCs w:val="0"/>
                <w:szCs w:val="22"/>
              </w:rPr>
              <w:t xml:space="preserve"> for access to </w:t>
            </w:r>
            <w:r w:rsidRPr="00CD73DF">
              <w:rPr>
                <w:rFonts w:cs="Arial"/>
                <w:b w:val="0"/>
                <w:bCs w:val="0"/>
                <w:szCs w:val="22"/>
              </w:rPr>
              <w:t>a relevant treatment under the Pharmaceutical Benefits Scheme: and</w:t>
            </w:r>
          </w:p>
          <w:p w14:paraId="6458B3A6" w14:textId="77777777" w:rsidR="003537D9" w:rsidRDefault="003537D9" w:rsidP="003537D9">
            <w:pPr>
              <w:spacing w:before="200" w:after="200"/>
              <w:rPr>
                <w:rFonts w:cs="Arial"/>
                <w:szCs w:val="22"/>
              </w:rPr>
            </w:pPr>
            <w:r w:rsidRPr="003537D9">
              <w:rPr>
                <w:rFonts w:cs="Arial"/>
                <w:b w:val="0"/>
                <w:bCs w:val="0"/>
                <w:szCs w:val="22"/>
              </w:rPr>
              <w:t>(b)   not associated with a service to which item 73437 or 73438 applies</w:t>
            </w:r>
          </w:p>
          <w:p w14:paraId="637EC4CD" w14:textId="0C438DEA" w:rsidR="00E67376" w:rsidRPr="00375245" w:rsidRDefault="00E67376" w:rsidP="003537D9">
            <w:pPr>
              <w:spacing w:before="200" w:after="200"/>
              <w:rPr>
                <w:rFonts w:cs="Arial"/>
                <w:b w:val="0"/>
                <w:bCs w:val="0"/>
                <w:szCs w:val="22"/>
              </w:rPr>
            </w:pPr>
            <w:r w:rsidRPr="00375245">
              <w:rPr>
                <w:rFonts w:cs="Arial"/>
                <w:b w:val="0"/>
                <w:bCs w:val="0"/>
                <w:szCs w:val="22"/>
              </w:rPr>
              <w:t>Fee: $397.35 Benefit: 75% = $298.05 85% = $337.75</w:t>
            </w:r>
          </w:p>
          <w:p w14:paraId="1F3EE00F" w14:textId="4071EFCF" w:rsidR="009C495E" w:rsidRPr="002176E2" w:rsidRDefault="003537D9" w:rsidP="002176E2">
            <w:pPr>
              <w:spacing w:after="0"/>
              <w:rPr>
                <w:rFonts w:cs="Arial"/>
                <w:b w:val="0"/>
                <w:bCs w:val="0"/>
                <w:szCs w:val="22"/>
              </w:rPr>
            </w:pPr>
            <w:r w:rsidRPr="003537D9">
              <w:rPr>
                <w:rFonts w:cs="Arial"/>
                <w:b w:val="0"/>
                <w:bCs w:val="0"/>
                <w:szCs w:val="22"/>
              </w:rPr>
              <w:t>(See para PN.1.2, PN.7.15 of explanatory notes to this Category)</w:t>
            </w:r>
          </w:p>
          <w:p w14:paraId="313A392F" w14:textId="73D3F5E9" w:rsidR="009C495E" w:rsidRPr="00A42BB2" w:rsidRDefault="009C495E" w:rsidP="00375245">
            <w:pPr>
              <w:pStyle w:val="ListBullet"/>
              <w:numPr>
                <w:ilvl w:val="0"/>
                <w:numId w:val="0"/>
              </w:numPr>
              <w:rPr>
                <w:b w:val="0"/>
                <w:bCs w:val="0"/>
              </w:rPr>
            </w:pPr>
          </w:p>
        </w:tc>
      </w:tr>
    </w:tbl>
    <w:p w14:paraId="0B1FF726" w14:textId="1C790536" w:rsidR="00D0352B" w:rsidRDefault="00D0352B" w:rsidP="009C495E"/>
    <w:p w14:paraId="7592D16C" w14:textId="79393693" w:rsidR="00E14580" w:rsidRDefault="00D0352B" w:rsidP="00D0352B">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9C495E" w14:paraId="57794EBC"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DB86EA3" w14:textId="77777777" w:rsidR="009C495E" w:rsidRDefault="009C495E" w:rsidP="00552651">
            <w:pPr>
              <w:rPr>
                <w:b w:val="0"/>
                <w:bCs w:val="0"/>
                <w:lang w:eastAsia="en-AU"/>
              </w:rPr>
            </w:pPr>
            <w:r>
              <w:rPr>
                <w:lang w:eastAsia="en-AU"/>
              </w:rPr>
              <w:lastRenderedPageBreak/>
              <w:t>Category 6 – Pathology Services</w:t>
            </w:r>
          </w:p>
        </w:tc>
      </w:tr>
      <w:tr w:rsidR="009C495E" w14:paraId="027750F0"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3CE754F" w14:textId="77777777" w:rsidR="009C495E" w:rsidRDefault="009C495E" w:rsidP="00552651">
            <w:pPr>
              <w:rPr>
                <w:b w:val="0"/>
                <w:bCs w:val="0"/>
                <w:lang w:eastAsia="en-AU"/>
              </w:rPr>
            </w:pPr>
            <w:r>
              <w:rPr>
                <w:lang w:eastAsia="en-AU"/>
              </w:rPr>
              <w:t>Group P7 - Genetics</w:t>
            </w:r>
          </w:p>
        </w:tc>
      </w:tr>
      <w:tr w:rsidR="009C495E" w14:paraId="455216EA" w14:textId="77777777" w:rsidTr="00552651">
        <w:tc>
          <w:tcPr>
            <w:cnfStyle w:val="001000000000" w:firstRow="0" w:lastRow="0" w:firstColumn="1" w:lastColumn="0" w:oddVBand="0" w:evenVBand="0" w:oddHBand="0" w:evenHBand="0" w:firstRowFirstColumn="0" w:firstRowLastColumn="0" w:lastRowFirstColumn="0" w:lastRowLastColumn="0"/>
            <w:tcW w:w="9060" w:type="dxa"/>
          </w:tcPr>
          <w:p w14:paraId="3668B69E" w14:textId="77777777" w:rsidR="009C495E" w:rsidRPr="008317EC" w:rsidRDefault="009C495E" w:rsidP="00552651">
            <w:pPr>
              <w:pStyle w:val="ListBullet"/>
              <w:numPr>
                <w:ilvl w:val="0"/>
                <w:numId w:val="0"/>
              </w:numPr>
              <w:ind w:left="360" w:hanging="360"/>
              <w:rPr>
                <w:b w:val="0"/>
                <w:bCs w:val="0"/>
              </w:rPr>
            </w:pPr>
            <w:r w:rsidRPr="008317EC">
              <w:rPr>
                <w:b w:val="0"/>
                <w:bCs w:val="0"/>
              </w:rPr>
              <w:t>73437</w:t>
            </w:r>
          </w:p>
          <w:p w14:paraId="4684D87A" w14:textId="77777777" w:rsidR="00D0352B" w:rsidRPr="00D0352B" w:rsidRDefault="00D0352B" w:rsidP="00D0352B">
            <w:pPr>
              <w:spacing w:after="200"/>
              <w:rPr>
                <w:rFonts w:cs="Arial"/>
                <w:b w:val="0"/>
                <w:bCs w:val="0"/>
                <w:szCs w:val="22"/>
              </w:rPr>
            </w:pPr>
            <w:r w:rsidRPr="00D0352B">
              <w:rPr>
                <w:rFonts w:cs="Arial"/>
                <w:b w:val="0"/>
                <w:bCs w:val="0"/>
                <w:szCs w:val="22"/>
              </w:rPr>
              <w:t>A nucleic acid-based multi-gene panel test of tumour tissue from a patient with a new diagnosis of non-small cell lung cancer requested by, or on behalf of, a specialist or consultant physician, if the test is:</w:t>
            </w:r>
          </w:p>
          <w:p w14:paraId="7171ACBD" w14:textId="77777777" w:rsidR="00D0352B" w:rsidRPr="00D0352B" w:rsidRDefault="00D0352B" w:rsidP="00D0352B">
            <w:pPr>
              <w:spacing w:before="200" w:after="200"/>
              <w:rPr>
                <w:rFonts w:cs="Arial"/>
                <w:b w:val="0"/>
                <w:bCs w:val="0"/>
                <w:szCs w:val="22"/>
              </w:rPr>
            </w:pPr>
            <w:r w:rsidRPr="00D0352B">
              <w:rPr>
                <w:rFonts w:cs="Arial"/>
                <w:b w:val="0"/>
                <w:bCs w:val="0"/>
                <w:szCs w:val="22"/>
              </w:rPr>
              <w:t xml:space="preserve">(a) to detect variants in at least EGFR, BRAF, KRAS and MET exon 14 to determine eligibility for </w:t>
            </w:r>
            <w:r w:rsidRPr="00375245">
              <w:rPr>
                <w:rFonts w:cs="Arial"/>
                <w:b w:val="0"/>
                <w:bCs w:val="0"/>
                <w:szCs w:val="22"/>
              </w:rPr>
              <w:t>a relevant treatment under the Pharmaceutical Benefits Scheme</w:t>
            </w:r>
            <w:r w:rsidRPr="00D0352B">
              <w:rPr>
                <w:rFonts w:cs="Arial"/>
                <w:b w:val="0"/>
                <w:bCs w:val="0"/>
                <w:szCs w:val="22"/>
              </w:rPr>
              <w:t>; and</w:t>
            </w:r>
          </w:p>
          <w:p w14:paraId="30FCC87F" w14:textId="77777777" w:rsidR="00D0352B" w:rsidRPr="00D0352B" w:rsidRDefault="00D0352B" w:rsidP="00D0352B">
            <w:pPr>
              <w:spacing w:before="200" w:after="200"/>
              <w:rPr>
                <w:rFonts w:cs="Arial"/>
                <w:b w:val="0"/>
                <w:bCs w:val="0"/>
                <w:szCs w:val="22"/>
              </w:rPr>
            </w:pPr>
            <w:r w:rsidRPr="00D0352B">
              <w:rPr>
                <w:rFonts w:cs="Arial"/>
                <w:b w:val="0"/>
                <w:bCs w:val="0"/>
                <w:szCs w:val="22"/>
              </w:rPr>
              <w:t xml:space="preserve">(b) to detect the fusion status of at least ALK, ROS1, RET, NTRK1, NTRK2 and NTRK3 to determine eligibility </w:t>
            </w:r>
            <w:r w:rsidRPr="00CD73DF">
              <w:rPr>
                <w:rFonts w:cs="Arial"/>
                <w:b w:val="0"/>
                <w:bCs w:val="0"/>
                <w:szCs w:val="22"/>
              </w:rPr>
              <w:t>for a relevant treatment under the PBS;</w:t>
            </w:r>
            <w:r w:rsidRPr="00D0352B">
              <w:rPr>
                <w:rFonts w:cs="Arial"/>
                <w:b w:val="0"/>
                <w:bCs w:val="0"/>
                <w:szCs w:val="22"/>
              </w:rPr>
              <w:t xml:space="preserve"> and</w:t>
            </w:r>
          </w:p>
          <w:p w14:paraId="6CA47119" w14:textId="77777777" w:rsidR="00D0352B" w:rsidRPr="00D0352B" w:rsidRDefault="00D0352B" w:rsidP="00D0352B">
            <w:pPr>
              <w:spacing w:before="200" w:after="200"/>
              <w:rPr>
                <w:rFonts w:cs="Arial"/>
                <w:b w:val="0"/>
                <w:bCs w:val="0"/>
                <w:szCs w:val="22"/>
              </w:rPr>
            </w:pPr>
            <w:r w:rsidRPr="00D0352B">
              <w:rPr>
                <w:rFonts w:cs="Arial"/>
                <w:b w:val="0"/>
                <w:bCs w:val="0"/>
                <w:szCs w:val="22"/>
              </w:rPr>
              <w:t>(c) not associated with a service to which item 73438, 73439, 73337, 73341, 73344, 73436 or 73351 applies</w:t>
            </w:r>
          </w:p>
          <w:p w14:paraId="05BF3267" w14:textId="258DEF72" w:rsidR="00470F62" w:rsidRPr="00375245" w:rsidRDefault="00470F62" w:rsidP="00D0352B">
            <w:pPr>
              <w:spacing w:after="0"/>
              <w:rPr>
                <w:rFonts w:cs="Arial"/>
                <w:b w:val="0"/>
                <w:bCs w:val="0"/>
                <w:szCs w:val="22"/>
              </w:rPr>
            </w:pPr>
            <w:r w:rsidRPr="00375245">
              <w:rPr>
                <w:rFonts w:cs="Arial"/>
                <w:b w:val="0"/>
                <w:bCs w:val="0"/>
                <w:szCs w:val="22"/>
              </w:rPr>
              <w:t>Fee: $1,247.00 Benefit: 75% = $935.25 85% = $</w:t>
            </w:r>
            <w:r w:rsidR="00964D86">
              <w:rPr>
                <w:rFonts w:cs="Arial"/>
                <w:b w:val="0"/>
                <w:bCs w:val="0"/>
                <w:szCs w:val="22"/>
              </w:rPr>
              <w:t>1142.50*</w:t>
            </w:r>
          </w:p>
          <w:p w14:paraId="2E75B5C8" w14:textId="0A3FC949" w:rsidR="009C495E" w:rsidRPr="002176E2" w:rsidRDefault="00D0352B" w:rsidP="002176E2">
            <w:pPr>
              <w:spacing w:after="0"/>
              <w:rPr>
                <w:rFonts w:cs="Arial"/>
                <w:b w:val="0"/>
                <w:bCs w:val="0"/>
                <w:szCs w:val="22"/>
              </w:rPr>
            </w:pPr>
            <w:r w:rsidRPr="00D0352B">
              <w:rPr>
                <w:rFonts w:cs="Arial"/>
                <w:b w:val="0"/>
                <w:bCs w:val="0"/>
                <w:szCs w:val="22"/>
              </w:rPr>
              <w:t xml:space="preserve">(See para </w:t>
            </w:r>
            <w:r w:rsidR="00470F62" w:rsidRPr="00D0352B">
              <w:rPr>
                <w:rFonts w:cs="Arial"/>
                <w:b w:val="0"/>
                <w:bCs w:val="0"/>
                <w:szCs w:val="22"/>
              </w:rPr>
              <w:t>PN.1.2</w:t>
            </w:r>
            <w:r w:rsidR="00470F62">
              <w:rPr>
                <w:rFonts w:cs="Arial"/>
                <w:b w:val="0"/>
                <w:bCs w:val="0"/>
                <w:szCs w:val="22"/>
              </w:rPr>
              <w:t>,</w:t>
            </w:r>
            <w:r w:rsidR="00470F62" w:rsidRPr="00D0352B">
              <w:rPr>
                <w:rFonts w:cs="Arial"/>
                <w:b w:val="0"/>
                <w:bCs w:val="0"/>
                <w:szCs w:val="22"/>
              </w:rPr>
              <w:t xml:space="preserve"> </w:t>
            </w:r>
            <w:r w:rsidRPr="00D0352B">
              <w:rPr>
                <w:rFonts w:cs="Arial"/>
                <w:b w:val="0"/>
                <w:bCs w:val="0"/>
                <w:szCs w:val="22"/>
              </w:rPr>
              <w:t>PN.7.15 of explanatory notes to this Category)</w:t>
            </w:r>
          </w:p>
          <w:p w14:paraId="67BC7E9C" w14:textId="5B40EBA6" w:rsidR="009C495E" w:rsidRPr="00A42BB2" w:rsidRDefault="009C495E" w:rsidP="00375245">
            <w:pPr>
              <w:pStyle w:val="ListBullet"/>
              <w:numPr>
                <w:ilvl w:val="0"/>
                <w:numId w:val="0"/>
              </w:numPr>
              <w:ind w:left="360" w:hanging="360"/>
              <w:rPr>
                <w:b w:val="0"/>
                <w:bCs w:val="0"/>
              </w:rPr>
            </w:pPr>
          </w:p>
        </w:tc>
      </w:tr>
    </w:tbl>
    <w:p w14:paraId="75CA1659" w14:textId="53A2835B" w:rsidR="00964D86" w:rsidRDefault="00964D86" w:rsidP="00964D86">
      <w:r>
        <w:t>*</w:t>
      </w:r>
      <w:proofErr w:type="gramStart"/>
      <w:r>
        <w:t>subject</w:t>
      </w:r>
      <w:proofErr w:type="gramEnd"/>
      <w:r>
        <w:t xml:space="preserve"> to greatest permissible gap</w:t>
      </w:r>
      <w:r w:rsidR="00375245">
        <w:t xml:space="preserve"> from 1 November 2025</w:t>
      </w:r>
    </w:p>
    <w:p w14:paraId="7945EC97" w14:textId="77777777" w:rsidR="009C495E" w:rsidRDefault="009C495E" w:rsidP="009C495E"/>
    <w:tbl>
      <w:tblPr>
        <w:tblStyle w:val="GridTable4-Accent2"/>
        <w:tblW w:w="0" w:type="auto"/>
        <w:tblLook w:val="04A0" w:firstRow="1" w:lastRow="0" w:firstColumn="1" w:lastColumn="0" w:noHBand="0" w:noVBand="1"/>
      </w:tblPr>
      <w:tblGrid>
        <w:gridCol w:w="9060"/>
      </w:tblGrid>
      <w:tr w:rsidR="009C495E" w14:paraId="2B4842CA"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A92580B" w14:textId="77777777" w:rsidR="009C495E" w:rsidRDefault="009C495E" w:rsidP="00552651">
            <w:pPr>
              <w:rPr>
                <w:b w:val="0"/>
                <w:bCs w:val="0"/>
                <w:lang w:eastAsia="en-AU"/>
              </w:rPr>
            </w:pPr>
            <w:r>
              <w:rPr>
                <w:lang w:eastAsia="en-AU"/>
              </w:rPr>
              <w:t>Category 6 – Pathology Services</w:t>
            </w:r>
          </w:p>
        </w:tc>
      </w:tr>
      <w:tr w:rsidR="009C495E" w14:paraId="6E20C74E"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E36F9FB" w14:textId="77777777" w:rsidR="009C495E" w:rsidRDefault="009C495E" w:rsidP="00552651">
            <w:pPr>
              <w:rPr>
                <w:b w:val="0"/>
                <w:bCs w:val="0"/>
                <w:lang w:eastAsia="en-AU"/>
              </w:rPr>
            </w:pPr>
            <w:r>
              <w:rPr>
                <w:lang w:eastAsia="en-AU"/>
              </w:rPr>
              <w:t>Group P7 - Genetics</w:t>
            </w:r>
          </w:p>
        </w:tc>
      </w:tr>
      <w:tr w:rsidR="009C495E" w14:paraId="10DD8595" w14:textId="77777777" w:rsidTr="00552651">
        <w:tc>
          <w:tcPr>
            <w:cnfStyle w:val="001000000000" w:firstRow="0" w:lastRow="0" w:firstColumn="1" w:lastColumn="0" w:oddVBand="0" w:evenVBand="0" w:oddHBand="0" w:evenHBand="0" w:firstRowFirstColumn="0" w:firstRowLastColumn="0" w:lastRowFirstColumn="0" w:lastRowLastColumn="0"/>
            <w:tcW w:w="9060" w:type="dxa"/>
          </w:tcPr>
          <w:p w14:paraId="7A8AF338" w14:textId="77777777" w:rsidR="009C495E" w:rsidRPr="00ED790C" w:rsidRDefault="009C495E" w:rsidP="00552651">
            <w:pPr>
              <w:autoSpaceDE w:val="0"/>
              <w:autoSpaceDN w:val="0"/>
              <w:spacing w:before="0" w:line="240" w:lineRule="auto"/>
              <w:rPr>
                <w:rFonts w:ascii="Aptos" w:eastAsia="Aptos" w:hAnsi="Aptos" w:cs="Aptos"/>
                <w:b w:val="0"/>
                <w:bCs w:val="0"/>
                <w:color w:val="auto"/>
                <w:sz w:val="28"/>
                <w:szCs w:val="28"/>
                <w:lang w:eastAsia="en-AU"/>
                <w14:ligatures w14:val="standardContextual"/>
              </w:rPr>
            </w:pPr>
            <w:r w:rsidRPr="00ED790C">
              <w:rPr>
                <w:rFonts w:eastAsia="Aptos" w:cs="Arial"/>
                <w:b w:val="0"/>
                <w:bCs w:val="0"/>
                <w:color w:val="auto"/>
                <w:szCs w:val="22"/>
                <w:lang w:eastAsia="en-AU"/>
              </w:rPr>
              <w:t>73438</w:t>
            </w:r>
          </w:p>
          <w:p w14:paraId="2AC25798" w14:textId="77777777" w:rsidR="00DB4392" w:rsidRPr="00DB4392" w:rsidRDefault="00DB4392" w:rsidP="00DB4392">
            <w:pPr>
              <w:spacing w:after="200"/>
              <w:rPr>
                <w:rFonts w:cs="Arial"/>
                <w:b w:val="0"/>
                <w:bCs w:val="0"/>
                <w:szCs w:val="22"/>
              </w:rPr>
            </w:pPr>
            <w:r w:rsidRPr="00DB4392">
              <w:rPr>
                <w:rFonts w:cs="Arial"/>
                <w:b w:val="0"/>
                <w:bCs w:val="0"/>
                <w:szCs w:val="22"/>
              </w:rPr>
              <w:t>A DNA-based multi-gene panel test of tumour tissue from a patient with a new diagnosis of non-small cell lung cancer requested by, or on behalf of, a specialist or consultant physician, if the test is:</w:t>
            </w:r>
          </w:p>
          <w:p w14:paraId="7CA73CBB" w14:textId="77777777" w:rsidR="00DB4392" w:rsidRPr="00DB4392" w:rsidRDefault="00DB4392" w:rsidP="00DB4392">
            <w:pPr>
              <w:spacing w:before="200" w:after="200"/>
              <w:rPr>
                <w:rFonts w:cs="Arial"/>
                <w:b w:val="0"/>
                <w:bCs w:val="0"/>
                <w:szCs w:val="22"/>
              </w:rPr>
            </w:pPr>
            <w:r w:rsidRPr="00DB4392">
              <w:rPr>
                <w:rFonts w:cs="Arial"/>
                <w:b w:val="0"/>
                <w:bCs w:val="0"/>
                <w:szCs w:val="22"/>
              </w:rPr>
              <w:t>(a) to detect variants in at least EGFR, BRAF, KRAS and MET exon 14; and</w:t>
            </w:r>
          </w:p>
          <w:p w14:paraId="36D1BBF5" w14:textId="77777777" w:rsidR="00DB4392" w:rsidRPr="00DB4392" w:rsidRDefault="00DB4392" w:rsidP="00DB4392">
            <w:pPr>
              <w:spacing w:before="200" w:after="200"/>
              <w:rPr>
                <w:rFonts w:cs="Arial"/>
                <w:b w:val="0"/>
                <w:bCs w:val="0"/>
                <w:szCs w:val="22"/>
              </w:rPr>
            </w:pPr>
            <w:r w:rsidRPr="00DB4392">
              <w:rPr>
                <w:rFonts w:cs="Arial"/>
                <w:b w:val="0"/>
                <w:bCs w:val="0"/>
                <w:szCs w:val="22"/>
              </w:rPr>
              <w:t xml:space="preserve">(b) to determine eligibility for </w:t>
            </w:r>
            <w:r w:rsidRPr="00CD73DF">
              <w:rPr>
                <w:rFonts w:cs="Arial"/>
                <w:b w:val="0"/>
                <w:bCs w:val="0"/>
                <w:szCs w:val="22"/>
              </w:rPr>
              <w:t>a relevant treatment under the Pharmaceutical Benefits Scheme; and</w:t>
            </w:r>
          </w:p>
          <w:p w14:paraId="272480BE" w14:textId="77777777" w:rsidR="00DB4392" w:rsidRPr="00DB4392" w:rsidRDefault="00DB4392" w:rsidP="00DB4392">
            <w:pPr>
              <w:spacing w:before="200" w:after="200"/>
              <w:rPr>
                <w:rFonts w:cs="Arial"/>
                <w:b w:val="0"/>
                <w:bCs w:val="0"/>
                <w:szCs w:val="22"/>
              </w:rPr>
            </w:pPr>
            <w:r w:rsidRPr="00DB4392">
              <w:rPr>
                <w:rFonts w:cs="Arial"/>
                <w:b w:val="0"/>
                <w:bCs w:val="0"/>
                <w:szCs w:val="22"/>
              </w:rPr>
              <w:t>(c) not associated with a service to which item 73437, 73337, 73436 or 73351 applies</w:t>
            </w:r>
          </w:p>
          <w:p w14:paraId="76CECF8B" w14:textId="0A1D219E" w:rsidR="004F3D27" w:rsidRDefault="004F3D27" w:rsidP="00DB4392">
            <w:pPr>
              <w:spacing w:after="0"/>
              <w:rPr>
                <w:rFonts w:cs="Arial"/>
                <w:szCs w:val="22"/>
              </w:rPr>
            </w:pPr>
            <w:r w:rsidRPr="004F3D27">
              <w:rPr>
                <w:rFonts w:cs="Arial"/>
                <w:b w:val="0"/>
                <w:bCs w:val="0"/>
                <w:szCs w:val="22"/>
              </w:rPr>
              <w:t>Fee: $682.35 Benefit: 75% = $511.80 85% = $58</w:t>
            </w:r>
            <w:r w:rsidR="00C60423">
              <w:rPr>
                <w:rFonts w:cs="Arial"/>
                <w:b w:val="0"/>
                <w:bCs w:val="0"/>
                <w:szCs w:val="22"/>
              </w:rPr>
              <w:t>0.00</w:t>
            </w:r>
            <w:r w:rsidRPr="004F3D27">
              <w:rPr>
                <w:rFonts w:cs="Arial"/>
                <w:b w:val="0"/>
                <w:bCs w:val="0"/>
                <w:szCs w:val="22"/>
              </w:rPr>
              <w:t xml:space="preserve"> </w:t>
            </w:r>
          </w:p>
          <w:p w14:paraId="6690AE2B" w14:textId="41F6AB34" w:rsidR="009C495E" w:rsidRPr="002176E2" w:rsidRDefault="00DB4392" w:rsidP="002176E2">
            <w:pPr>
              <w:spacing w:after="0"/>
              <w:rPr>
                <w:rFonts w:cs="Arial"/>
                <w:b w:val="0"/>
                <w:bCs w:val="0"/>
                <w:szCs w:val="22"/>
              </w:rPr>
            </w:pPr>
            <w:r w:rsidRPr="00DB4392">
              <w:rPr>
                <w:rFonts w:cs="Arial"/>
                <w:b w:val="0"/>
                <w:bCs w:val="0"/>
                <w:szCs w:val="22"/>
              </w:rPr>
              <w:t xml:space="preserve">(See para </w:t>
            </w:r>
            <w:r w:rsidR="00805C85" w:rsidRPr="00DB4392">
              <w:rPr>
                <w:rFonts w:cs="Arial"/>
                <w:b w:val="0"/>
                <w:bCs w:val="0"/>
                <w:szCs w:val="22"/>
              </w:rPr>
              <w:t>PN.1.2</w:t>
            </w:r>
            <w:r w:rsidR="00805C85">
              <w:rPr>
                <w:rFonts w:cs="Arial"/>
                <w:b w:val="0"/>
                <w:bCs w:val="0"/>
                <w:szCs w:val="22"/>
              </w:rPr>
              <w:t>,</w:t>
            </w:r>
            <w:r w:rsidR="00805C85" w:rsidRPr="00DB4392">
              <w:rPr>
                <w:rFonts w:cs="Arial"/>
                <w:b w:val="0"/>
                <w:bCs w:val="0"/>
                <w:szCs w:val="22"/>
              </w:rPr>
              <w:t xml:space="preserve"> </w:t>
            </w:r>
            <w:r w:rsidRPr="00DB4392">
              <w:rPr>
                <w:rFonts w:cs="Arial"/>
                <w:b w:val="0"/>
                <w:bCs w:val="0"/>
                <w:szCs w:val="22"/>
              </w:rPr>
              <w:t>PN.7.15 of explanatory notes to this Category)</w:t>
            </w:r>
          </w:p>
          <w:p w14:paraId="0D870BD4" w14:textId="1B241EB7" w:rsidR="009C495E" w:rsidRPr="00A42BB2" w:rsidRDefault="009C495E" w:rsidP="007A063E">
            <w:pPr>
              <w:pStyle w:val="ListBullet"/>
              <w:numPr>
                <w:ilvl w:val="0"/>
                <w:numId w:val="0"/>
              </w:numPr>
              <w:ind w:left="360" w:hanging="360"/>
              <w:rPr>
                <w:b w:val="0"/>
                <w:bCs w:val="0"/>
              </w:rPr>
            </w:pPr>
          </w:p>
        </w:tc>
      </w:tr>
    </w:tbl>
    <w:p w14:paraId="1D5A5622" w14:textId="77777777" w:rsidR="009C495E" w:rsidRDefault="009C495E" w:rsidP="009C495E"/>
    <w:tbl>
      <w:tblPr>
        <w:tblStyle w:val="GridTable4-Accent2"/>
        <w:tblW w:w="0" w:type="auto"/>
        <w:tblLook w:val="04A0" w:firstRow="1" w:lastRow="0" w:firstColumn="1" w:lastColumn="0" w:noHBand="0" w:noVBand="1"/>
      </w:tblPr>
      <w:tblGrid>
        <w:gridCol w:w="9060"/>
      </w:tblGrid>
      <w:tr w:rsidR="009C495E" w14:paraId="00BFE72F" w14:textId="77777777" w:rsidTr="00552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DA72840" w14:textId="77777777" w:rsidR="009C495E" w:rsidRDefault="009C495E" w:rsidP="00552651">
            <w:pPr>
              <w:rPr>
                <w:b w:val="0"/>
                <w:bCs w:val="0"/>
                <w:lang w:eastAsia="en-AU"/>
              </w:rPr>
            </w:pPr>
            <w:r>
              <w:rPr>
                <w:lang w:eastAsia="en-AU"/>
              </w:rPr>
              <w:lastRenderedPageBreak/>
              <w:t>Category 6 – Pathology Services</w:t>
            </w:r>
          </w:p>
        </w:tc>
      </w:tr>
      <w:tr w:rsidR="009C495E" w14:paraId="7EE13F10" w14:textId="77777777" w:rsidTr="0055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D14B7EF" w14:textId="77777777" w:rsidR="009C495E" w:rsidRDefault="009C495E" w:rsidP="00552651">
            <w:pPr>
              <w:rPr>
                <w:b w:val="0"/>
                <w:bCs w:val="0"/>
                <w:lang w:eastAsia="en-AU"/>
              </w:rPr>
            </w:pPr>
            <w:r>
              <w:rPr>
                <w:lang w:eastAsia="en-AU"/>
              </w:rPr>
              <w:t>Group P7 - Genetics</w:t>
            </w:r>
          </w:p>
        </w:tc>
      </w:tr>
      <w:tr w:rsidR="009C495E" w14:paraId="0F911C65" w14:textId="77777777" w:rsidTr="00552651">
        <w:tc>
          <w:tcPr>
            <w:cnfStyle w:val="001000000000" w:firstRow="0" w:lastRow="0" w:firstColumn="1" w:lastColumn="0" w:oddVBand="0" w:evenVBand="0" w:oddHBand="0" w:evenHBand="0" w:firstRowFirstColumn="0" w:firstRowLastColumn="0" w:lastRowFirstColumn="0" w:lastRowLastColumn="0"/>
            <w:tcW w:w="9060" w:type="dxa"/>
          </w:tcPr>
          <w:p w14:paraId="223D3C0E" w14:textId="77777777" w:rsidR="009C495E" w:rsidRPr="00ED790C" w:rsidRDefault="009C495E" w:rsidP="00552651">
            <w:pPr>
              <w:autoSpaceDE w:val="0"/>
              <w:autoSpaceDN w:val="0"/>
              <w:spacing w:before="0" w:line="240" w:lineRule="auto"/>
              <w:rPr>
                <w:rFonts w:ascii="Aptos" w:eastAsia="Aptos" w:hAnsi="Aptos" w:cs="Aptos"/>
                <w:b w:val="0"/>
                <w:bCs w:val="0"/>
                <w:color w:val="auto"/>
                <w:sz w:val="28"/>
                <w:szCs w:val="28"/>
                <w:lang w:eastAsia="en-AU"/>
                <w14:ligatures w14:val="standardContextual"/>
              </w:rPr>
            </w:pPr>
            <w:r w:rsidRPr="00ED790C">
              <w:rPr>
                <w:rFonts w:eastAsia="Aptos" w:cs="Arial"/>
                <w:b w:val="0"/>
                <w:bCs w:val="0"/>
                <w:color w:val="auto"/>
                <w:szCs w:val="22"/>
                <w:lang w:eastAsia="en-AU"/>
              </w:rPr>
              <w:t>7343</w:t>
            </w:r>
            <w:r>
              <w:rPr>
                <w:rFonts w:eastAsia="Aptos" w:cs="Arial"/>
                <w:b w:val="0"/>
                <w:bCs w:val="0"/>
                <w:color w:val="auto"/>
                <w:szCs w:val="22"/>
                <w:lang w:eastAsia="en-AU"/>
              </w:rPr>
              <w:t>9</w:t>
            </w:r>
          </w:p>
          <w:p w14:paraId="63E826EA" w14:textId="77777777" w:rsidR="00D93F5E" w:rsidRPr="00D93F5E" w:rsidRDefault="00D93F5E" w:rsidP="00D93F5E">
            <w:pPr>
              <w:spacing w:after="200"/>
              <w:rPr>
                <w:rFonts w:cs="Arial"/>
                <w:b w:val="0"/>
                <w:bCs w:val="0"/>
                <w:szCs w:val="22"/>
              </w:rPr>
            </w:pPr>
            <w:r w:rsidRPr="00D93F5E">
              <w:rPr>
                <w:rFonts w:cs="Arial"/>
                <w:b w:val="0"/>
                <w:bCs w:val="0"/>
                <w:szCs w:val="22"/>
              </w:rPr>
              <w:t>A nucleic acid-based multi-gene panel test of tumour tissue from a patient with a new diagnosis of non-small cell lung cancer and with documented absence of activating variants of the EGFR gene, KRAS, BRAF and MET exon14, requested by, or on behalf of, a specialist or consultant physician, if the test is:</w:t>
            </w:r>
          </w:p>
          <w:p w14:paraId="5C29D8D7" w14:textId="77777777" w:rsidR="00D93F5E" w:rsidRPr="00D93F5E" w:rsidRDefault="00D93F5E" w:rsidP="00D93F5E">
            <w:pPr>
              <w:spacing w:before="200" w:after="200"/>
              <w:rPr>
                <w:rFonts w:cs="Arial"/>
                <w:b w:val="0"/>
                <w:bCs w:val="0"/>
                <w:szCs w:val="22"/>
              </w:rPr>
            </w:pPr>
            <w:r w:rsidRPr="00D93F5E">
              <w:rPr>
                <w:rFonts w:cs="Arial"/>
                <w:b w:val="0"/>
                <w:bCs w:val="0"/>
                <w:szCs w:val="22"/>
              </w:rPr>
              <w:t xml:space="preserve">(a) for fusion status of at least ALK, ROS1, RET, NTRK1, NTRK2, and NTRK3 to determine eligibility for </w:t>
            </w:r>
            <w:r w:rsidRPr="00F47AEF">
              <w:rPr>
                <w:rFonts w:cs="Arial"/>
                <w:b w:val="0"/>
                <w:bCs w:val="0"/>
                <w:szCs w:val="22"/>
              </w:rPr>
              <w:t>a relevant treatment under the Pharmaceutical Benefits Scheme</w:t>
            </w:r>
            <w:r w:rsidRPr="00D93F5E">
              <w:rPr>
                <w:rFonts w:cs="Arial"/>
                <w:b w:val="0"/>
                <w:bCs w:val="0"/>
                <w:szCs w:val="22"/>
              </w:rPr>
              <w:t>; and</w:t>
            </w:r>
          </w:p>
          <w:p w14:paraId="4C709748" w14:textId="77777777" w:rsidR="00D93F5E" w:rsidRPr="00D93F5E" w:rsidRDefault="00D93F5E" w:rsidP="00D93F5E">
            <w:pPr>
              <w:spacing w:before="200" w:after="200"/>
              <w:rPr>
                <w:rFonts w:cs="Arial"/>
                <w:b w:val="0"/>
                <w:bCs w:val="0"/>
                <w:szCs w:val="22"/>
              </w:rPr>
            </w:pPr>
            <w:r w:rsidRPr="00D93F5E">
              <w:rPr>
                <w:rFonts w:cs="Arial"/>
                <w:b w:val="0"/>
                <w:bCs w:val="0"/>
                <w:szCs w:val="22"/>
              </w:rPr>
              <w:t>(b) not associated with a service to which item 73437, 73341, 73344 or 73351 applies</w:t>
            </w:r>
          </w:p>
          <w:p w14:paraId="6291A2B6" w14:textId="77777777" w:rsidR="00AC183A" w:rsidRDefault="00AC183A" w:rsidP="00D93F5E">
            <w:pPr>
              <w:rPr>
                <w:rFonts w:cs="Arial"/>
                <w:szCs w:val="22"/>
              </w:rPr>
            </w:pPr>
            <w:r w:rsidRPr="00AC183A">
              <w:rPr>
                <w:rFonts w:cs="Arial"/>
                <w:b w:val="0"/>
                <w:bCs w:val="0"/>
                <w:szCs w:val="22"/>
              </w:rPr>
              <w:t xml:space="preserve">Fee: $682.35 Benefit: 75% = $511.80 85% = $580.00 </w:t>
            </w:r>
          </w:p>
          <w:p w14:paraId="40437E9E" w14:textId="48873DAF" w:rsidR="009C495E" w:rsidRPr="00D93F5E" w:rsidRDefault="00D93F5E" w:rsidP="00D93F5E">
            <w:pPr>
              <w:rPr>
                <w:rFonts w:cs="Arial"/>
                <w:b w:val="0"/>
                <w:bCs w:val="0"/>
                <w:szCs w:val="22"/>
              </w:rPr>
            </w:pPr>
            <w:r w:rsidRPr="00D93F5E">
              <w:rPr>
                <w:rFonts w:cs="Arial"/>
                <w:b w:val="0"/>
                <w:bCs w:val="0"/>
                <w:szCs w:val="22"/>
              </w:rPr>
              <w:t xml:space="preserve">(See para </w:t>
            </w:r>
            <w:r w:rsidR="00AC183A" w:rsidRPr="00D93F5E">
              <w:rPr>
                <w:rFonts w:cs="Arial"/>
                <w:b w:val="0"/>
                <w:bCs w:val="0"/>
                <w:szCs w:val="22"/>
              </w:rPr>
              <w:t>PN.1.2</w:t>
            </w:r>
            <w:r w:rsidR="00AC183A">
              <w:rPr>
                <w:rFonts w:cs="Arial"/>
                <w:b w:val="0"/>
                <w:bCs w:val="0"/>
                <w:szCs w:val="22"/>
              </w:rPr>
              <w:t>,</w:t>
            </w:r>
            <w:r w:rsidR="00AC183A" w:rsidRPr="00D93F5E">
              <w:rPr>
                <w:rFonts w:cs="Arial"/>
                <w:b w:val="0"/>
                <w:bCs w:val="0"/>
                <w:szCs w:val="22"/>
              </w:rPr>
              <w:t xml:space="preserve"> </w:t>
            </w:r>
            <w:r w:rsidRPr="00D93F5E">
              <w:rPr>
                <w:rFonts w:cs="Arial"/>
                <w:b w:val="0"/>
                <w:bCs w:val="0"/>
                <w:szCs w:val="22"/>
              </w:rPr>
              <w:t>PN.7.15 of explanatory notes to this Category)</w:t>
            </w:r>
          </w:p>
          <w:p w14:paraId="51283BF6" w14:textId="37044AB9" w:rsidR="009C495E" w:rsidRPr="009C495E" w:rsidRDefault="009C495E" w:rsidP="002176E2">
            <w:pPr>
              <w:pStyle w:val="ListBullet"/>
              <w:numPr>
                <w:ilvl w:val="0"/>
                <w:numId w:val="0"/>
              </w:numPr>
              <w:ind w:left="360" w:hanging="360"/>
              <w:rPr>
                <w:b w:val="0"/>
                <w:bCs w:val="0"/>
              </w:rPr>
            </w:pPr>
          </w:p>
        </w:tc>
      </w:tr>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657A" w14:textId="77777777" w:rsidR="00E803D5" w:rsidRDefault="00E803D5" w:rsidP="006B56BB">
      <w:r>
        <w:separator/>
      </w:r>
    </w:p>
    <w:p w14:paraId="3E5BBE1B" w14:textId="77777777" w:rsidR="00E803D5" w:rsidRDefault="00E803D5"/>
  </w:endnote>
  <w:endnote w:type="continuationSeparator" w:id="0">
    <w:p w14:paraId="641F61C9" w14:textId="77777777" w:rsidR="00E803D5" w:rsidRDefault="00E803D5" w:rsidP="006B56BB">
      <w:r>
        <w:continuationSeparator/>
      </w:r>
    </w:p>
    <w:p w14:paraId="22F75A6D" w14:textId="77777777" w:rsidR="00E803D5" w:rsidRDefault="00E803D5"/>
  </w:endnote>
  <w:endnote w:type="continuationNotice" w:id="1">
    <w:p w14:paraId="7E0F1D40" w14:textId="77777777" w:rsidR="00E803D5" w:rsidRDefault="00E80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6B49" w14:textId="1C9B7D15" w:rsidR="00365BE4" w:rsidRDefault="009B0FBD">
    <w:pPr>
      <w:pStyle w:val="Footer"/>
    </w:pPr>
    <w:r>
      <w:rPr>
        <w:noProof/>
      </w:rPr>
      <mc:AlternateContent>
        <mc:Choice Requires="wps">
          <w:drawing>
            <wp:anchor distT="0" distB="0" distL="0" distR="0" simplePos="0" relativeHeight="251668480" behindDoc="0" locked="0" layoutInCell="1" allowOverlap="1" wp14:anchorId="141A476D" wp14:editId="3EF59C85">
              <wp:simplePos x="635" y="635"/>
              <wp:positionH relativeFrom="page">
                <wp:align>center</wp:align>
              </wp:positionH>
              <wp:positionV relativeFrom="page">
                <wp:align>bottom</wp:align>
              </wp:positionV>
              <wp:extent cx="551815" cy="480695"/>
              <wp:effectExtent l="0" t="0" r="635" b="0"/>
              <wp:wrapNone/>
              <wp:docPr id="33645280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ECC14F" w14:textId="68C0DC86" w:rsidR="009B0FBD" w:rsidRPr="009B0FBD" w:rsidRDefault="009B0FBD" w:rsidP="009B0FBD">
                          <w:pPr>
                            <w:spacing w:after="0"/>
                            <w:rPr>
                              <w:rFonts w:ascii="Calibri" w:eastAsia="Calibri" w:hAnsi="Calibri" w:cs="Calibri"/>
                              <w:noProof/>
                              <w:color w:val="FF0000"/>
                              <w:sz w:val="24"/>
                            </w:rPr>
                          </w:pPr>
                          <w:r w:rsidRPr="009B0FB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A476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FECC14F" w14:textId="68C0DC86" w:rsidR="009B0FBD" w:rsidRPr="009B0FBD" w:rsidRDefault="009B0FBD" w:rsidP="009B0FBD">
                    <w:pPr>
                      <w:spacing w:after="0"/>
                      <w:rPr>
                        <w:rFonts w:ascii="Calibri" w:eastAsia="Calibri" w:hAnsi="Calibri" w:cs="Calibri"/>
                        <w:noProof/>
                        <w:color w:val="FF0000"/>
                        <w:sz w:val="24"/>
                      </w:rPr>
                    </w:pPr>
                    <w:r w:rsidRPr="009B0FBD">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B55ACB3" w:rsidR="00F51321" w:rsidRPr="00BD1D77" w:rsidRDefault="009B0FBD"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20CF45F1" wp14:editId="454D8A98">
              <wp:simplePos x="635" y="635"/>
              <wp:positionH relativeFrom="page">
                <wp:align>center</wp:align>
              </wp:positionH>
              <wp:positionV relativeFrom="page">
                <wp:align>bottom</wp:align>
              </wp:positionV>
              <wp:extent cx="551815" cy="480695"/>
              <wp:effectExtent l="0" t="0" r="635" b="0"/>
              <wp:wrapNone/>
              <wp:docPr id="199568002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004E6A1" w14:textId="4BAE7647" w:rsidR="009B0FBD" w:rsidRPr="009B0FBD" w:rsidRDefault="009B0FBD" w:rsidP="009B0FBD">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F45F1"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0004E6A1" w14:textId="4BAE7647" w:rsidR="009B0FBD" w:rsidRPr="009B0FBD" w:rsidRDefault="009B0FBD" w:rsidP="009B0FBD">
                    <w:pPr>
                      <w:spacing w:after="0"/>
                      <w:rPr>
                        <w:rFonts w:ascii="Calibri" w:eastAsia="Calibri" w:hAnsi="Calibri" w:cs="Calibri"/>
                        <w:noProof/>
                        <w:color w:val="FF0000"/>
                        <w:sz w:val="24"/>
                      </w:rPr>
                    </w:pPr>
                  </w:p>
                </w:txbxContent>
              </v:textbox>
              <w10:wrap anchorx="page" anchory="page"/>
            </v:shape>
          </w:pict>
        </mc:Fallback>
      </mc:AlternateContent>
    </w:r>
    <w:r w:rsidR="006928B4">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64B0315" w:rsidR="00F51321" w:rsidRPr="00BD1D77" w:rsidRDefault="00A61196" w:rsidP="00F51321">
    <w:pPr>
      <w:pStyle w:val="Footer"/>
      <w:tabs>
        <w:tab w:val="clear" w:pos="9026"/>
        <w:tab w:val="right" w:pos="10466"/>
      </w:tabs>
      <w:rPr>
        <w:szCs w:val="20"/>
      </w:rPr>
    </w:pPr>
    <w:r w:rsidRPr="00A61196">
      <w:rPr>
        <w:b/>
        <w:szCs w:val="20"/>
      </w:rPr>
      <w:t>Amendments to improve consistency of NSCLC items on the MBS</w:t>
    </w:r>
    <w:r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0BFF4E1" w:rsidR="00CB03B8" w:rsidRPr="00F51321" w:rsidRDefault="00F51321" w:rsidP="00292535">
    <w:pPr>
      <w:pStyle w:val="Footer"/>
      <w:jc w:val="left"/>
    </w:pPr>
    <w:r w:rsidRPr="00BD1D77">
      <w:rPr>
        <w:szCs w:val="20"/>
      </w:rPr>
      <w:t xml:space="preserve">Last updated – </w:t>
    </w:r>
    <w:r w:rsidR="006928B4">
      <w:rPr>
        <w:szCs w:val="20"/>
      </w:rPr>
      <w:t>1</w:t>
    </w:r>
    <w:r w:rsidR="00A15B8B">
      <w:rPr>
        <w:szCs w:val="20"/>
      </w:rPr>
      <w:t>5</w:t>
    </w:r>
    <w:r w:rsidR="00753DC0">
      <w:rPr>
        <w:szCs w:val="20"/>
      </w:rPr>
      <w:t xml:space="preserve"> </w:t>
    </w:r>
    <w:r w:rsidR="006928B4">
      <w:rPr>
        <w:szCs w:val="20"/>
      </w:rPr>
      <w:t>October</w:t>
    </w:r>
    <w:r w:rsidR="00684714">
      <w:rPr>
        <w:szCs w:val="20"/>
      </w:rPr>
      <w:t xml:space="preserve"> </w:t>
    </w:r>
    <w:r w:rsidR="00914758">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89E9BB4" w:rsidR="00064168" w:rsidRPr="00BD1D77" w:rsidRDefault="009B0FBD"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67C807C7" wp14:editId="04E0FF8A">
              <wp:simplePos x="635" y="635"/>
              <wp:positionH relativeFrom="page">
                <wp:align>center</wp:align>
              </wp:positionH>
              <wp:positionV relativeFrom="page">
                <wp:align>bottom</wp:align>
              </wp:positionV>
              <wp:extent cx="551815" cy="480695"/>
              <wp:effectExtent l="0" t="0" r="635" b="0"/>
              <wp:wrapNone/>
              <wp:docPr id="140631453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529F8CC" w14:textId="7C11B007" w:rsidR="009B0FBD" w:rsidRPr="009B0FBD" w:rsidRDefault="009B0FBD" w:rsidP="009B0FBD">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C807C7"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529F8CC" w14:textId="7C11B007" w:rsidR="009B0FBD" w:rsidRPr="009B0FBD" w:rsidRDefault="009B0FBD" w:rsidP="009B0FBD">
                    <w:pPr>
                      <w:spacing w:after="0"/>
                      <w:rPr>
                        <w:rFonts w:ascii="Calibri" w:eastAsia="Calibri" w:hAnsi="Calibri" w:cs="Calibri"/>
                        <w:noProof/>
                        <w:color w:val="FF0000"/>
                        <w:sz w:val="24"/>
                      </w:rPr>
                    </w:pPr>
                  </w:p>
                </w:txbxContent>
              </v:textbox>
              <w10:wrap anchorx="page" anchory="page"/>
            </v:shape>
          </w:pict>
        </mc:Fallback>
      </mc:AlternateContent>
    </w:r>
    <w:r w:rsidR="006928B4">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59EFCB6" w:rsidR="00064168" w:rsidRPr="00BD1D77" w:rsidRDefault="00A61196" w:rsidP="00064168">
    <w:pPr>
      <w:pStyle w:val="Footer"/>
      <w:tabs>
        <w:tab w:val="clear" w:pos="9026"/>
        <w:tab w:val="right" w:pos="10466"/>
      </w:tabs>
      <w:rPr>
        <w:szCs w:val="20"/>
      </w:rPr>
    </w:pPr>
    <w:r w:rsidRPr="00A61196">
      <w:rPr>
        <w:b/>
        <w:szCs w:val="20"/>
      </w:rPr>
      <w:t>Amendments to improve consistency of NSCLC items on the MBS</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1802E9D5" w:rsidR="00064168" w:rsidRPr="00BD1D77" w:rsidRDefault="00064168" w:rsidP="00064168">
    <w:pPr>
      <w:pStyle w:val="Footer"/>
      <w:jc w:val="left"/>
      <w:rPr>
        <w:szCs w:val="20"/>
      </w:rPr>
    </w:pPr>
    <w:r w:rsidRPr="00BD1D77">
      <w:rPr>
        <w:szCs w:val="20"/>
      </w:rPr>
      <w:t xml:space="preserve">Last updated – </w:t>
    </w:r>
    <w:r w:rsidR="006928B4">
      <w:rPr>
        <w:szCs w:val="20"/>
      </w:rPr>
      <w:t>15 October</w:t>
    </w:r>
    <w:r w:rsidR="00914758">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0C60" w14:textId="77777777" w:rsidR="00E803D5" w:rsidRDefault="00E803D5" w:rsidP="006B56BB">
      <w:r>
        <w:separator/>
      </w:r>
    </w:p>
    <w:p w14:paraId="00208948" w14:textId="77777777" w:rsidR="00E803D5" w:rsidRDefault="00E803D5"/>
  </w:footnote>
  <w:footnote w:type="continuationSeparator" w:id="0">
    <w:p w14:paraId="470B5A15" w14:textId="77777777" w:rsidR="00E803D5" w:rsidRDefault="00E803D5" w:rsidP="006B56BB">
      <w:r>
        <w:continuationSeparator/>
      </w:r>
    </w:p>
    <w:p w14:paraId="198BB3DE" w14:textId="77777777" w:rsidR="00E803D5" w:rsidRDefault="00E803D5"/>
  </w:footnote>
  <w:footnote w:type="continuationNotice" w:id="1">
    <w:p w14:paraId="0FDDB899" w14:textId="77777777" w:rsidR="00E803D5" w:rsidRDefault="00E80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7680" w14:textId="2E0701C6" w:rsidR="00365BE4" w:rsidRDefault="009B0FBD">
    <w:pPr>
      <w:pStyle w:val="Header"/>
    </w:pPr>
    <w:r>
      <w:rPr>
        <w:noProof/>
      </w:rPr>
      <mc:AlternateContent>
        <mc:Choice Requires="wps">
          <w:drawing>
            <wp:anchor distT="0" distB="0" distL="0" distR="0" simplePos="0" relativeHeight="251665408" behindDoc="0" locked="0" layoutInCell="1" allowOverlap="1" wp14:anchorId="5DDBDAE6" wp14:editId="0B3128F4">
              <wp:simplePos x="635" y="635"/>
              <wp:positionH relativeFrom="page">
                <wp:align>center</wp:align>
              </wp:positionH>
              <wp:positionV relativeFrom="page">
                <wp:align>top</wp:align>
              </wp:positionV>
              <wp:extent cx="551815" cy="480695"/>
              <wp:effectExtent l="0" t="0" r="635" b="14605"/>
              <wp:wrapNone/>
              <wp:docPr id="205106508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CFE9C08" w14:textId="3EB4AC28" w:rsidR="009B0FBD" w:rsidRPr="009B0FBD" w:rsidRDefault="009B0FBD" w:rsidP="009B0FBD">
                          <w:pPr>
                            <w:spacing w:after="0"/>
                            <w:rPr>
                              <w:rFonts w:ascii="Calibri" w:eastAsia="Calibri" w:hAnsi="Calibri" w:cs="Calibri"/>
                              <w:noProof/>
                              <w:color w:val="FF0000"/>
                              <w:sz w:val="24"/>
                            </w:rPr>
                          </w:pPr>
                          <w:r w:rsidRPr="009B0FB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DBDAE6"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CFE9C08" w14:textId="3EB4AC28" w:rsidR="009B0FBD" w:rsidRPr="009B0FBD" w:rsidRDefault="009B0FBD" w:rsidP="009B0FBD">
                    <w:pPr>
                      <w:spacing w:after="0"/>
                      <w:rPr>
                        <w:rFonts w:ascii="Calibri" w:eastAsia="Calibri" w:hAnsi="Calibri" w:cs="Calibri"/>
                        <w:noProof/>
                        <w:color w:val="FF0000"/>
                        <w:sz w:val="24"/>
                      </w:rPr>
                    </w:pPr>
                    <w:r w:rsidRPr="009B0FBD">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2F69" w14:textId="38044E83" w:rsidR="009B0FBD" w:rsidRDefault="009B0FBD">
    <w:pPr>
      <w:pStyle w:val="Header"/>
    </w:pPr>
    <w:r>
      <w:rPr>
        <w:noProof/>
      </w:rPr>
      <mc:AlternateContent>
        <mc:Choice Requires="wps">
          <w:drawing>
            <wp:anchor distT="0" distB="0" distL="0" distR="0" simplePos="0" relativeHeight="251666432" behindDoc="0" locked="0" layoutInCell="1" allowOverlap="1" wp14:anchorId="1844C225" wp14:editId="4F6B604B">
              <wp:simplePos x="635" y="635"/>
              <wp:positionH relativeFrom="page">
                <wp:align>center</wp:align>
              </wp:positionH>
              <wp:positionV relativeFrom="page">
                <wp:align>top</wp:align>
              </wp:positionV>
              <wp:extent cx="551815" cy="480695"/>
              <wp:effectExtent l="0" t="0" r="635" b="14605"/>
              <wp:wrapNone/>
              <wp:docPr id="9454429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970D08C" w14:textId="4D9AEE22" w:rsidR="009B0FBD" w:rsidRPr="009B0FBD" w:rsidRDefault="009B0FBD" w:rsidP="009B0FBD">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4C225"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970D08C" w14:textId="4D9AEE22" w:rsidR="009B0FBD" w:rsidRPr="009B0FBD" w:rsidRDefault="009B0FBD" w:rsidP="009B0FBD">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3A8AFBC" w:rsidR="00B53987" w:rsidRDefault="009B0FBD">
    <w:pPr>
      <w:pStyle w:val="Header"/>
    </w:pPr>
    <w:r>
      <w:rPr>
        <w:noProof/>
      </w:rPr>
      <mc:AlternateContent>
        <mc:Choice Requires="wps">
          <w:drawing>
            <wp:anchor distT="0" distB="0" distL="0" distR="0" simplePos="0" relativeHeight="251664384" behindDoc="0" locked="0" layoutInCell="1" allowOverlap="1" wp14:anchorId="796A607D" wp14:editId="7D40F8DE">
              <wp:simplePos x="635" y="635"/>
              <wp:positionH relativeFrom="page">
                <wp:align>center</wp:align>
              </wp:positionH>
              <wp:positionV relativeFrom="page">
                <wp:align>top</wp:align>
              </wp:positionV>
              <wp:extent cx="551815" cy="480695"/>
              <wp:effectExtent l="0" t="0" r="635" b="14605"/>
              <wp:wrapNone/>
              <wp:docPr id="56800409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340760" w14:textId="5A83599D" w:rsidR="009B0FBD" w:rsidRPr="009B0FBD" w:rsidRDefault="009B0FBD" w:rsidP="009B0FBD">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A607D"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9340760" w14:textId="5A83599D" w:rsidR="009B0FBD" w:rsidRPr="009B0FBD" w:rsidRDefault="009B0FBD" w:rsidP="009B0FBD">
                    <w:pPr>
                      <w:spacing w:after="0"/>
                      <w:rPr>
                        <w:rFonts w:ascii="Calibri" w:eastAsia="Calibri" w:hAnsi="Calibri" w:cs="Calibri"/>
                        <w:noProof/>
                        <w:color w:val="FF0000"/>
                        <w:sz w:val="24"/>
                      </w:rPr>
                    </w:pPr>
                  </w:p>
                </w:txbxContent>
              </v:textbox>
              <w10:wrap anchorx="page" anchory="page"/>
            </v:shape>
          </w:pict>
        </mc:Fallback>
      </mc:AlternateContent>
    </w:r>
    <w:r w:rsidR="00753DC0">
      <w:rPr>
        <w:noProof/>
      </w:rPr>
      <w:drawing>
        <wp:inline distT="0" distB="0" distL="0" distR="0" wp14:anchorId="56016D36" wp14:editId="0FC78284">
          <wp:extent cx="5756275" cy="941705"/>
          <wp:effectExtent l="0" t="0" r="0" b="0"/>
          <wp:docPr id="11194759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6275"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213E4"/>
    <w:multiLevelType w:val="hybridMultilevel"/>
    <w:tmpl w:val="41ACC9FC"/>
    <w:lvl w:ilvl="0" w:tplc="7D6AE486">
      <w:start w:val="1"/>
      <w:numFmt w:val="bullet"/>
      <w:lvlText w:val=""/>
      <w:lvlJc w:val="left"/>
      <w:pPr>
        <w:ind w:left="360" w:hanging="360"/>
      </w:pPr>
      <w:rPr>
        <w:rFonts w:ascii="Symbol" w:hAnsi="Symbol" w:hint="default"/>
      </w:rPr>
    </w:lvl>
    <w:lvl w:ilvl="1" w:tplc="797E593E">
      <w:start w:val="1"/>
      <w:numFmt w:val="bullet"/>
      <w:lvlText w:val="o"/>
      <w:lvlJc w:val="left"/>
      <w:pPr>
        <w:ind w:left="1080" w:hanging="360"/>
      </w:pPr>
      <w:rPr>
        <w:rFonts w:ascii="Courier New" w:hAnsi="Courier New" w:cs="Courier New" w:hint="default"/>
      </w:rPr>
    </w:lvl>
    <w:lvl w:ilvl="2" w:tplc="349E0A60">
      <w:start w:val="1"/>
      <w:numFmt w:val="bullet"/>
      <w:lvlText w:val=""/>
      <w:lvlJc w:val="left"/>
      <w:pPr>
        <w:ind w:left="1800" w:hanging="360"/>
      </w:pPr>
      <w:rPr>
        <w:rFonts w:ascii="Wingdings" w:hAnsi="Wingdings" w:hint="default"/>
      </w:rPr>
    </w:lvl>
    <w:lvl w:ilvl="3" w:tplc="5650CF5C">
      <w:start w:val="1"/>
      <w:numFmt w:val="bullet"/>
      <w:lvlText w:val=""/>
      <w:lvlJc w:val="left"/>
      <w:pPr>
        <w:ind w:left="2520" w:hanging="360"/>
      </w:pPr>
      <w:rPr>
        <w:rFonts w:ascii="Symbol" w:hAnsi="Symbol" w:hint="default"/>
      </w:rPr>
    </w:lvl>
    <w:lvl w:ilvl="4" w:tplc="AE2084F6">
      <w:start w:val="1"/>
      <w:numFmt w:val="bullet"/>
      <w:lvlText w:val="o"/>
      <w:lvlJc w:val="left"/>
      <w:pPr>
        <w:ind w:left="3240" w:hanging="360"/>
      </w:pPr>
      <w:rPr>
        <w:rFonts w:ascii="Courier New" w:hAnsi="Courier New" w:cs="Courier New" w:hint="default"/>
      </w:rPr>
    </w:lvl>
    <w:lvl w:ilvl="5" w:tplc="565ECF28">
      <w:start w:val="1"/>
      <w:numFmt w:val="bullet"/>
      <w:lvlText w:val=""/>
      <w:lvlJc w:val="left"/>
      <w:pPr>
        <w:ind w:left="3960" w:hanging="360"/>
      </w:pPr>
      <w:rPr>
        <w:rFonts w:ascii="Wingdings" w:hAnsi="Wingdings" w:hint="default"/>
      </w:rPr>
    </w:lvl>
    <w:lvl w:ilvl="6" w:tplc="BCDCE6B8">
      <w:start w:val="1"/>
      <w:numFmt w:val="bullet"/>
      <w:lvlText w:val=""/>
      <w:lvlJc w:val="left"/>
      <w:pPr>
        <w:ind w:left="4680" w:hanging="360"/>
      </w:pPr>
      <w:rPr>
        <w:rFonts w:ascii="Symbol" w:hAnsi="Symbol" w:hint="default"/>
      </w:rPr>
    </w:lvl>
    <w:lvl w:ilvl="7" w:tplc="9CBC5CA6">
      <w:start w:val="1"/>
      <w:numFmt w:val="bullet"/>
      <w:lvlText w:val="o"/>
      <w:lvlJc w:val="left"/>
      <w:pPr>
        <w:ind w:left="5400" w:hanging="360"/>
      </w:pPr>
      <w:rPr>
        <w:rFonts w:ascii="Courier New" w:hAnsi="Courier New" w:cs="Courier New" w:hint="default"/>
      </w:rPr>
    </w:lvl>
    <w:lvl w:ilvl="8" w:tplc="C8527260">
      <w:start w:val="1"/>
      <w:numFmt w:val="bullet"/>
      <w:lvlText w:val=""/>
      <w:lvlJc w:val="left"/>
      <w:pPr>
        <w:ind w:left="612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C7170"/>
    <w:multiLevelType w:val="hybridMultilevel"/>
    <w:tmpl w:val="19ECCCC8"/>
    <w:lvl w:ilvl="0" w:tplc="9D0A2E8A">
      <w:start w:val="1"/>
      <w:numFmt w:val="bullet"/>
      <w:lvlText w:val=""/>
      <w:lvlJc w:val="left"/>
      <w:pPr>
        <w:ind w:left="360" w:hanging="360"/>
      </w:pPr>
      <w:rPr>
        <w:rFonts w:ascii="Symbol" w:hAnsi="Symbol" w:hint="default"/>
        <w:color w:val="358189"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2"/>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8"/>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2"/>
  </w:num>
  <w:num w:numId="18" w16cid:durableId="828592903">
    <w:abstractNumId w:val="15"/>
  </w:num>
  <w:num w:numId="19" w16cid:durableId="1273391997">
    <w:abstractNumId w:val="17"/>
  </w:num>
  <w:num w:numId="20" w16cid:durableId="2041469188">
    <w:abstractNumId w:val="12"/>
  </w:num>
  <w:num w:numId="21" w16cid:durableId="120997448">
    <w:abstractNumId w:val="17"/>
  </w:num>
  <w:num w:numId="22" w16cid:durableId="1088427743">
    <w:abstractNumId w:val="23"/>
  </w:num>
  <w:num w:numId="23" w16cid:durableId="111368400">
    <w:abstractNumId w:val="20"/>
  </w:num>
  <w:num w:numId="24" w16cid:durableId="815339056">
    <w:abstractNumId w:val="22"/>
  </w:num>
  <w:num w:numId="25" w16cid:durableId="743180995">
    <w:abstractNumId w:val="9"/>
  </w:num>
  <w:num w:numId="26" w16cid:durableId="320358050">
    <w:abstractNumId w:val="19"/>
  </w:num>
  <w:num w:numId="27" w16cid:durableId="508569404">
    <w:abstractNumId w:val="14"/>
  </w:num>
  <w:num w:numId="28" w16cid:durableId="1416364898">
    <w:abstractNumId w:val="16"/>
  </w:num>
  <w:num w:numId="29" w16cid:durableId="100344043">
    <w:abstractNumId w:val="11"/>
  </w:num>
  <w:num w:numId="30" w16cid:durableId="1575821124">
    <w:abstractNumId w:val="14"/>
  </w:num>
  <w:num w:numId="31" w16cid:durableId="2105611635">
    <w:abstractNumId w:val="13"/>
  </w:num>
  <w:num w:numId="32" w16cid:durableId="1371607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5349"/>
    <w:rsid w:val="00026139"/>
    <w:rsid w:val="00027601"/>
    <w:rsid w:val="00033321"/>
    <w:rsid w:val="000338E5"/>
    <w:rsid w:val="00033E96"/>
    <w:rsid w:val="00033ECC"/>
    <w:rsid w:val="0003422F"/>
    <w:rsid w:val="00034E4B"/>
    <w:rsid w:val="00046FF0"/>
    <w:rsid w:val="00050176"/>
    <w:rsid w:val="00050342"/>
    <w:rsid w:val="0005169F"/>
    <w:rsid w:val="00056A81"/>
    <w:rsid w:val="00064168"/>
    <w:rsid w:val="00067456"/>
    <w:rsid w:val="00071506"/>
    <w:rsid w:val="0007154F"/>
    <w:rsid w:val="00080BAC"/>
    <w:rsid w:val="00081AB1"/>
    <w:rsid w:val="00082ADD"/>
    <w:rsid w:val="00090316"/>
    <w:rsid w:val="00093981"/>
    <w:rsid w:val="000A18B6"/>
    <w:rsid w:val="000A6B4B"/>
    <w:rsid w:val="000B067A"/>
    <w:rsid w:val="000B1540"/>
    <w:rsid w:val="000B1E53"/>
    <w:rsid w:val="000B2849"/>
    <w:rsid w:val="000B33FD"/>
    <w:rsid w:val="000B3CC0"/>
    <w:rsid w:val="000B4ABA"/>
    <w:rsid w:val="000B6DC2"/>
    <w:rsid w:val="000B7029"/>
    <w:rsid w:val="000C0475"/>
    <w:rsid w:val="000C4B16"/>
    <w:rsid w:val="000C50C3"/>
    <w:rsid w:val="000C5E14"/>
    <w:rsid w:val="000D21F6"/>
    <w:rsid w:val="000D3EEC"/>
    <w:rsid w:val="000D4500"/>
    <w:rsid w:val="000D7AEA"/>
    <w:rsid w:val="000E060D"/>
    <w:rsid w:val="000E2C66"/>
    <w:rsid w:val="000F123C"/>
    <w:rsid w:val="000F2FED"/>
    <w:rsid w:val="000F3ED1"/>
    <w:rsid w:val="000F7C2D"/>
    <w:rsid w:val="001051F5"/>
    <w:rsid w:val="0010616D"/>
    <w:rsid w:val="00110478"/>
    <w:rsid w:val="00111901"/>
    <w:rsid w:val="0011711B"/>
    <w:rsid w:val="00117F8A"/>
    <w:rsid w:val="001210F8"/>
    <w:rsid w:val="00121B9B"/>
    <w:rsid w:val="00122ADC"/>
    <w:rsid w:val="001245EF"/>
    <w:rsid w:val="00130F59"/>
    <w:rsid w:val="00133EC0"/>
    <w:rsid w:val="00141CE5"/>
    <w:rsid w:val="001427CD"/>
    <w:rsid w:val="00144908"/>
    <w:rsid w:val="0015012D"/>
    <w:rsid w:val="00156D96"/>
    <w:rsid w:val="001571C7"/>
    <w:rsid w:val="00161094"/>
    <w:rsid w:val="0017665C"/>
    <w:rsid w:val="0017709E"/>
    <w:rsid w:val="00177AD2"/>
    <w:rsid w:val="001815A8"/>
    <w:rsid w:val="001840FA"/>
    <w:rsid w:val="00184411"/>
    <w:rsid w:val="001873B1"/>
    <w:rsid w:val="00190079"/>
    <w:rsid w:val="0019622E"/>
    <w:rsid w:val="001966A7"/>
    <w:rsid w:val="0019761F"/>
    <w:rsid w:val="001A2646"/>
    <w:rsid w:val="001A4627"/>
    <w:rsid w:val="001A4979"/>
    <w:rsid w:val="001B15D3"/>
    <w:rsid w:val="001B2FBF"/>
    <w:rsid w:val="001B3443"/>
    <w:rsid w:val="001C0326"/>
    <w:rsid w:val="001C192F"/>
    <w:rsid w:val="001C3C42"/>
    <w:rsid w:val="001D7869"/>
    <w:rsid w:val="001F38B4"/>
    <w:rsid w:val="001F3920"/>
    <w:rsid w:val="001F76C6"/>
    <w:rsid w:val="002026CD"/>
    <w:rsid w:val="002033FC"/>
    <w:rsid w:val="002044BB"/>
    <w:rsid w:val="00206DEA"/>
    <w:rsid w:val="00210B09"/>
    <w:rsid w:val="00210C9E"/>
    <w:rsid w:val="00211840"/>
    <w:rsid w:val="002176E2"/>
    <w:rsid w:val="00220E5F"/>
    <w:rsid w:val="002212B5"/>
    <w:rsid w:val="00226668"/>
    <w:rsid w:val="00233809"/>
    <w:rsid w:val="00237A42"/>
    <w:rsid w:val="00240046"/>
    <w:rsid w:val="00242314"/>
    <w:rsid w:val="0024287C"/>
    <w:rsid w:val="00242D68"/>
    <w:rsid w:val="0024650C"/>
    <w:rsid w:val="0024797F"/>
    <w:rsid w:val="0025119E"/>
    <w:rsid w:val="00251269"/>
    <w:rsid w:val="002535C0"/>
    <w:rsid w:val="002579FE"/>
    <w:rsid w:val="00260552"/>
    <w:rsid w:val="002612BA"/>
    <w:rsid w:val="00261F14"/>
    <w:rsid w:val="0026311C"/>
    <w:rsid w:val="0026668C"/>
    <w:rsid w:val="00266AC1"/>
    <w:rsid w:val="0027178C"/>
    <w:rsid w:val="00271954"/>
    <w:rsid w:val="002719FA"/>
    <w:rsid w:val="00272668"/>
    <w:rsid w:val="00272A47"/>
    <w:rsid w:val="0027330B"/>
    <w:rsid w:val="00276CB4"/>
    <w:rsid w:val="002803AD"/>
    <w:rsid w:val="00282052"/>
    <w:rsid w:val="00282EAC"/>
    <w:rsid w:val="002831A3"/>
    <w:rsid w:val="00284E43"/>
    <w:rsid w:val="0028519E"/>
    <w:rsid w:val="002856A5"/>
    <w:rsid w:val="002872ED"/>
    <w:rsid w:val="002905C2"/>
    <w:rsid w:val="00292535"/>
    <w:rsid w:val="00295AF2"/>
    <w:rsid w:val="00295C91"/>
    <w:rsid w:val="002961AA"/>
    <w:rsid w:val="00297151"/>
    <w:rsid w:val="002B20E6"/>
    <w:rsid w:val="002B42A3"/>
    <w:rsid w:val="002C0CDD"/>
    <w:rsid w:val="002C38C4"/>
    <w:rsid w:val="002C46AA"/>
    <w:rsid w:val="002D65A2"/>
    <w:rsid w:val="002E1A1D"/>
    <w:rsid w:val="002E4081"/>
    <w:rsid w:val="002E5B78"/>
    <w:rsid w:val="002F3548"/>
    <w:rsid w:val="002F3AE3"/>
    <w:rsid w:val="0030464B"/>
    <w:rsid w:val="003054A2"/>
    <w:rsid w:val="0030786C"/>
    <w:rsid w:val="00317B29"/>
    <w:rsid w:val="003233DE"/>
    <w:rsid w:val="0032466B"/>
    <w:rsid w:val="00332097"/>
    <w:rsid w:val="003330EB"/>
    <w:rsid w:val="00333C73"/>
    <w:rsid w:val="0033745A"/>
    <w:rsid w:val="003415FD"/>
    <w:rsid w:val="003429F0"/>
    <w:rsid w:val="00345A82"/>
    <w:rsid w:val="0035097A"/>
    <w:rsid w:val="003537D9"/>
    <w:rsid w:val="00353C8E"/>
    <w:rsid w:val="003540A4"/>
    <w:rsid w:val="00357BCC"/>
    <w:rsid w:val="00360E4E"/>
    <w:rsid w:val="00365BE4"/>
    <w:rsid w:val="00370AAA"/>
    <w:rsid w:val="00375245"/>
    <w:rsid w:val="00375F77"/>
    <w:rsid w:val="00381BBE"/>
    <w:rsid w:val="00382903"/>
    <w:rsid w:val="003832F8"/>
    <w:rsid w:val="003846FF"/>
    <w:rsid w:val="003857D4"/>
    <w:rsid w:val="00385AD4"/>
    <w:rsid w:val="00385C01"/>
    <w:rsid w:val="00387924"/>
    <w:rsid w:val="0039384D"/>
    <w:rsid w:val="00394503"/>
    <w:rsid w:val="00395C23"/>
    <w:rsid w:val="003A2E4F"/>
    <w:rsid w:val="003A4438"/>
    <w:rsid w:val="003A5013"/>
    <w:rsid w:val="003A5078"/>
    <w:rsid w:val="003A62DD"/>
    <w:rsid w:val="003A775A"/>
    <w:rsid w:val="003B213A"/>
    <w:rsid w:val="003B2E5D"/>
    <w:rsid w:val="003B384E"/>
    <w:rsid w:val="003B43AD"/>
    <w:rsid w:val="003C0FEC"/>
    <w:rsid w:val="003C2AC8"/>
    <w:rsid w:val="003D033A"/>
    <w:rsid w:val="003D17F9"/>
    <w:rsid w:val="003D1B11"/>
    <w:rsid w:val="003D2D88"/>
    <w:rsid w:val="003D419D"/>
    <w:rsid w:val="003D41EA"/>
    <w:rsid w:val="003D4850"/>
    <w:rsid w:val="003D535A"/>
    <w:rsid w:val="003D7B09"/>
    <w:rsid w:val="003E5265"/>
    <w:rsid w:val="003F0955"/>
    <w:rsid w:val="003F0F91"/>
    <w:rsid w:val="003F5F4D"/>
    <w:rsid w:val="003F646F"/>
    <w:rsid w:val="00400F00"/>
    <w:rsid w:val="00404F8B"/>
    <w:rsid w:val="00405256"/>
    <w:rsid w:val="00405ADD"/>
    <w:rsid w:val="00410031"/>
    <w:rsid w:val="00413FCA"/>
    <w:rsid w:val="00415C81"/>
    <w:rsid w:val="00432378"/>
    <w:rsid w:val="0043264B"/>
    <w:rsid w:val="0043500D"/>
    <w:rsid w:val="00440D65"/>
    <w:rsid w:val="00442EFF"/>
    <w:rsid w:val="004435E6"/>
    <w:rsid w:val="00447E31"/>
    <w:rsid w:val="0045104F"/>
    <w:rsid w:val="00453923"/>
    <w:rsid w:val="00454B9B"/>
    <w:rsid w:val="00457858"/>
    <w:rsid w:val="00457F11"/>
    <w:rsid w:val="00460B0B"/>
    <w:rsid w:val="00461023"/>
    <w:rsid w:val="00462FAC"/>
    <w:rsid w:val="00464631"/>
    <w:rsid w:val="00464B79"/>
    <w:rsid w:val="00467BBF"/>
    <w:rsid w:val="00470F62"/>
    <w:rsid w:val="004852EB"/>
    <w:rsid w:val="0048593C"/>
    <w:rsid w:val="004867E2"/>
    <w:rsid w:val="00490FFF"/>
    <w:rsid w:val="004929A9"/>
    <w:rsid w:val="00497876"/>
    <w:rsid w:val="004A78D9"/>
    <w:rsid w:val="004C1BCD"/>
    <w:rsid w:val="004C6BCF"/>
    <w:rsid w:val="004D58BF"/>
    <w:rsid w:val="004D5E3F"/>
    <w:rsid w:val="004E293A"/>
    <w:rsid w:val="004E4335"/>
    <w:rsid w:val="004E5226"/>
    <w:rsid w:val="004F13EE"/>
    <w:rsid w:val="004F2022"/>
    <w:rsid w:val="004F3D27"/>
    <w:rsid w:val="004F7C05"/>
    <w:rsid w:val="00501C94"/>
    <w:rsid w:val="00504B0A"/>
    <w:rsid w:val="00506432"/>
    <w:rsid w:val="00506E82"/>
    <w:rsid w:val="0052051D"/>
    <w:rsid w:val="00525479"/>
    <w:rsid w:val="00533F4E"/>
    <w:rsid w:val="00545EE6"/>
    <w:rsid w:val="005550E7"/>
    <w:rsid w:val="005564FB"/>
    <w:rsid w:val="0055706A"/>
    <w:rsid w:val="005572C7"/>
    <w:rsid w:val="00564721"/>
    <w:rsid w:val="005650ED"/>
    <w:rsid w:val="00566B81"/>
    <w:rsid w:val="00575754"/>
    <w:rsid w:val="00576703"/>
    <w:rsid w:val="00581FBA"/>
    <w:rsid w:val="005858A4"/>
    <w:rsid w:val="00591E20"/>
    <w:rsid w:val="005920E7"/>
    <w:rsid w:val="00595408"/>
    <w:rsid w:val="00595E84"/>
    <w:rsid w:val="005A0C59"/>
    <w:rsid w:val="005A33CD"/>
    <w:rsid w:val="005A48EB"/>
    <w:rsid w:val="005A6CFB"/>
    <w:rsid w:val="005C4B3E"/>
    <w:rsid w:val="005C5AEB"/>
    <w:rsid w:val="005D5F4E"/>
    <w:rsid w:val="005D7A13"/>
    <w:rsid w:val="005E0A3F"/>
    <w:rsid w:val="005E1AF9"/>
    <w:rsid w:val="005E2D76"/>
    <w:rsid w:val="005E659D"/>
    <w:rsid w:val="005E6883"/>
    <w:rsid w:val="005E772F"/>
    <w:rsid w:val="005F4ECA"/>
    <w:rsid w:val="00602188"/>
    <w:rsid w:val="006041BE"/>
    <w:rsid w:val="006043C7"/>
    <w:rsid w:val="00616FAB"/>
    <w:rsid w:val="00624B52"/>
    <w:rsid w:val="00630794"/>
    <w:rsid w:val="00631DF4"/>
    <w:rsid w:val="00634175"/>
    <w:rsid w:val="0063574E"/>
    <w:rsid w:val="006408AC"/>
    <w:rsid w:val="00642F20"/>
    <w:rsid w:val="006511B6"/>
    <w:rsid w:val="00657FF8"/>
    <w:rsid w:val="0066598A"/>
    <w:rsid w:val="00670D99"/>
    <w:rsid w:val="00670E2B"/>
    <w:rsid w:val="006734BB"/>
    <w:rsid w:val="00674575"/>
    <w:rsid w:val="0067697A"/>
    <w:rsid w:val="00680D86"/>
    <w:rsid w:val="006821EB"/>
    <w:rsid w:val="00684714"/>
    <w:rsid w:val="006928B4"/>
    <w:rsid w:val="006937AD"/>
    <w:rsid w:val="00693A51"/>
    <w:rsid w:val="00693D00"/>
    <w:rsid w:val="006B2286"/>
    <w:rsid w:val="006B56BB"/>
    <w:rsid w:val="006C085B"/>
    <w:rsid w:val="006C0AE2"/>
    <w:rsid w:val="006C77A8"/>
    <w:rsid w:val="006D22A7"/>
    <w:rsid w:val="006D4098"/>
    <w:rsid w:val="006D67F4"/>
    <w:rsid w:val="006D7681"/>
    <w:rsid w:val="006D7B2E"/>
    <w:rsid w:val="006E02EA"/>
    <w:rsid w:val="006E0968"/>
    <w:rsid w:val="006E2AF6"/>
    <w:rsid w:val="006F1107"/>
    <w:rsid w:val="006F3557"/>
    <w:rsid w:val="006F5073"/>
    <w:rsid w:val="00701275"/>
    <w:rsid w:val="00707F56"/>
    <w:rsid w:val="00713558"/>
    <w:rsid w:val="00717C4A"/>
    <w:rsid w:val="00720D08"/>
    <w:rsid w:val="007263B9"/>
    <w:rsid w:val="007334F8"/>
    <w:rsid w:val="007339CD"/>
    <w:rsid w:val="007359D8"/>
    <w:rsid w:val="007362D4"/>
    <w:rsid w:val="00744B30"/>
    <w:rsid w:val="00746C16"/>
    <w:rsid w:val="00753DC0"/>
    <w:rsid w:val="0076672A"/>
    <w:rsid w:val="0077359C"/>
    <w:rsid w:val="00775E45"/>
    <w:rsid w:val="00776E74"/>
    <w:rsid w:val="00785169"/>
    <w:rsid w:val="00785762"/>
    <w:rsid w:val="007954AB"/>
    <w:rsid w:val="007A063E"/>
    <w:rsid w:val="007A14C5"/>
    <w:rsid w:val="007A4602"/>
    <w:rsid w:val="007A4A10"/>
    <w:rsid w:val="007B1750"/>
    <w:rsid w:val="007B1760"/>
    <w:rsid w:val="007B4D5C"/>
    <w:rsid w:val="007B7C4D"/>
    <w:rsid w:val="007C0EC0"/>
    <w:rsid w:val="007C1FDC"/>
    <w:rsid w:val="007C31DD"/>
    <w:rsid w:val="007C32D9"/>
    <w:rsid w:val="007C343D"/>
    <w:rsid w:val="007C38C3"/>
    <w:rsid w:val="007C6D9C"/>
    <w:rsid w:val="007C7DDB"/>
    <w:rsid w:val="007D02C4"/>
    <w:rsid w:val="007D2CC7"/>
    <w:rsid w:val="007D673D"/>
    <w:rsid w:val="007E0068"/>
    <w:rsid w:val="007E0FB8"/>
    <w:rsid w:val="007E4D09"/>
    <w:rsid w:val="007F2220"/>
    <w:rsid w:val="007F49CF"/>
    <w:rsid w:val="007F4B3E"/>
    <w:rsid w:val="00803EC0"/>
    <w:rsid w:val="00805C85"/>
    <w:rsid w:val="00805D0F"/>
    <w:rsid w:val="008127AF"/>
    <w:rsid w:val="00812B46"/>
    <w:rsid w:val="00815700"/>
    <w:rsid w:val="00821974"/>
    <w:rsid w:val="0082246B"/>
    <w:rsid w:val="008264EB"/>
    <w:rsid w:val="00826B8F"/>
    <w:rsid w:val="00831E8A"/>
    <w:rsid w:val="0083595B"/>
    <w:rsid w:val="00835C76"/>
    <w:rsid w:val="008376E2"/>
    <w:rsid w:val="00843049"/>
    <w:rsid w:val="008437CA"/>
    <w:rsid w:val="00850A71"/>
    <w:rsid w:val="0085209B"/>
    <w:rsid w:val="00853180"/>
    <w:rsid w:val="00856B66"/>
    <w:rsid w:val="008601AC"/>
    <w:rsid w:val="00861A5F"/>
    <w:rsid w:val="00863CFD"/>
    <w:rsid w:val="008644AD"/>
    <w:rsid w:val="00865735"/>
    <w:rsid w:val="00865DDB"/>
    <w:rsid w:val="00867538"/>
    <w:rsid w:val="00873D90"/>
    <w:rsid w:val="00873FC8"/>
    <w:rsid w:val="00884C63"/>
    <w:rsid w:val="00885908"/>
    <w:rsid w:val="008864B7"/>
    <w:rsid w:val="0089677E"/>
    <w:rsid w:val="008A1F5B"/>
    <w:rsid w:val="008A7438"/>
    <w:rsid w:val="008B1334"/>
    <w:rsid w:val="008B25C7"/>
    <w:rsid w:val="008B5260"/>
    <w:rsid w:val="008C0278"/>
    <w:rsid w:val="008C24E9"/>
    <w:rsid w:val="008D0533"/>
    <w:rsid w:val="008D4090"/>
    <w:rsid w:val="008D42CB"/>
    <w:rsid w:val="008D48C9"/>
    <w:rsid w:val="008D6381"/>
    <w:rsid w:val="008E007D"/>
    <w:rsid w:val="008E0C77"/>
    <w:rsid w:val="008E625F"/>
    <w:rsid w:val="008F264D"/>
    <w:rsid w:val="00902121"/>
    <w:rsid w:val="009040E9"/>
    <w:rsid w:val="009074E1"/>
    <w:rsid w:val="009112F7"/>
    <w:rsid w:val="009122AF"/>
    <w:rsid w:val="00912D54"/>
    <w:rsid w:val="0091389F"/>
    <w:rsid w:val="00914758"/>
    <w:rsid w:val="00917209"/>
    <w:rsid w:val="009208F7"/>
    <w:rsid w:val="00920EB4"/>
    <w:rsid w:val="00921649"/>
    <w:rsid w:val="00922517"/>
    <w:rsid w:val="00922722"/>
    <w:rsid w:val="0092506A"/>
    <w:rsid w:val="009261E6"/>
    <w:rsid w:val="009268E1"/>
    <w:rsid w:val="009271EE"/>
    <w:rsid w:val="0093226A"/>
    <w:rsid w:val="009344AE"/>
    <w:rsid w:val="009344DE"/>
    <w:rsid w:val="00945E7F"/>
    <w:rsid w:val="009518C7"/>
    <w:rsid w:val="009557C1"/>
    <w:rsid w:val="00960D6E"/>
    <w:rsid w:val="00964D86"/>
    <w:rsid w:val="009726CD"/>
    <w:rsid w:val="00974B59"/>
    <w:rsid w:val="0098166B"/>
    <w:rsid w:val="0098340B"/>
    <w:rsid w:val="00986830"/>
    <w:rsid w:val="009924C3"/>
    <w:rsid w:val="00993102"/>
    <w:rsid w:val="009973F7"/>
    <w:rsid w:val="009B0FBD"/>
    <w:rsid w:val="009B1570"/>
    <w:rsid w:val="009C495E"/>
    <w:rsid w:val="009C6F10"/>
    <w:rsid w:val="009D148F"/>
    <w:rsid w:val="009D3D70"/>
    <w:rsid w:val="009E6F7E"/>
    <w:rsid w:val="009E7A57"/>
    <w:rsid w:val="009F4803"/>
    <w:rsid w:val="009F4C37"/>
    <w:rsid w:val="009F4F6A"/>
    <w:rsid w:val="009F5046"/>
    <w:rsid w:val="00A13EB5"/>
    <w:rsid w:val="00A15B8B"/>
    <w:rsid w:val="00A16E36"/>
    <w:rsid w:val="00A23012"/>
    <w:rsid w:val="00A24961"/>
    <w:rsid w:val="00A24B10"/>
    <w:rsid w:val="00A277EF"/>
    <w:rsid w:val="00A30E9B"/>
    <w:rsid w:val="00A34BD0"/>
    <w:rsid w:val="00A4512D"/>
    <w:rsid w:val="00A50244"/>
    <w:rsid w:val="00A61196"/>
    <w:rsid w:val="00A627D7"/>
    <w:rsid w:val="00A656C7"/>
    <w:rsid w:val="00A673D6"/>
    <w:rsid w:val="00A705AF"/>
    <w:rsid w:val="00A719F6"/>
    <w:rsid w:val="00A72454"/>
    <w:rsid w:val="00A75342"/>
    <w:rsid w:val="00A77696"/>
    <w:rsid w:val="00A80557"/>
    <w:rsid w:val="00A81D33"/>
    <w:rsid w:val="00A8341C"/>
    <w:rsid w:val="00A8695F"/>
    <w:rsid w:val="00A930AE"/>
    <w:rsid w:val="00AA1A95"/>
    <w:rsid w:val="00AA260F"/>
    <w:rsid w:val="00AB1EE7"/>
    <w:rsid w:val="00AB2B2E"/>
    <w:rsid w:val="00AB3FDE"/>
    <w:rsid w:val="00AB4B37"/>
    <w:rsid w:val="00AB5762"/>
    <w:rsid w:val="00AB7EF9"/>
    <w:rsid w:val="00AC183A"/>
    <w:rsid w:val="00AC2679"/>
    <w:rsid w:val="00AC4432"/>
    <w:rsid w:val="00AC4BE4"/>
    <w:rsid w:val="00AC4C8B"/>
    <w:rsid w:val="00AC6513"/>
    <w:rsid w:val="00AD05E6"/>
    <w:rsid w:val="00AD0D3F"/>
    <w:rsid w:val="00AE1D7D"/>
    <w:rsid w:val="00AE2A8B"/>
    <w:rsid w:val="00AE3F64"/>
    <w:rsid w:val="00AF21B5"/>
    <w:rsid w:val="00AF7386"/>
    <w:rsid w:val="00AF7934"/>
    <w:rsid w:val="00B00B81"/>
    <w:rsid w:val="00B04580"/>
    <w:rsid w:val="00B04B09"/>
    <w:rsid w:val="00B16A51"/>
    <w:rsid w:val="00B27A99"/>
    <w:rsid w:val="00B30E0A"/>
    <w:rsid w:val="00B32222"/>
    <w:rsid w:val="00B32567"/>
    <w:rsid w:val="00B3618D"/>
    <w:rsid w:val="00B36233"/>
    <w:rsid w:val="00B42851"/>
    <w:rsid w:val="00B42D06"/>
    <w:rsid w:val="00B45350"/>
    <w:rsid w:val="00B45AC7"/>
    <w:rsid w:val="00B5372F"/>
    <w:rsid w:val="00B53987"/>
    <w:rsid w:val="00B56DCF"/>
    <w:rsid w:val="00B61129"/>
    <w:rsid w:val="00B67E7F"/>
    <w:rsid w:val="00B76DB3"/>
    <w:rsid w:val="00B803A3"/>
    <w:rsid w:val="00B839B2"/>
    <w:rsid w:val="00B850FE"/>
    <w:rsid w:val="00B873A0"/>
    <w:rsid w:val="00B900A0"/>
    <w:rsid w:val="00B94252"/>
    <w:rsid w:val="00B96789"/>
    <w:rsid w:val="00B9715A"/>
    <w:rsid w:val="00BA14BE"/>
    <w:rsid w:val="00BA25D5"/>
    <w:rsid w:val="00BA2732"/>
    <w:rsid w:val="00BA293D"/>
    <w:rsid w:val="00BA49BC"/>
    <w:rsid w:val="00BA525D"/>
    <w:rsid w:val="00BA56B7"/>
    <w:rsid w:val="00BA7A1E"/>
    <w:rsid w:val="00BB2F6C"/>
    <w:rsid w:val="00BB3875"/>
    <w:rsid w:val="00BB42FA"/>
    <w:rsid w:val="00BB5860"/>
    <w:rsid w:val="00BB6AAD"/>
    <w:rsid w:val="00BC4A19"/>
    <w:rsid w:val="00BC4E6D"/>
    <w:rsid w:val="00BD0617"/>
    <w:rsid w:val="00BD0A9E"/>
    <w:rsid w:val="00BD0FAD"/>
    <w:rsid w:val="00BD1D77"/>
    <w:rsid w:val="00BD2E9B"/>
    <w:rsid w:val="00BD50C6"/>
    <w:rsid w:val="00BD7FB2"/>
    <w:rsid w:val="00BE3ED5"/>
    <w:rsid w:val="00BE42C7"/>
    <w:rsid w:val="00BF6BB3"/>
    <w:rsid w:val="00C00930"/>
    <w:rsid w:val="00C02732"/>
    <w:rsid w:val="00C0336D"/>
    <w:rsid w:val="00C060AD"/>
    <w:rsid w:val="00C113BF"/>
    <w:rsid w:val="00C2176E"/>
    <w:rsid w:val="00C23430"/>
    <w:rsid w:val="00C27D67"/>
    <w:rsid w:val="00C40A0E"/>
    <w:rsid w:val="00C421F6"/>
    <w:rsid w:val="00C435AF"/>
    <w:rsid w:val="00C4631F"/>
    <w:rsid w:val="00C4751A"/>
    <w:rsid w:val="00C47CDE"/>
    <w:rsid w:val="00C50E16"/>
    <w:rsid w:val="00C53D24"/>
    <w:rsid w:val="00C55258"/>
    <w:rsid w:val="00C55AEB"/>
    <w:rsid w:val="00C60423"/>
    <w:rsid w:val="00C702EB"/>
    <w:rsid w:val="00C71A8A"/>
    <w:rsid w:val="00C75FA3"/>
    <w:rsid w:val="00C824A0"/>
    <w:rsid w:val="00C82EEB"/>
    <w:rsid w:val="00C971DC"/>
    <w:rsid w:val="00CA16B7"/>
    <w:rsid w:val="00CA2FE3"/>
    <w:rsid w:val="00CA62AE"/>
    <w:rsid w:val="00CB03B8"/>
    <w:rsid w:val="00CB49DD"/>
    <w:rsid w:val="00CB5B1A"/>
    <w:rsid w:val="00CC220B"/>
    <w:rsid w:val="00CC39B8"/>
    <w:rsid w:val="00CC5C43"/>
    <w:rsid w:val="00CD02AE"/>
    <w:rsid w:val="00CD21E2"/>
    <w:rsid w:val="00CD2A4F"/>
    <w:rsid w:val="00CD41E4"/>
    <w:rsid w:val="00CD73DF"/>
    <w:rsid w:val="00CE03CA"/>
    <w:rsid w:val="00CE22F1"/>
    <w:rsid w:val="00CE50F2"/>
    <w:rsid w:val="00CE6502"/>
    <w:rsid w:val="00CF1633"/>
    <w:rsid w:val="00CF4806"/>
    <w:rsid w:val="00CF7D3C"/>
    <w:rsid w:val="00D01F09"/>
    <w:rsid w:val="00D03527"/>
    <w:rsid w:val="00D0352B"/>
    <w:rsid w:val="00D108B7"/>
    <w:rsid w:val="00D11B07"/>
    <w:rsid w:val="00D13ADC"/>
    <w:rsid w:val="00D147EB"/>
    <w:rsid w:val="00D20254"/>
    <w:rsid w:val="00D27E71"/>
    <w:rsid w:val="00D34667"/>
    <w:rsid w:val="00D401E1"/>
    <w:rsid w:val="00D408B4"/>
    <w:rsid w:val="00D44330"/>
    <w:rsid w:val="00D524C8"/>
    <w:rsid w:val="00D70E24"/>
    <w:rsid w:val="00D72B61"/>
    <w:rsid w:val="00D93F5E"/>
    <w:rsid w:val="00DA3D1D"/>
    <w:rsid w:val="00DB0CD3"/>
    <w:rsid w:val="00DB4392"/>
    <w:rsid w:val="00DB6286"/>
    <w:rsid w:val="00DB645F"/>
    <w:rsid w:val="00DB76E9"/>
    <w:rsid w:val="00DC0A67"/>
    <w:rsid w:val="00DC1D5E"/>
    <w:rsid w:val="00DC2498"/>
    <w:rsid w:val="00DC5220"/>
    <w:rsid w:val="00DD2061"/>
    <w:rsid w:val="00DD31B6"/>
    <w:rsid w:val="00DD7DAB"/>
    <w:rsid w:val="00DE3355"/>
    <w:rsid w:val="00DE4463"/>
    <w:rsid w:val="00DF0C60"/>
    <w:rsid w:val="00DF486F"/>
    <w:rsid w:val="00DF5B5B"/>
    <w:rsid w:val="00DF7619"/>
    <w:rsid w:val="00E010E4"/>
    <w:rsid w:val="00E042D8"/>
    <w:rsid w:val="00E07EE7"/>
    <w:rsid w:val="00E1103B"/>
    <w:rsid w:val="00E14101"/>
    <w:rsid w:val="00E14580"/>
    <w:rsid w:val="00E17B44"/>
    <w:rsid w:val="00E20F27"/>
    <w:rsid w:val="00E22443"/>
    <w:rsid w:val="00E25B1F"/>
    <w:rsid w:val="00E27FEA"/>
    <w:rsid w:val="00E33511"/>
    <w:rsid w:val="00E35B07"/>
    <w:rsid w:val="00E37C62"/>
    <w:rsid w:val="00E4086F"/>
    <w:rsid w:val="00E43B3C"/>
    <w:rsid w:val="00E50188"/>
    <w:rsid w:val="00E50BB3"/>
    <w:rsid w:val="00E515CB"/>
    <w:rsid w:val="00E52260"/>
    <w:rsid w:val="00E538AE"/>
    <w:rsid w:val="00E56F5A"/>
    <w:rsid w:val="00E639B6"/>
    <w:rsid w:val="00E641C1"/>
    <w:rsid w:val="00E6434B"/>
    <w:rsid w:val="00E6463D"/>
    <w:rsid w:val="00E67376"/>
    <w:rsid w:val="00E71492"/>
    <w:rsid w:val="00E72E9B"/>
    <w:rsid w:val="00E77AA9"/>
    <w:rsid w:val="00E803D5"/>
    <w:rsid w:val="00E850C3"/>
    <w:rsid w:val="00E87DF2"/>
    <w:rsid w:val="00E90371"/>
    <w:rsid w:val="00E91576"/>
    <w:rsid w:val="00E9462E"/>
    <w:rsid w:val="00EA470E"/>
    <w:rsid w:val="00EA47A7"/>
    <w:rsid w:val="00EA57EB"/>
    <w:rsid w:val="00EB3226"/>
    <w:rsid w:val="00EC1BB1"/>
    <w:rsid w:val="00EC213A"/>
    <w:rsid w:val="00EC5A23"/>
    <w:rsid w:val="00EC7744"/>
    <w:rsid w:val="00ED0DAD"/>
    <w:rsid w:val="00ED0F46"/>
    <w:rsid w:val="00ED2373"/>
    <w:rsid w:val="00ED24F9"/>
    <w:rsid w:val="00ED2E38"/>
    <w:rsid w:val="00EE3E8A"/>
    <w:rsid w:val="00EF0935"/>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27873"/>
    <w:rsid w:val="00F30066"/>
    <w:rsid w:val="00F321DE"/>
    <w:rsid w:val="00F33777"/>
    <w:rsid w:val="00F341E9"/>
    <w:rsid w:val="00F40648"/>
    <w:rsid w:val="00F47AEF"/>
    <w:rsid w:val="00F47DA2"/>
    <w:rsid w:val="00F51321"/>
    <w:rsid w:val="00F519FC"/>
    <w:rsid w:val="00F6239D"/>
    <w:rsid w:val="00F715D2"/>
    <w:rsid w:val="00F7274F"/>
    <w:rsid w:val="00F74E84"/>
    <w:rsid w:val="00F75602"/>
    <w:rsid w:val="00F7615B"/>
    <w:rsid w:val="00F76ED3"/>
    <w:rsid w:val="00F76FA8"/>
    <w:rsid w:val="00F81EC4"/>
    <w:rsid w:val="00F85AFE"/>
    <w:rsid w:val="00F8714E"/>
    <w:rsid w:val="00F93F08"/>
    <w:rsid w:val="00F94CED"/>
    <w:rsid w:val="00F95AA6"/>
    <w:rsid w:val="00FA02BB"/>
    <w:rsid w:val="00FA10F1"/>
    <w:rsid w:val="00FA2CEE"/>
    <w:rsid w:val="00FA318C"/>
    <w:rsid w:val="00FB3661"/>
    <w:rsid w:val="00FB6452"/>
    <w:rsid w:val="00FB6F92"/>
    <w:rsid w:val="00FC026E"/>
    <w:rsid w:val="00FC3796"/>
    <w:rsid w:val="00FC5124"/>
    <w:rsid w:val="00FD0155"/>
    <w:rsid w:val="00FD4731"/>
    <w:rsid w:val="00FD6768"/>
    <w:rsid w:val="00FE03CC"/>
    <w:rsid w:val="00FF0AB0"/>
    <w:rsid w:val="00FF28AC"/>
    <w:rsid w:val="00FF2AA4"/>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16196502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10107</Characters>
  <Application>Microsoft Office Word</Application>
  <DocSecurity>0</DocSecurity>
  <Lines>190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2025-09-25T00:32:00Z</dcterms:created>
  <dcterms:modified xsi:type="dcterms:W3CDTF">2025-10-14T23:16:00Z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21db0dfd,7a40c4f8,385a5072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53d2a825,140ddcc7,76f3a919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2025-09-24T00:41:23Z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53cd0f7a-d119-4a21-aafd-7c0961db3a31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