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06FC" w14:textId="77777777" w:rsidR="0019541C" w:rsidRPr="0019541C" w:rsidRDefault="0019541C" w:rsidP="0019541C">
      <w:pPr>
        <w:rPr>
          <w:rFonts w:eastAsiaTheme="majorEastAsia" w:cstheme="majorBidi"/>
          <w:b/>
          <w:color w:val="3F4A75"/>
          <w:kern w:val="28"/>
          <w:sz w:val="48"/>
          <w:szCs w:val="52"/>
        </w:rPr>
      </w:pPr>
      <w:bookmarkStart w:id="0" w:name="_Hlk198813576"/>
      <w:bookmarkStart w:id="1" w:name="_Hlk4568006"/>
      <w:r w:rsidRPr="0019541C">
        <w:rPr>
          <w:rFonts w:eastAsiaTheme="majorEastAsia" w:cstheme="majorBidi"/>
          <w:b/>
          <w:color w:val="3F4A75"/>
          <w:kern w:val="28"/>
          <w:sz w:val="48"/>
          <w:szCs w:val="52"/>
        </w:rPr>
        <w:t>Upcoming Changes to Chronic Disease Management Framework – Overview</w:t>
      </w:r>
    </w:p>
    <w:bookmarkEnd w:id="0"/>
    <w:p w14:paraId="6EFD4B5B" w14:textId="6B6ABCE6" w:rsidR="00064168" w:rsidRDefault="00064168" w:rsidP="006F5073">
      <w:r>
        <w:t xml:space="preserve">Last updated: </w:t>
      </w:r>
      <w:r w:rsidR="131BF086">
        <w:t>22</w:t>
      </w:r>
      <w:r>
        <w:t xml:space="preserve"> </w:t>
      </w:r>
      <w:r w:rsidR="0019541C">
        <w:t>May</w:t>
      </w:r>
      <w:r>
        <w:t xml:space="preserve"> 20</w:t>
      </w:r>
      <w:r w:rsidR="0019541C">
        <w:t>25</w:t>
      </w:r>
    </w:p>
    <w:bookmarkEnd w:id="1"/>
    <w:p w14:paraId="3E5B6E45" w14:textId="0EAB358F" w:rsidR="0019541C" w:rsidRPr="0019541C" w:rsidRDefault="00D30AEA" w:rsidP="0019541C">
      <w:pPr>
        <w:numPr>
          <w:ilvl w:val="0"/>
          <w:numId w:val="27"/>
        </w:numPr>
        <w:spacing w:before="0" w:after="60" w:line="280" w:lineRule="exact"/>
        <w:rPr>
          <w:szCs w:val="22"/>
        </w:rPr>
      </w:pPr>
      <w:r>
        <w:rPr>
          <w:szCs w:val="22"/>
        </w:rPr>
        <w:t>F</w:t>
      </w:r>
      <w:r w:rsidR="0019541C" w:rsidRPr="0019541C">
        <w:rPr>
          <w:szCs w:val="22"/>
        </w:rPr>
        <w:t>rom 1 July 2025, there will be</w:t>
      </w:r>
      <w:r w:rsidR="00710C6D">
        <w:rPr>
          <w:szCs w:val="22"/>
        </w:rPr>
        <w:t xml:space="preserve"> a new framework</w:t>
      </w:r>
      <w:r w:rsidR="0019541C" w:rsidRPr="0019541C">
        <w:rPr>
          <w:szCs w:val="22"/>
        </w:rPr>
        <w:t xml:space="preserve"> for chronic disease management.</w:t>
      </w:r>
    </w:p>
    <w:p w14:paraId="54A21200" w14:textId="77777777" w:rsidR="0019541C" w:rsidRPr="0019541C" w:rsidRDefault="0019541C" w:rsidP="0019541C">
      <w:pPr>
        <w:numPr>
          <w:ilvl w:val="0"/>
          <w:numId w:val="27"/>
        </w:numPr>
        <w:spacing w:before="0" w:after="60" w:line="280" w:lineRule="exact"/>
        <w:rPr>
          <w:szCs w:val="22"/>
        </w:rPr>
      </w:pPr>
      <w:r w:rsidRPr="0019541C">
        <w:rPr>
          <w:szCs w:val="22"/>
        </w:rPr>
        <w:t>The changes simplify, streamline, and modernise the arrangements for health care professionals and patients.</w:t>
      </w:r>
    </w:p>
    <w:p w14:paraId="68996808" w14:textId="77777777" w:rsidR="0019541C" w:rsidRPr="0019541C" w:rsidRDefault="0019541C" w:rsidP="0019541C">
      <w:pPr>
        <w:numPr>
          <w:ilvl w:val="0"/>
          <w:numId w:val="27"/>
        </w:numPr>
        <w:contextualSpacing/>
        <w:rPr>
          <w:szCs w:val="22"/>
        </w:rPr>
      </w:pPr>
      <w:r w:rsidRPr="0019541C">
        <w:rPr>
          <w:szCs w:val="22"/>
        </w:rPr>
        <w:t>These changes primarily affect medical practitioners, however, allied health professionals providing MBS services should be aware of the changes to plan and referral requirements.</w:t>
      </w:r>
    </w:p>
    <w:p w14:paraId="6038F989" w14:textId="739760FA" w:rsidR="0019541C" w:rsidRPr="0019541C" w:rsidRDefault="0019541C" w:rsidP="0019541C">
      <w:pPr>
        <w:numPr>
          <w:ilvl w:val="0"/>
          <w:numId w:val="27"/>
        </w:numPr>
        <w:spacing w:before="0" w:after="60" w:line="280" w:lineRule="exact"/>
      </w:pPr>
      <w:r>
        <w:t xml:space="preserve">Transition arrangements will be in place for </w:t>
      </w:r>
      <w:r w:rsidR="2D1F7092">
        <w:t xml:space="preserve">2 </w:t>
      </w:r>
      <w:r>
        <w:t>years to ensure current patients do</w:t>
      </w:r>
      <w:r w:rsidR="5713CD71">
        <w:t xml:space="preserve"> not</w:t>
      </w:r>
      <w:r>
        <w:t xml:space="preserve"> lose access to services.</w:t>
      </w:r>
    </w:p>
    <w:p w14:paraId="44460BF5" w14:textId="29A2ED51" w:rsidR="00064168" w:rsidRPr="00867595" w:rsidRDefault="00064168" w:rsidP="00064168">
      <w:pPr>
        <w:pStyle w:val="Heading2"/>
      </w:pPr>
      <w:r w:rsidRPr="00867595">
        <w:t>What are the changes?</w:t>
      </w:r>
    </w:p>
    <w:p w14:paraId="35E22022" w14:textId="6274774B" w:rsidR="004C1BAD" w:rsidRPr="004C1BAD" w:rsidRDefault="00BD20B6" w:rsidP="008B4941">
      <w:pPr>
        <w:spacing w:before="0" w:after="60" w:line="280" w:lineRule="exact"/>
        <w:rPr>
          <w:szCs w:val="22"/>
        </w:rPr>
      </w:pPr>
      <w:r>
        <w:rPr>
          <w:szCs w:val="22"/>
        </w:rPr>
        <w:t>F</w:t>
      </w:r>
      <w:r w:rsidR="004C1BAD" w:rsidRPr="004C1BAD">
        <w:rPr>
          <w:szCs w:val="22"/>
        </w:rPr>
        <w:t>rom 1 July 2025:</w:t>
      </w:r>
    </w:p>
    <w:p w14:paraId="3EF77D96" w14:textId="058D3E8F" w:rsidR="004C1BAD" w:rsidRPr="004C1BAD" w:rsidRDefault="004C1BAD" w:rsidP="004C1BAD">
      <w:pPr>
        <w:numPr>
          <w:ilvl w:val="0"/>
          <w:numId w:val="27"/>
        </w:numPr>
        <w:spacing w:before="0" w:after="60" w:line="280" w:lineRule="exact"/>
        <w:rPr>
          <w:szCs w:val="22"/>
        </w:rPr>
      </w:pPr>
      <w:r w:rsidRPr="004C1BAD">
        <w:rPr>
          <w:szCs w:val="22"/>
        </w:rPr>
        <w:t>Items for GP management plans (229, 721, 92024, 92055), team care arrangements (230, 723, 92025, 92056) and reviews (233, 732, 92028, 92059) will cease and be replaced with a new streamlined GP chronic condition management plan (see table below for item numbers)</w:t>
      </w:r>
    </w:p>
    <w:p w14:paraId="3799B70A" w14:textId="12438666" w:rsidR="004C1BAD" w:rsidRPr="004C1BAD" w:rsidRDefault="004C1BAD" w:rsidP="004C1BAD">
      <w:pPr>
        <w:numPr>
          <w:ilvl w:val="0"/>
          <w:numId w:val="31"/>
        </w:numPr>
        <w:spacing w:before="0" w:after="60" w:line="280" w:lineRule="exact"/>
        <w:ind w:left="709"/>
        <w:rPr>
          <w:szCs w:val="22"/>
        </w:rPr>
      </w:pPr>
      <w:r w:rsidRPr="004C1BAD">
        <w:rPr>
          <w:szCs w:val="22"/>
        </w:rPr>
        <w:t>The updated framework will be known as chronic condition management</w:t>
      </w:r>
      <w:r w:rsidR="00187E5A">
        <w:rPr>
          <w:szCs w:val="22"/>
        </w:rPr>
        <w:t>.</w:t>
      </w:r>
    </w:p>
    <w:p w14:paraId="6022B22F" w14:textId="1BB86583" w:rsidR="0016171D" w:rsidRPr="0016171D" w:rsidRDefault="004C1BAD" w:rsidP="0016171D">
      <w:pPr>
        <w:numPr>
          <w:ilvl w:val="0"/>
          <w:numId w:val="31"/>
        </w:numPr>
        <w:spacing w:before="0" w:after="60" w:line="280" w:lineRule="exact"/>
        <w:ind w:left="709"/>
        <w:rPr>
          <w:szCs w:val="22"/>
        </w:rPr>
      </w:pPr>
      <w:r w:rsidRPr="004C1BAD">
        <w:rPr>
          <w:szCs w:val="22"/>
        </w:rPr>
        <w:t xml:space="preserve">The GP chronic condition management plan will be available to patients with at least one medical condition that has been (or is likely to be) present for at least 6 </w:t>
      </w:r>
      <w:proofErr w:type="gramStart"/>
      <w:r w:rsidRPr="004C1BAD">
        <w:rPr>
          <w:szCs w:val="22"/>
        </w:rPr>
        <w:t>months,</w:t>
      </w:r>
      <w:r w:rsidR="000131E1">
        <w:rPr>
          <w:szCs w:val="22"/>
        </w:rPr>
        <w:t xml:space="preserve"> </w:t>
      </w:r>
      <w:r w:rsidRPr="004C1BAD">
        <w:rPr>
          <w:szCs w:val="22"/>
        </w:rPr>
        <w:t>or</w:t>
      </w:r>
      <w:proofErr w:type="gramEnd"/>
      <w:r w:rsidRPr="004C1BAD">
        <w:rPr>
          <w:szCs w:val="22"/>
        </w:rPr>
        <w:t xml:space="preserve"> is terminal</w:t>
      </w:r>
      <w:r w:rsidR="00187E5A">
        <w:rPr>
          <w:szCs w:val="22"/>
        </w:rPr>
        <w:t>.</w:t>
      </w:r>
    </w:p>
    <w:p w14:paraId="33A73970" w14:textId="4E0588F5" w:rsidR="0016171D" w:rsidRDefault="0016171D" w:rsidP="004C1BAD">
      <w:pPr>
        <w:numPr>
          <w:ilvl w:val="0"/>
          <w:numId w:val="31"/>
        </w:numPr>
        <w:spacing w:before="0" w:after="60" w:line="280" w:lineRule="exact"/>
        <w:ind w:left="709"/>
        <w:rPr>
          <w:szCs w:val="22"/>
        </w:rPr>
      </w:pPr>
      <w:r w:rsidRPr="0016171D">
        <w:rPr>
          <w:szCs w:val="22"/>
        </w:rPr>
        <w:t xml:space="preserve">To support continuity of care, patients registered through </w:t>
      </w:r>
      <w:proofErr w:type="spellStart"/>
      <w:r w:rsidRPr="0016171D">
        <w:rPr>
          <w:szCs w:val="22"/>
        </w:rPr>
        <w:t>MyMedicare</w:t>
      </w:r>
      <w:proofErr w:type="spellEnd"/>
      <w:r w:rsidRPr="0016171D">
        <w:rPr>
          <w:szCs w:val="22"/>
        </w:rPr>
        <w:t xml:space="preserve"> will be required to access the GP chronic condition management plan and review items through the practice where they are registered. Other patients will be able to access the items through their usual GP</w:t>
      </w:r>
      <w:r w:rsidR="00187E5A">
        <w:rPr>
          <w:szCs w:val="22"/>
        </w:rPr>
        <w:t>.</w:t>
      </w:r>
    </w:p>
    <w:p w14:paraId="3AA236CC" w14:textId="5A9BEF49" w:rsidR="004C1BAD" w:rsidRPr="004C1BAD" w:rsidRDefault="004C1BAD" w:rsidP="004C1BAD">
      <w:pPr>
        <w:numPr>
          <w:ilvl w:val="0"/>
          <w:numId w:val="31"/>
        </w:numPr>
        <w:spacing w:before="0" w:after="60" w:line="280" w:lineRule="exact"/>
        <w:ind w:left="709"/>
        <w:rPr>
          <w:szCs w:val="22"/>
        </w:rPr>
      </w:pPr>
      <w:r w:rsidRPr="004C1BAD">
        <w:rPr>
          <w:szCs w:val="22"/>
        </w:rPr>
        <w:t>The plans are intended to support patients that would benefit from a structured approach to their care</w:t>
      </w:r>
      <w:r w:rsidR="00187E5A">
        <w:rPr>
          <w:szCs w:val="22"/>
        </w:rPr>
        <w:t>.</w:t>
      </w:r>
    </w:p>
    <w:p w14:paraId="7C1D0539" w14:textId="3F1D21B2" w:rsidR="004C1BAD" w:rsidRPr="004C1BAD" w:rsidRDefault="004C1BAD" w:rsidP="3B6C5B60">
      <w:pPr>
        <w:numPr>
          <w:ilvl w:val="0"/>
          <w:numId w:val="31"/>
        </w:numPr>
        <w:spacing w:before="0" w:after="60" w:line="280" w:lineRule="exact"/>
        <w:ind w:left="709"/>
      </w:pPr>
      <w:r>
        <w:t>Patients will be eligible for the plan</w:t>
      </w:r>
      <w:r w:rsidR="41E664E2">
        <w:t xml:space="preserve"> if</w:t>
      </w:r>
      <w:r>
        <w:t xml:space="preserve"> their condition is managed by their GP or prescribed medical practitioner, </w:t>
      </w:r>
      <w:r w:rsidR="00982BC0">
        <w:t xml:space="preserve">whether </w:t>
      </w:r>
      <w:r>
        <w:t>or</w:t>
      </w:r>
      <w:r w:rsidR="00982BC0">
        <w:t xml:space="preserve"> not</w:t>
      </w:r>
      <w:r>
        <w:t xml:space="preserve"> multidisciplinary care is required</w:t>
      </w:r>
      <w:r w:rsidR="00187E5A">
        <w:t>.</w:t>
      </w:r>
    </w:p>
    <w:p w14:paraId="005E691A" w14:textId="7E415265" w:rsidR="004C1BAD" w:rsidRPr="004C1BAD" w:rsidRDefault="004C1BAD" w:rsidP="004C1BAD">
      <w:pPr>
        <w:numPr>
          <w:ilvl w:val="0"/>
          <w:numId w:val="31"/>
        </w:numPr>
        <w:spacing w:before="0" w:after="60" w:line="280" w:lineRule="exact"/>
        <w:ind w:left="709"/>
        <w:rPr>
          <w:szCs w:val="22"/>
        </w:rPr>
      </w:pPr>
      <w:r w:rsidRPr="004C1BAD">
        <w:rPr>
          <w:szCs w:val="22"/>
        </w:rPr>
        <w:t>Where multidisciplinary care is required, patients will be able to access the same range of services currently available through GP management plans and team care arrangements</w:t>
      </w:r>
      <w:r w:rsidR="00187E5A">
        <w:rPr>
          <w:szCs w:val="22"/>
        </w:rPr>
        <w:t>.</w:t>
      </w:r>
    </w:p>
    <w:p w14:paraId="40F2B4A1" w14:textId="59326B0A" w:rsidR="004C1BAD" w:rsidRPr="004C1BAD" w:rsidRDefault="004C1BAD" w:rsidP="004C1BAD">
      <w:pPr>
        <w:numPr>
          <w:ilvl w:val="0"/>
          <w:numId w:val="31"/>
        </w:numPr>
        <w:spacing w:before="0" w:after="60" w:line="280" w:lineRule="exact"/>
        <w:ind w:left="709"/>
        <w:rPr>
          <w:szCs w:val="22"/>
        </w:rPr>
      </w:pPr>
      <w:r w:rsidRPr="004C1BAD">
        <w:rPr>
          <w:szCs w:val="22"/>
        </w:rPr>
        <w:t>GPs and prescribed medical practitioners will refer patients with a GP chronic condition management plan to allied health services directly. The requirement to consult with at least two collaborating providers, as described under the current team care arrangements will be removed</w:t>
      </w:r>
      <w:r w:rsidR="00127AF4">
        <w:rPr>
          <w:szCs w:val="22"/>
        </w:rPr>
        <w:t>.</w:t>
      </w:r>
    </w:p>
    <w:p w14:paraId="3A086872" w14:textId="42C797BA" w:rsidR="004C1BAD" w:rsidRPr="004C1BAD" w:rsidRDefault="004C1BAD" w:rsidP="004C1BAD">
      <w:pPr>
        <w:numPr>
          <w:ilvl w:val="0"/>
          <w:numId w:val="31"/>
        </w:numPr>
        <w:spacing w:before="0" w:after="60" w:line="280" w:lineRule="exact"/>
        <w:ind w:left="709"/>
        <w:rPr>
          <w:szCs w:val="22"/>
        </w:rPr>
      </w:pPr>
      <w:r w:rsidRPr="004C1BAD">
        <w:rPr>
          <w:szCs w:val="22"/>
        </w:rPr>
        <w:lastRenderedPageBreak/>
        <w:t>Practice nurses, Aboriginal and Torres Strait Islander health practitioners and Aboriginal health workers will be able to assist the GP or prescribed medical practitioner to prepare or review a GP chronic condition management plan</w:t>
      </w:r>
      <w:r w:rsidR="0016171D">
        <w:rPr>
          <w:szCs w:val="22"/>
        </w:rPr>
        <w:t>.</w:t>
      </w:r>
    </w:p>
    <w:p w14:paraId="42005F3C" w14:textId="5A45FCF5" w:rsidR="004C1BAD" w:rsidRPr="004C1BAD" w:rsidRDefault="004C1BAD" w:rsidP="004C1BAD">
      <w:pPr>
        <w:numPr>
          <w:ilvl w:val="0"/>
          <w:numId w:val="27"/>
        </w:numPr>
        <w:spacing w:before="0" w:after="60" w:line="280" w:lineRule="exact"/>
      </w:pPr>
      <w:r>
        <w:t xml:space="preserve">To encourage reviews and ongoing care, the MBS fees for planning and review items will be equalised. </w:t>
      </w:r>
      <w:r w:rsidR="222ED516">
        <w:t xml:space="preserve">The fee for the preparation </w:t>
      </w:r>
      <w:r w:rsidR="37610EC7">
        <w:t>or</w:t>
      </w:r>
      <w:r w:rsidR="222ED516">
        <w:t xml:space="preserve"> review of a plan will be </w:t>
      </w:r>
      <w:r w:rsidR="222ED516" w:rsidRPr="3B6C5B60">
        <w:rPr>
          <w:b/>
          <w:bCs/>
        </w:rPr>
        <w:t>$156.55</w:t>
      </w:r>
      <w:r w:rsidR="222ED516">
        <w:t xml:space="preserve"> for GPs and </w:t>
      </w:r>
      <w:r w:rsidR="222ED516" w:rsidRPr="3B6C5B60">
        <w:rPr>
          <w:b/>
          <w:bCs/>
        </w:rPr>
        <w:t>$125.30</w:t>
      </w:r>
      <w:r w:rsidR="222ED516">
        <w:t xml:space="preserve"> for prescribed medical </w:t>
      </w:r>
      <w:r w:rsidR="5592DD86">
        <w:t>practitioners</w:t>
      </w:r>
      <w:r w:rsidR="222ED516">
        <w:t xml:space="preserve">. </w:t>
      </w:r>
      <w:r>
        <w:t>Patients will also need to have their GP chronic condition management plan prepared or reviewed in the previous 18 months to continue to access allied health services</w:t>
      </w:r>
    </w:p>
    <w:p w14:paraId="235269A0" w14:textId="772F7F36" w:rsidR="004C1BAD" w:rsidRPr="004C1BAD" w:rsidRDefault="004C1BAD" w:rsidP="004C1BAD">
      <w:pPr>
        <w:numPr>
          <w:ilvl w:val="0"/>
          <w:numId w:val="31"/>
        </w:numPr>
        <w:spacing w:before="0" w:after="60" w:line="280" w:lineRule="exact"/>
        <w:ind w:left="709"/>
        <w:rPr>
          <w:szCs w:val="22"/>
        </w:rPr>
      </w:pPr>
      <w:r w:rsidRPr="004C1BAD">
        <w:rPr>
          <w:szCs w:val="22"/>
        </w:rPr>
        <w:t>Consistent with current arrangements, unless exceptional circumstances apply, a GP chronic condition management plan can be prepared once every 12 months (if necessary</w:t>
      </w:r>
      <w:proofErr w:type="gramStart"/>
      <w:r w:rsidRPr="004C1BAD">
        <w:rPr>
          <w:szCs w:val="22"/>
        </w:rPr>
        <w:t>)</w:t>
      </w:r>
      <w:proofErr w:type="gramEnd"/>
      <w:r w:rsidRPr="004C1BAD">
        <w:rPr>
          <w:szCs w:val="22"/>
        </w:rPr>
        <w:t xml:space="preserve"> and reviews can be conducted once every 3 months. It is not required that a new plan be prepared each year, existing plans can continue to be reviewed</w:t>
      </w:r>
      <w:r w:rsidR="0016171D">
        <w:rPr>
          <w:szCs w:val="22"/>
        </w:rPr>
        <w:t>.</w:t>
      </w:r>
    </w:p>
    <w:p w14:paraId="2BAAD706" w14:textId="1421FA34" w:rsidR="004C1BAD" w:rsidRPr="004C1BAD" w:rsidRDefault="004C1BAD" w:rsidP="004C1BAD">
      <w:pPr>
        <w:numPr>
          <w:ilvl w:val="0"/>
          <w:numId w:val="27"/>
        </w:numPr>
        <w:spacing w:before="0" w:after="60" w:line="280" w:lineRule="exact"/>
        <w:rPr>
          <w:szCs w:val="22"/>
        </w:rPr>
      </w:pPr>
      <w:r w:rsidRPr="004C1BAD">
        <w:rPr>
          <w:szCs w:val="22"/>
        </w:rPr>
        <w:t>The current referral form for allied health services will no longer be required. Referrals will be in the form of referral letters, consistent with the arrangements for referrals to medical specialists</w:t>
      </w:r>
      <w:r w:rsidR="0016171D">
        <w:rPr>
          <w:szCs w:val="22"/>
        </w:rPr>
        <w:t>.</w:t>
      </w:r>
    </w:p>
    <w:p w14:paraId="01575B1A" w14:textId="6F6A46B8" w:rsidR="00F10F6A" w:rsidRDefault="004C1BAD" w:rsidP="004C1BAD">
      <w:pPr>
        <w:numPr>
          <w:ilvl w:val="0"/>
          <w:numId w:val="27"/>
        </w:numPr>
        <w:spacing w:before="0" w:after="60" w:line="280" w:lineRule="exact"/>
      </w:pPr>
      <w:r w:rsidRPr="3B6C5B60">
        <w:rPr>
          <w:b/>
          <w:bCs/>
        </w:rPr>
        <w:t>Patients that had a GP management plan and/or team care arrangement in place prior to 1 July 2025 will be able to continue to access services consistent with those plans for two years. From 1 July 2027, a GP chronic condition management plan will be required for ongoing access to allied health services</w:t>
      </w:r>
      <w:r w:rsidR="0016171D">
        <w:rPr>
          <w:b/>
          <w:bCs/>
        </w:rPr>
        <w:t>.</w:t>
      </w:r>
    </w:p>
    <w:p w14:paraId="5407C7FC" w14:textId="6EDEA46C" w:rsidR="004C1BAD" w:rsidRPr="004C1BAD" w:rsidRDefault="00C14251" w:rsidP="004C1BAD">
      <w:pPr>
        <w:numPr>
          <w:ilvl w:val="0"/>
          <w:numId w:val="27"/>
        </w:numPr>
        <w:spacing w:before="0" w:after="60" w:line="280" w:lineRule="exact"/>
        <w:rPr>
          <w:szCs w:val="22"/>
        </w:rPr>
      </w:pPr>
      <w:r>
        <w:rPr>
          <w:szCs w:val="22"/>
        </w:rPr>
        <w:t>F</w:t>
      </w:r>
      <w:r w:rsidR="004C1BAD" w:rsidRPr="004C1BAD">
        <w:rPr>
          <w:szCs w:val="22"/>
        </w:rPr>
        <w:t>rom 1 July 2027, a GP chronic condition management plan will be required to access domiciliary medication management reviews (items 245 and 900)</w:t>
      </w:r>
      <w:r w:rsidR="0016171D">
        <w:rPr>
          <w:szCs w:val="22"/>
        </w:rPr>
        <w:t>.</w:t>
      </w:r>
    </w:p>
    <w:p w14:paraId="0182A27A" w14:textId="12EDB01F" w:rsidR="004C1BAD" w:rsidRDefault="004C1BAD" w:rsidP="3B6C5B60">
      <w:pPr>
        <w:numPr>
          <w:ilvl w:val="0"/>
          <w:numId w:val="27"/>
        </w:numPr>
        <w:spacing w:before="0" w:after="60" w:line="280" w:lineRule="exact"/>
      </w:pPr>
      <w:r>
        <w:t>These changes do not affect multidisciplinary care plan items (231, 232, 729, 731, 92026, 92027, 92057, 92058)</w:t>
      </w:r>
      <w:r w:rsidR="0016171D">
        <w:t>.</w:t>
      </w:r>
    </w:p>
    <w:p w14:paraId="2478E5A6" w14:textId="77777777" w:rsidR="004C1BAD" w:rsidRPr="004C1BAD" w:rsidRDefault="004C1BAD" w:rsidP="004C1BAD">
      <w:pPr>
        <w:rPr>
          <w:b/>
          <w:iCs/>
          <w:szCs w:val="22"/>
        </w:rPr>
      </w:pPr>
      <w:r w:rsidRPr="004C1BAD">
        <w:rPr>
          <w:b/>
          <w:iCs/>
          <w:szCs w:val="22"/>
        </w:rPr>
        <w:t xml:space="preserve">Table 1: Chronic Condition Management Items commencing 1 July 2025* </w:t>
      </w:r>
    </w:p>
    <w:tbl>
      <w:tblPr>
        <w:tblStyle w:val="GridTable4-Accent2"/>
        <w:tblW w:w="9214" w:type="dxa"/>
        <w:tblInd w:w="-147" w:type="dxa"/>
        <w:tblLook w:val="04A0" w:firstRow="1" w:lastRow="0" w:firstColumn="1" w:lastColumn="0" w:noHBand="0" w:noVBand="1"/>
        <w:tblCaption w:val="COVID-19 Standard GP Telehealth Services"/>
        <w:tblDescription w:val="Provides the MBS item numbers for the standard GP video-conference and telephone services "/>
      </w:tblPr>
      <w:tblGrid>
        <w:gridCol w:w="3970"/>
        <w:gridCol w:w="2172"/>
        <w:gridCol w:w="3072"/>
      </w:tblGrid>
      <w:tr w:rsidR="004C1BAD" w:rsidRPr="004C1BAD" w14:paraId="25D9AD85" w14:textId="77777777" w:rsidTr="3B6C5B6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4D0EE021" w14:textId="77777777" w:rsidR="004C1BAD" w:rsidRPr="004C1BAD" w:rsidRDefault="004C1BAD" w:rsidP="004C1BAD">
            <w:pPr>
              <w:rPr>
                <w:b w:val="0"/>
                <w:bCs w:val="0"/>
                <w:sz w:val="20"/>
                <w:szCs w:val="20"/>
              </w:rPr>
            </w:pPr>
            <w:r w:rsidRPr="004C1BAD">
              <w:rPr>
                <w:sz w:val="20"/>
                <w:szCs w:val="20"/>
              </w:rPr>
              <w:t>Name of Item</w:t>
            </w:r>
          </w:p>
        </w:tc>
        <w:tc>
          <w:tcPr>
            <w:tcW w:w="2172" w:type="dxa"/>
          </w:tcPr>
          <w:p w14:paraId="4EB92F20" w14:textId="77777777" w:rsidR="004C1BAD" w:rsidRPr="004C1BAD" w:rsidRDefault="004C1BAD" w:rsidP="004C1BA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C1BAD">
              <w:rPr>
                <w:sz w:val="20"/>
                <w:szCs w:val="20"/>
              </w:rPr>
              <w:t>GP item number</w:t>
            </w:r>
          </w:p>
        </w:tc>
        <w:tc>
          <w:tcPr>
            <w:tcW w:w="3072" w:type="dxa"/>
          </w:tcPr>
          <w:p w14:paraId="3151B000" w14:textId="77777777" w:rsidR="004C1BAD" w:rsidRPr="004C1BAD" w:rsidRDefault="004C1BAD" w:rsidP="004C1BAD">
            <w:pP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C1BAD">
              <w:rPr>
                <w:sz w:val="20"/>
                <w:szCs w:val="20"/>
              </w:rPr>
              <w:t>Prescribed medical practitioner item number</w:t>
            </w:r>
          </w:p>
        </w:tc>
      </w:tr>
      <w:tr w:rsidR="004C1BAD" w:rsidRPr="004C1BAD" w14:paraId="2C3996BF" w14:textId="77777777" w:rsidTr="3B6C5B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2AE27FAA" w14:textId="6FF23E93" w:rsidR="004C1BAD" w:rsidRPr="004C1BAD" w:rsidRDefault="76ECC608" w:rsidP="3B6C5B60">
            <w:pPr>
              <w:rPr>
                <w:sz w:val="20"/>
                <w:szCs w:val="20"/>
              </w:rPr>
            </w:pPr>
            <w:r w:rsidRPr="3B6C5B60">
              <w:rPr>
                <w:sz w:val="20"/>
                <w:szCs w:val="20"/>
              </w:rPr>
              <w:t>Prepare</w:t>
            </w:r>
            <w:r w:rsidR="004C1BAD" w:rsidRPr="3B6C5B60">
              <w:rPr>
                <w:sz w:val="20"/>
                <w:szCs w:val="20"/>
              </w:rPr>
              <w:t xml:space="preserve"> a GP chronic condition management plan – face to face</w:t>
            </w:r>
          </w:p>
        </w:tc>
        <w:tc>
          <w:tcPr>
            <w:tcW w:w="2172" w:type="dxa"/>
          </w:tcPr>
          <w:p w14:paraId="4E486703" w14:textId="77777777" w:rsidR="004C1BAD" w:rsidRPr="004C1BAD" w:rsidRDefault="004C1BAD" w:rsidP="004C1BAD">
            <w:pPr>
              <w:cnfStyle w:val="000000100000" w:firstRow="0" w:lastRow="0" w:firstColumn="0" w:lastColumn="0" w:oddVBand="0" w:evenVBand="0" w:oddHBand="1" w:evenHBand="0" w:firstRowFirstColumn="0" w:firstRowLastColumn="0" w:lastRowFirstColumn="0" w:lastRowLastColumn="0"/>
              <w:rPr>
                <w:bCs/>
                <w:iCs/>
                <w:sz w:val="20"/>
                <w:szCs w:val="20"/>
              </w:rPr>
            </w:pPr>
            <w:r w:rsidRPr="004C1BAD">
              <w:rPr>
                <w:bCs/>
                <w:iCs/>
                <w:sz w:val="20"/>
                <w:szCs w:val="20"/>
              </w:rPr>
              <w:t>965</w:t>
            </w:r>
          </w:p>
        </w:tc>
        <w:tc>
          <w:tcPr>
            <w:tcW w:w="3072" w:type="dxa"/>
          </w:tcPr>
          <w:p w14:paraId="4AA4B827" w14:textId="77777777" w:rsidR="004C1BAD" w:rsidRPr="004C1BAD" w:rsidRDefault="004C1BAD" w:rsidP="004C1BAD">
            <w:pPr>
              <w:cnfStyle w:val="000000100000" w:firstRow="0" w:lastRow="0" w:firstColumn="0" w:lastColumn="0" w:oddVBand="0" w:evenVBand="0" w:oddHBand="1" w:evenHBand="0" w:firstRowFirstColumn="0" w:firstRowLastColumn="0" w:lastRowFirstColumn="0" w:lastRowLastColumn="0"/>
              <w:rPr>
                <w:bCs/>
                <w:iCs/>
                <w:sz w:val="20"/>
                <w:szCs w:val="20"/>
              </w:rPr>
            </w:pPr>
            <w:r w:rsidRPr="004C1BAD">
              <w:rPr>
                <w:bCs/>
                <w:iCs/>
                <w:sz w:val="20"/>
                <w:szCs w:val="20"/>
              </w:rPr>
              <w:t>392</w:t>
            </w:r>
          </w:p>
        </w:tc>
      </w:tr>
      <w:tr w:rsidR="004C1BAD" w:rsidRPr="004C1BAD" w14:paraId="39E3CD10" w14:textId="77777777" w:rsidTr="3B6C5B60">
        <w:trPr>
          <w:trHeight w:val="397"/>
        </w:trPr>
        <w:tc>
          <w:tcPr>
            <w:cnfStyle w:val="001000000000" w:firstRow="0" w:lastRow="0" w:firstColumn="1" w:lastColumn="0" w:oddVBand="0" w:evenVBand="0" w:oddHBand="0" w:evenHBand="0" w:firstRowFirstColumn="0" w:firstRowLastColumn="0" w:lastRowFirstColumn="0" w:lastRowLastColumn="0"/>
            <w:tcW w:w="3970" w:type="dxa"/>
          </w:tcPr>
          <w:p w14:paraId="3858EA6A" w14:textId="7AC9A6FE" w:rsidR="004C1BAD" w:rsidRPr="004C1BAD" w:rsidRDefault="01926484" w:rsidP="3B6C5B60">
            <w:pPr>
              <w:rPr>
                <w:sz w:val="20"/>
                <w:szCs w:val="20"/>
              </w:rPr>
            </w:pPr>
            <w:r w:rsidRPr="3B6C5B60">
              <w:rPr>
                <w:sz w:val="20"/>
                <w:szCs w:val="20"/>
              </w:rPr>
              <w:t>Prepare</w:t>
            </w:r>
            <w:r w:rsidR="004C1BAD" w:rsidRPr="3B6C5B60">
              <w:rPr>
                <w:sz w:val="20"/>
                <w:szCs w:val="20"/>
              </w:rPr>
              <w:t xml:space="preserve"> a GP chronic condition management plan - </w:t>
            </w:r>
            <w:r w:rsidR="47B8BFCB" w:rsidRPr="3B6C5B60">
              <w:rPr>
                <w:sz w:val="20"/>
                <w:szCs w:val="20"/>
              </w:rPr>
              <w:t>video</w:t>
            </w:r>
          </w:p>
        </w:tc>
        <w:tc>
          <w:tcPr>
            <w:tcW w:w="2172" w:type="dxa"/>
          </w:tcPr>
          <w:p w14:paraId="4625B3DB" w14:textId="77777777" w:rsidR="004C1BAD" w:rsidRPr="004C1BAD" w:rsidRDefault="004C1BAD" w:rsidP="004C1BAD">
            <w:pPr>
              <w:cnfStyle w:val="000000000000" w:firstRow="0" w:lastRow="0" w:firstColumn="0" w:lastColumn="0" w:oddVBand="0" w:evenVBand="0" w:oddHBand="0" w:evenHBand="0" w:firstRowFirstColumn="0" w:firstRowLastColumn="0" w:lastRowFirstColumn="0" w:lastRowLastColumn="0"/>
              <w:rPr>
                <w:bCs/>
                <w:iCs/>
                <w:sz w:val="20"/>
                <w:szCs w:val="20"/>
              </w:rPr>
            </w:pPr>
            <w:r w:rsidRPr="004C1BAD">
              <w:rPr>
                <w:bCs/>
                <w:iCs/>
                <w:sz w:val="20"/>
                <w:szCs w:val="20"/>
              </w:rPr>
              <w:t>92029</w:t>
            </w:r>
          </w:p>
        </w:tc>
        <w:tc>
          <w:tcPr>
            <w:tcW w:w="3072" w:type="dxa"/>
          </w:tcPr>
          <w:p w14:paraId="2F71C01C" w14:textId="77777777" w:rsidR="004C1BAD" w:rsidRPr="004C1BAD" w:rsidRDefault="004C1BAD" w:rsidP="004C1BAD">
            <w:pPr>
              <w:cnfStyle w:val="000000000000" w:firstRow="0" w:lastRow="0" w:firstColumn="0" w:lastColumn="0" w:oddVBand="0" w:evenVBand="0" w:oddHBand="0" w:evenHBand="0" w:firstRowFirstColumn="0" w:firstRowLastColumn="0" w:lastRowFirstColumn="0" w:lastRowLastColumn="0"/>
              <w:rPr>
                <w:bCs/>
                <w:iCs/>
                <w:sz w:val="20"/>
                <w:szCs w:val="20"/>
              </w:rPr>
            </w:pPr>
            <w:r w:rsidRPr="004C1BAD">
              <w:rPr>
                <w:bCs/>
                <w:iCs/>
                <w:sz w:val="20"/>
                <w:szCs w:val="20"/>
              </w:rPr>
              <w:t>92060</w:t>
            </w:r>
          </w:p>
        </w:tc>
      </w:tr>
      <w:tr w:rsidR="004C1BAD" w:rsidRPr="004C1BAD" w14:paraId="3111B92F" w14:textId="77777777" w:rsidTr="3B6C5B60">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70" w:type="dxa"/>
          </w:tcPr>
          <w:p w14:paraId="733E9EF3" w14:textId="77777777" w:rsidR="004C1BAD" w:rsidRPr="004C1BAD" w:rsidRDefault="004C1BAD" w:rsidP="004C1BAD">
            <w:pPr>
              <w:rPr>
                <w:bCs w:val="0"/>
                <w:iCs/>
                <w:sz w:val="20"/>
                <w:szCs w:val="20"/>
              </w:rPr>
            </w:pPr>
            <w:r w:rsidRPr="004C1BAD">
              <w:rPr>
                <w:bCs w:val="0"/>
                <w:iCs/>
                <w:sz w:val="20"/>
                <w:szCs w:val="20"/>
              </w:rPr>
              <w:t>Review a GP chronic condition management plan – face to face</w:t>
            </w:r>
          </w:p>
        </w:tc>
        <w:tc>
          <w:tcPr>
            <w:tcW w:w="2172" w:type="dxa"/>
          </w:tcPr>
          <w:p w14:paraId="4464BCB3" w14:textId="77777777" w:rsidR="004C1BAD" w:rsidRPr="004C1BAD" w:rsidRDefault="004C1BAD" w:rsidP="004C1BAD">
            <w:pPr>
              <w:cnfStyle w:val="000000100000" w:firstRow="0" w:lastRow="0" w:firstColumn="0" w:lastColumn="0" w:oddVBand="0" w:evenVBand="0" w:oddHBand="1" w:evenHBand="0" w:firstRowFirstColumn="0" w:firstRowLastColumn="0" w:lastRowFirstColumn="0" w:lastRowLastColumn="0"/>
              <w:rPr>
                <w:bCs/>
                <w:iCs/>
                <w:sz w:val="20"/>
                <w:szCs w:val="20"/>
              </w:rPr>
            </w:pPr>
            <w:r w:rsidRPr="004C1BAD">
              <w:rPr>
                <w:bCs/>
                <w:iCs/>
                <w:sz w:val="20"/>
                <w:szCs w:val="20"/>
              </w:rPr>
              <w:t>967</w:t>
            </w:r>
          </w:p>
        </w:tc>
        <w:tc>
          <w:tcPr>
            <w:tcW w:w="3072" w:type="dxa"/>
          </w:tcPr>
          <w:p w14:paraId="67A7F292" w14:textId="77777777" w:rsidR="004C1BAD" w:rsidRPr="004C1BAD" w:rsidRDefault="004C1BAD" w:rsidP="004C1BAD">
            <w:pPr>
              <w:cnfStyle w:val="000000100000" w:firstRow="0" w:lastRow="0" w:firstColumn="0" w:lastColumn="0" w:oddVBand="0" w:evenVBand="0" w:oddHBand="1" w:evenHBand="0" w:firstRowFirstColumn="0" w:firstRowLastColumn="0" w:lastRowFirstColumn="0" w:lastRowLastColumn="0"/>
              <w:rPr>
                <w:bCs/>
                <w:iCs/>
                <w:sz w:val="20"/>
                <w:szCs w:val="20"/>
              </w:rPr>
            </w:pPr>
            <w:r w:rsidRPr="004C1BAD">
              <w:rPr>
                <w:bCs/>
                <w:iCs/>
                <w:sz w:val="20"/>
                <w:szCs w:val="20"/>
              </w:rPr>
              <w:t>393</w:t>
            </w:r>
          </w:p>
        </w:tc>
      </w:tr>
      <w:tr w:rsidR="004C1BAD" w:rsidRPr="004C1BAD" w14:paraId="71F66E62" w14:textId="77777777" w:rsidTr="3B6C5B60">
        <w:trPr>
          <w:trHeight w:val="397"/>
        </w:trPr>
        <w:tc>
          <w:tcPr>
            <w:cnfStyle w:val="001000000000" w:firstRow="0" w:lastRow="0" w:firstColumn="1" w:lastColumn="0" w:oddVBand="0" w:evenVBand="0" w:oddHBand="0" w:evenHBand="0" w:firstRowFirstColumn="0" w:firstRowLastColumn="0" w:lastRowFirstColumn="0" w:lastRowLastColumn="0"/>
            <w:tcW w:w="3970" w:type="dxa"/>
          </w:tcPr>
          <w:p w14:paraId="0FFA1A5E" w14:textId="4220D04E" w:rsidR="004C1BAD" w:rsidRPr="004C1BAD" w:rsidRDefault="004C1BAD" w:rsidP="3B6C5B60">
            <w:pPr>
              <w:rPr>
                <w:sz w:val="20"/>
                <w:szCs w:val="20"/>
              </w:rPr>
            </w:pPr>
            <w:r w:rsidRPr="3B6C5B60">
              <w:rPr>
                <w:sz w:val="20"/>
                <w:szCs w:val="20"/>
              </w:rPr>
              <w:t xml:space="preserve">Review a GP chronic condition management plan – </w:t>
            </w:r>
            <w:r w:rsidR="2A8B5134" w:rsidRPr="3B6C5B60">
              <w:rPr>
                <w:sz w:val="20"/>
                <w:szCs w:val="20"/>
              </w:rPr>
              <w:t>video</w:t>
            </w:r>
          </w:p>
        </w:tc>
        <w:tc>
          <w:tcPr>
            <w:tcW w:w="2172" w:type="dxa"/>
          </w:tcPr>
          <w:p w14:paraId="08D236E8" w14:textId="77777777" w:rsidR="004C1BAD" w:rsidRPr="004C1BAD" w:rsidRDefault="004C1BAD" w:rsidP="004C1BAD">
            <w:pPr>
              <w:cnfStyle w:val="000000000000" w:firstRow="0" w:lastRow="0" w:firstColumn="0" w:lastColumn="0" w:oddVBand="0" w:evenVBand="0" w:oddHBand="0" w:evenHBand="0" w:firstRowFirstColumn="0" w:firstRowLastColumn="0" w:lastRowFirstColumn="0" w:lastRowLastColumn="0"/>
              <w:rPr>
                <w:bCs/>
                <w:iCs/>
                <w:sz w:val="20"/>
                <w:szCs w:val="20"/>
              </w:rPr>
            </w:pPr>
            <w:r w:rsidRPr="004C1BAD">
              <w:rPr>
                <w:bCs/>
                <w:iCs/>
                <w:sz w:val="20"/>
                <w:szCs w:val="20"/>
              </w:rPr>
              <w:t>92030</w:t>
            </w:r>
          </w:p>
        </w:tc>
        <w:tc>
          <w:tcPr>
            <w:tcW w:w="3072" w:type="dxa"/>
          </w:tcPr>
          <w:p w14:paraId="039122F3" w14:textId="77777777" w:rsidR="004C1BAD" w:rsidRPr="004C1BAD" w:rsidRDefault="004C1BAD" w:rsidP="004C1BAD">
            <w:pPr>
              <w:cnfStyle w:val="000000000000" w:firstRow="0" w:lastRow="0" w:firstColumn="0" w:lastColumn="0" w:oddVBand="0" w:evenVBand="0" w:oddHBand="0" w:evenHBand="0" w:firstRowFirstColumn="0" w:firstRowLastColumn="0" w:lastRowFirstColumn="0" w:lastRowLastColumn="0"/>
              <w:rPr>
                <w:bCs/>
                <w:iCs/>
                <w:sz w:val="20"/>
                <w:szCs w:val="20"/>
              </w:rPr>
            </w:pPr>
            <w:r w:rsidRPr="004C1BAD">
              <w:rPr>
                <w:bCs/>
                <w:iCs/>
                <w:sz w:val="20"/>
                <w:szCs w:val="20"/>
              </w:rPr>
              <w:t>92061</w:t>
            </w:r>
          </w:p>
        </w:tc>
      </w:tr>
    </w:tbl>
    <w:p w14:paraId="15F5A8F4" w14:textId="189826E4" w:rsidR="004C1BAD" w:rsidRPr="004C1BAD" w:rsidRDefault="004C1BAD" w:rsidP="008B4941">
      <w:pPr>
        <w:spacing w:before="0" w:after="60" w:line="280" w:lineRule="exact"/>
        <w:rPr>
          <w:bCs/>
          <w:i/>
          <w:szCs w:val="22"/>
        </w:rPr>
      </w:pPr>
      <w:bookmarkStart w:id="2" w:name="_Hlk198813724"/>
    </w:p>
    <w:bookmarkEnd w:id="2"/>
    <w:p w14:paraId="42BD5171" w14:textId="77777777" w:rsidR="00064168" w:rsidRDefault="00064168" w:rsidP="00064168">
      <w:pPr>
        <w:pStyle w:val="Heading2"/>
      </w:pPr>
      <w:r>
        <w:lastRenderedPageBreak/>
        <w:t>Why are the changes being made?</w:t>
      </w:r>
    </w:p>
    <w:p w14:paraId="4B7BA53A" w14:textId="0743FAA4" w:rsidR="00064168" w:rsidRPr="00867595" w:rsidRDefault="00064168" w:rsidP="00064168">
      <w:bookmarkStart w:id="3" w:name="_Hlk535386664"/>
      <w:r>
        <w:t>These changes are a result o</w:t>
      </w:r>
      <w:r w:rsidR="004D5E3F">
        <w:t>f</w:t>
      </w:r>
      <w:r>
        <w:t xml:space="preserve"> a review by the MBS Review Taskforce, which was informed by </w:t>
      </w:r>
      <w:r w:rsidR="00A67766" w:rsidRPr="00A67766">
        <w:t>the General Practice and Primary Care</w:t>
      </w:r>
      <w:r w:rsidR="00A67766" w:rsidRPr="00A67766">
        <w:rPr>
          <w:b/>
          <w:bCs/>
        </w:rPr>
        <w:t xml:space="preserve"> </w:t>
      </w:r>
      <w:r>
        <w:t xml:space="preserve">Clinical Committee. More information about the Taskforce and associated Committees is available in </w:t>
      </w:r>
      <w:hyperlink r:id="rId7">
        <w:r w:rsidR="0019761F" w:rsidRPr="37A8CB26">
          <w:rPr>
            <w:rStyle w:val="Hyperlink"/>
          </w:rPr>
          <w:t>Medicare Benefits Schedule Review</w:t>
        </w:r>
      </w:hyperlink>
      <w:r>
        <w:t xml:space="preserve"> in the consumer section of the</w:t>
      </w:r>
      <w:r w:rsidR="00C02732">
        <w:t xml:space="preserve"> </w:t>
      </w:r>
      <w:hyperlink r:id="rId8">
        <w:r w:rsidR="0092680C">
          <w:rPr>
            <w:rStyle w:val="Hyperlink"/>
          </w:rPr>
          <w:t>Department of Health, Disability and Ageing website</w:t>
        </w:r>
      </w:hyperlink>
      <w:r>
        <w:t xml:space="preserve">. </w:t>
      </w:r>
    </w:p>
    <w:p w14:paraId="617E7397" w14:textId="7B2754F9" w:rsidR="00064168" w:rsidRPr="00867595" w:rsidRDefault="00064168" w:rsidP="37A8CB26">
      <w:pPr>
        <w:rPr>
          <w:rStyle w:val="Hyperlink"/>
        </w:rPr>
      </w:pPr>
      <w:r>
        <w:t xml:space="preserve">A full copy of the </w:t>
      </w:r>
      <w:r w:rsidR="00A67766" w:rsidRPr="00A67766">
        <w:t>General Practice and Primary Care</w:t>
      </w:r>
      <w:r w:rsidR="00A67766" w:rsidRPr="00A67766">
        <w:rPr>
          <w:b/>
          <w:bCs/>
        </w:rPr>
        <w:t xml:space="preserve"> </w:t>
      </w:r>
      <w:r>
        <w:t>Clinical Committee's final report can be found in the</w:t>
      </w:r>
      <w:r w:rsidRPr="37A8CB26">
        <w:rPr>
          <w:rStyle w:val="Strong"/>
        </w:rPr>
        <w:t xml:space="preserve"> </w:t>
      </w:r>
      <w:hyperlink r:id="rId9" w:history="1">
        <w:r w:rsidR="0092680C">
          <w:rPr>
            <w:rStyle w:val="Hyperlink"/>
          </w:rPr>
          <w:t>Report from the General Practice and Primary Care Clinical Committee – Phase 2 | Australian Government Department of Health, Disability and Ageing</w:t>
        </w:r>
      </w:hyperlink>
      <w:r w:rsidRPr="37A8CB26">
        <w:rPr>
          <w:rStyle w:val="Hyperlink"/>
        </w:rPr>
        <w:t xml:space="preserve"> </w:t>
      </w:r>
      <w:r>
        <w:t xml:space="preserve">section of the </w:t>
      </w:r>
      <w:hyperlink r:id="rId10">
        <w:r w:rsidR="0092680C">
          <w:rPr>
            <w:rStyle w:val="Hyperlink"/>
          </w:rPr>
          <w:t>Department of Health, Disability and Ageing website</w:t>
        </w:r>
      </w:hyperlink>
      <w:bookmarkEnd w:id="3"/>
      <w:r w:rsidR="0019761F" w:rsidRPr="37A8CB26">
        <w:rPr>
          <w:rStyle w:val="Hyperlink"/>
        </w:rPr>
        <w:t>.</w:t>
      </w:r>
    </w:p>
    <w:p w14:paraId="4B2559AC" w14:textId="358FC2EB" w:rsidR="00064168" w:rsidRDefault="00064168" w:rsidP="00064168">
      <w:pPr>
        <w:pStyle w:val="Heading2"/>
      </w:pPr>
      <w:r>
        <w:t>What does this mean for providers?</w:t>
      </w:r>
    </w:p>
    <w:p w14:paraId="5FF288C4" w14:textId="77777777" w:rsidR="004C1BAD" w:rsidRPr="004C1BAD" w:rsidRDefault="004C1BAD" w:rsidP="004C1BAD">
      <w:bookmarkStart w:id="4" w:name="_Hlk174118829"/>
      <w:r w:rsidRPr="004C1BAD">
        <w:rPr>
          <w:szCs w:val="22"/>
        </w:rPr>
        <w:t xml:space="preserve">The changes aim to </w:t>
      </w:r>
      <w:r w:rsidRPr="004C1BAD">
        <w:t>simplify, streamline, and modernise the arrangements for health professionals.</w:t>
      </w:r>
      <w:bookmarkEnd w:id="4"/>
      <w:r w:rsidRPr="004C1BAD">
        <w:t xml:space="preserve"> Key changes include:</w:t>
      </w:r>
    </w:p>
    <w:p w14:paraId="7675B0D9" w14:textId="77777777" w:rsidR="004C1BAD" w:rsidRPr="004C1BAD" w:rsidRDefault="004C1BAD" w:rsidP="004C1BAD">
      <w:pPr>
        <w:numPr>
          <w:ilvl w:val="0"/>
          <w:numId w:val="27"/>
        </w:numPr>
        <w:spacing w:before="0" w:after="60" w:line="280" w:lineRule="exact"/>
        <w:rPr>
          <w:szCs w:val="22"/>
        </w:rPr>
      </w:pPr>
      <w:r w:rsidRPr="004C1BAD">
        <w:rPr>
          <w:szCs w:val="22"/>
        </w:rPr>
        <w:t>Removal of multiple plans</w:t>
      </w:r>
    </w:p>
    <w:p w14:paraId="1C0E7962" w14:textId="77777777" w:rsidR="004C1BAD" w:rsidRPr="004C1BAD" w:rsidRDefault="004C1BAD" w:rsidP="004C1BAD">
      <w:pPr>
        <w:numPr>
          <w:ilvl w:val="0"/>
          <w:numId w:val="27"/>
        </w:numPr>
        <w:spacing w:before="0" w:after="60" w:line="280" w:lineRule="exact"/>
        <w:rPr>
          <w:szCs w:val="22"/>
        </w:rPr>
      </w:pPr>
      <w:r w:rsidRPr="004C1BAD">
        <w:rPr>
          <w:szCs w:val="22"/>
        </w:rPr>
        <w:t>Collaboration with members of the patient’s multidisciplinary team will no longer be required in the development of the plan</w:t>
      </w:r>
    </w:p>
    <w:p w14:paraId="0443F379" w14:textId="25E997A5" w:rsidR="004C1BAD" w:rsidRDefault="004C1BAD" w:rsidP="00551ADB">
      <w:pPr>
        <w:numPr>
          <w:ilvl w:val="0"/>
          <w:numId w:val="27"/>
        </w:numPr>
        <w:spacing w:before="0" w:after="60" w:line="280" w:lineRule="exact"/>
        <w:rPr>
          <w:szCs w:val="22"/>
        </w:rPr>
      </w:pPr>
      <w:r w:rsidRPr="004C1BAD">
        <w:rPr>
          <w:szCs w:val="22"/>
        </w:rPr>
        <w:t>Use of referral letters will support the provision of relevant clinical information to allied health professionals</w:t>
      </w:r>
    </w:p>
    <w:p w14:paraId="74A9AB4E" w14:textId="49696332" w:rsidR="0016171D" w:rsidRPr="0016171D" w:rsidRDefault="0016171D" w:rsidP="0016171D">
      <w:pPr>
        <w:numPr>
          <w:ilvl w:val="0"/>
          <w:numId w:val="27"/>
        </w:numPr>
        <w:spacing w:before="0" w:after="60" w:line="280" w:lineRule="exact"/>
        <w:rPr>
          <w:szCs w:val="22"/>
        </w:rPr>
      </w:pPr>
      <w:r>
        <w:rPr>
          <w:szCs w:val="22"/>
        </w:rPr>
        <w:t>P</w:t>
      </w:r>
      <w:r w:rsidRPr="004C1BAD">
        <w:rPr>
          <w:szCs w:val="22"/>
        </w:rPr>
        <w:t xml:space="preserve">atients registered through </w:t>
      </w:r>
      <w:proofErr w:type="spellStart"/>
      <w:r w:rsidRPr="004C1BAD">
        <w:rPr>
          <w:szCs w:val="22"/>
        </w:rPr>
        <w:t>MyMedicare</w:t>
      </w:r>
      <w:proofErr w:type="spellEnd"/>
      <w:r w:rsidRPr="004C1BAD">
        <w:rPr>
          <w:szCs w:val="22"/>
        </w:rPr>
        <w:t xml:space="preserve"> will be required to access the plan and review items through the practice where they are registered</w:t>
      </w:r>
      <w:r>
        <w:rPr>
          <w:szCs w:val="22"/>
        </w:rPr>
        <w:t>, with o</w:t>
      </w:r>
      <w:r w:rsidRPr="004C1BAD">
        <w:rPr>
          <w:szCs w:val="22"/>
        </w:rPr>
        <w:t xml:space="preserve">ther patients </w:t>
      </w:r>
      <w:r>
        <w:rPr>
          <w:szCs w:val="22"/>
        </w:rPr>
        <w:t xml:space="preserve">continuing </w:t>
      </w:r>
      <w:r w:rsidRPr="004C1BAD">
        <w:rPr>
          <w:szCs w:val="22"/>
        </w:rPr>
        <w:t>to access the items through their usual GP</w:t>
      </w:r>
      <w:r>
        <w:rPr>
          <w:szCs w:val="22"/>
        </w:rPr>
        <w:t>.</w:t>
      </w:r>
    </w:p>
    <w:p w14:paraId="7F7DA4F7" w14:textId="77777777" w:rsidR="00064168" w:rsidRDefault="00064168" w:rsidP="00064168">
      <w:pPr>
        <w:pStyle w:val="Heading2"/>
      </w:pPr>
      <w:r>
        <w:t>How will these changes affect patients</w:t>
      </w:r>
      <w:r w:rsidRPr="001A7FB7">
        <w:t>?</w:t>
      </w:r>
    </w:p>
    <w:p w14:paraId="4A30CC4E" w14:textId="77777777" w:rsidR="004C1BAD" w:rsidRDefault="004C1BAD" w:rsidP="004C1BAD">
      <w:pPr>
        <w:rPr>
          <w:szCs w:val="22"/>
        </w:rPr>
      </w:pPr>
      <w:r>
        <w:rPr>
          <w:szCs w:val="22"/>
        </w:rPr>
        <w:t>Patients will benefit from simplified arrangements. The revised framework will support patients through improved continuity of care and improved arrangements for the transfer of information between members of their care team.</w:t>
      </w:r>
    </w:p>
    <w:p w14:paraId="5BD9BE80" w14:textId="77777777" w:rsidR="00064168" w:rsidRDefault="00064168" w:rsidP="00064168">
      <w:pPr>
        <w:pStyle w:val="Heading2"/>
      </w:pPr>
      <w:r w:rsidRPr="001A7FB7">
        <w:t>Who was consulted on the changes?</w:t>
      </w:r>
    </w:p>
    <w:p w14:paraId="16064E0A" w14:textId="77777777" w:rsidR="004C1BAD" w:rsidRPr="009D20CE" w:rsidRDefault="004C1BAD" w:rsidP="004C1BAD">
      <w:pPr>
        <w:rPr>
          <w:szCs w:val="22"/>
        </w:rPr>
      </w:pPr>
      <w:r w:rsidRPr="009D20CE">
        <w:rPr>
          <w:szCs w:val="22"/>
        </w:rPr>
        <w:t xml:space="preserve">The </w:t>
      </w:r>
      <w:r>
        <w:rPr>
          <w:szCs w:val="22"/>
        </w:rPr>
        <w:t>General Practice and Primary Care Clinical Committee (GPPCCC)</w:t>
      </w:r>
      <w:r w:rsidRPr="009D20CE">
        <w:rPr>
          <w:szCs w:val="22"/>
        </w:rPr>
        <w:t xml:space="preserve"> was established in </w:t>
      </w:r>
      <w:r>
        <w:rPr>
          <w:szCs w:val="22"/>
        </w:rPr>
        <w:t>2016</w:t>
      </w:r>
      <w:r w:rsidRPr="009D20CE">
        <w:rPr>
          <w:szCs w:val="22"/>
        </w:rPr>
        <w:t xml:space="preserve"> by the MBS Review Taskforce (the ‘Taskforce’), to provide broad clinician and consumer expertise. The MBS Review included a public consultation process on the proposed </w:t>
      </w:r>
      <w:r w:rsidRPr="00106EC7">
        <w:rPr>
          <w:szCs w:val="22"/>
        </w:rPr>
        <w:t xml:space="preserve">changes from </w:t>
      </w:r>
      <w:r w:rsidRPr="00C76D6A">
        <w:rPr>
          <w:szCs w:val="22"/>
        </w:rPr>
        <w:t>December 2018 to March 2019</w:t>
      </w:r>
      <w:r w:rsidRPr="00106EC7">
        <w:rPr>
          <w:szCs w:val="22"/>
        </w:rPr>
        <w:t>. Feedback was received</w:t>
      </w:r>
      <w:r w:rsidRPr="009D20CE">
        <w:rPr>
          <w:szCs w:val="22"/>
        </w:rPr>
        <w:t xml:space="preserve"> from a broad range of stakeholders and considered by the </w:t>
      </w:r>
      <w:r>
        <w:rPr>
          <w:szCs w:val="22"/>
        </w:rPr>
        <w:t>GPPCCC</w:t>
      </w:r>
      <w:r w:rsidRPr="009D20CE">
        <w:rPr>
          <w:szCs w:val="22"/>
        </w:rPr>
        <w:t xml:space="preserve"> prior to making its final recommendations to the Taskforce.</w:t>
      </w:r>
    </w:p>
    <w:p w14:paraId="0AECA583" w14:textId="77777777" w:rsidR="004C1BAD" w:rsidRPr="009D20CE" w:rsidRDefault="004C1BAD" w:rsidP="004C1BAD">
      <w:pPr>
        <w:rPr>
          <w:szCs w:val="22"/>
        </w:rPr>
      </w:pPr>
      <w:r w:rsidRPr="009D20CE">
        <w:rPr>
          <w:szCs w:val="22"/>
        </w:rPr>
        <w:t xml:space="preserve">Following the MBS Review (during implementation), ongoing consultation occurred </w:t>
      </w:r>
      <w:r>
        <w:rPr>
          <w:szCs w:val="22"/>
        </w:rPr>
        <w:t xml:space="preserve">through an Implementation Liaison Group which included, amongst other stakeholders, the Australian Medical Association, the Royal Australian College of General Practitioners, the Rural Doctors Association, and Allied Health Professionals Australia. A Communications Working Group </w:t>
      </w:r>
      <w:r>
        <w:rPr>
          <w:szCs w:val="22"/>
        </w:rPr>
        <w:lastRenderedPageBreak/>
        <w:t>was also established which included, amongst others, representatives of the affected allied health professions to support communications to allied health professionals.</w:t>
      </w:r>
    </w:p>
    <w:p w14:paraId="32E82B19" w14:textId="77777777" w:rsidR="00064168" w:rsidRDefault="00064168" w:rsidP="00064168">
      <w:pPr>
        <w:pStyle w:val="Heading2"/>
      </w:pPr>
      <w:r w:rsidRPr="001A7FB7">
        <w:t>How will the changes be monitored</w:t>
      </w:r>
      <w:r>
        <w:t xml:space="preserve"> and reviewed</w:t>
      </w:r>
      <w:r w:rsidRPr="001A7FB7">
        <w:t>?</w:t>
      </w:r>
    </w:p>
    <w:p w14:paraId="53D969C4" w14:textId="77777777" w:rsidR="000E5380" w:rsidRPr="009D20CE" w:rsidRDefault="000E5380" w:rsidP="000E5380">
      <w:pPr>
        <w:rPr>
          <w:szCs w:val="22"/>
        </w:rPr>
      </w:pPr>
      <w:r>
        <w:rPr>
          <w:szCs w:val="22"/>
        </w:rPr>
        <w:t>Changes to MBS items are subject to post-implementation review. Post-implementation reviews typically occur around two years after implementation of the change.</w:t>
      </w:r>
    </w:p>
    <w:p w14:paraId="41BBDDBB" w14:textId="61AD4207" w:rsidR="00BE42C7" w:rsidRPr="00B27A99" w:rsidRDefault="00D20254" w:rsidP="00B27A99">
      <w:pPr>
        <w:rPr>
          <w:szCs w:val="22"/>
        </w:rPr>
      </w:pPr>
      <w:r w:rsidRPr="00D20254">
        <w:rPr>
          <w:szCs w:val="22"/>
        </w:rPr>
        <w:t>Providers are responsible for ensuring Medicare services claimed using their provider number meet all legislative requirements</w:t>
      </w:r>
      <w:r w:rsidR="00CD21E2">
        <w:rPr>
          <w:szCs w:val="22"/>
        </w:rPr>
        <w:t xml:space="preserve">. </w:t>
      </w:r>
      <w:r w:rsidRPr="00D20254">
        <w:rPr>
          <w:szCs w:val="22"/>
        </w:rPr>
        <w:t xml:space="preserve">All Medicare claiming is subject to compliance checks and providers may be required to submit evidence about the services they bill. More information about the </w:t>
      </w:r>
      <w:r w:rsidR="008E007D" w:rsidRPr="00867595">
        <w:rPr>
          <w:szCs w:val="22"/>
        </w:rPr>
        <w:t>Department of Health</w:t>
      </w:r>
      <w:r w:rsidR="0084647E">
        <w:rPr>
          <w:szCs w:val="22"/>
        </w:rPr>
        <w:t>, Disability</w:t>
      </w:r>
      <w:r w:rsidR="008E007D" w:rsidRPr="00867595">
        <w:rPr>
          <w:szCs w:val="22"/>
        </w:rPr>
        <w:t xml:space="preserve"> </w:t>
      </w:r>
      <w:r w:rsidR="008E007D">
        <w:rPr>
          <w:szCs w:val="22"/>
        </w:rPr>
        <w:t>and Age</w:t>
      </w:r>
      <w:r w:rsidR="0084647E">
        <w:rPr>
          <w:szCs w:val="22"/>
        </w:rPr>
        <w:t>ing</w:t>
      </w:r>
      <w:r w:rsidR="008E007D">
        <w:rPr>
          <w:szCs w:val="22"/>
        </w:rPr>
        <w:t xml:space="preserve">’s (the </w:t>
      </w:r>
      <w:r w:rsidR="001427CD">
        <w:rPr>
          <w:szCs w:val="22"/>
        </w:rPr>
        <w:t>d</w:t>
      </w:r>
      <w:r w:rsidRPr="00D20254">
        <w:rPr>
          <w:szCs w:val="22"/>
        </w:rPr>
        <w:t>epartment</w:t>
      </w:r>
      <w:r w:rsidR="00F76ED3">
        <w:rPr>
          <w:szCs w:val="22"/>
        </w:rPr>
        <w:t>’s</w:t>
      </w:r>
      <w:r w:rsidR="008E007D">
        <w:rPr>
          <w:szCs w:val="22"/>
        </w:rPr>
        <w:t>)</w:t>
      </w:r>
      <w:r w:rsidRPr="00D20254">
        <w:rPr>
          <w:szCs w:val="22"/>
        </w:rPr>
        <w:t xml:space="preserve"> compliance program can be found on its website at </w:t>
      </w:r>
      <w:hyperlink r:id="rId11" w:tgtFrame="_blank" w:tooltip="https://www.health.gov.au/topics/medicare/compliance" w:history="1">
        <w:r w:rsidR="001F76C6" w:rsidRPr="001F76C6">
          <w:rPr>
            <w:rStyle w:val="Hyperlink"/>
            <w:szCs w:val="22"/>
          </w:rPr>
          <w:t>Medicare compliance</w:t>
        </w:r>
      </w:hyperlink>
      <w:r w:rsidR="001F76C6" w:rsidRPr="001F76C6">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12"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3"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1A48238E"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4" w:history="1">
        <w:r w:rsidRPr="001873B1">
          <w:rPr>
            <w:rStyle w:val="Hyperlink"/>
            <w:szCs w:val="22"/>
          </w:rPr>
          <w:t>askMBS@health.gov.au</w:t>
        </w:r>
      </w:hyperlink>
      <w:r w:rsidRPr="001873B1">
        <w:rPr>
          <w:szCs w:val="22"/>
        </w:rPr>
        <w:t>.</w:t>
      </w:r>
    </w:p>
    <w:p w14:paraId="1D6CA1FB" w14:textId="2C63CF3C" w:rsidR="001245EF" w:rsidRDefault="001245EF" w:rsidP="001245EF">
      <w:pPr>
        <w:rPr>
          <w:color w:val="auto"/>
          <w:sz w:val="20"/>
          <w:szCs w:val="21"/>
        </w:rPr>
      </w:pPr>
      <w:r>
        <w:t xml:space="preserve">Private health insurance information on the product tier arrangements is available at </w:t>
      </w:r>
      <w:hyperlink r:id="rId15" w:history="1">
        <w:r>
          <w:rPr>
            <w:rStyle w:val="Hyperlink"/>
          </w:rPr>
          <w:t>www.privatehealth.gov.au</w:t>
        </w:r>
      </w:hyperlink>
      <w:r>
        <w:t xml:space="preserve">. Detailed information on the MBS item listing within clinical categories is available on the </w:t>
      </w:r>
      <w:hyperlink r:id="rId16"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7"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8" w:history="1">
        <w:r>
          <w:rPr>
            <w:rStyle w:val="Hyperlink"/>
          </w:rPr>
          <w:t>PHI@health.gov.au</w:t>
        </w:r>
      </w:hyperlink>
      <w:r>
        <w:t>.</w:t>
      </w:r>
    </w:p>
    <w:p w14:paraId="359DC9B9" w14:textId="25931414" w:rsidR="00064168" w:rsidRPr="00867595" w:rsidRDefault="00064168" w:rsidP="00064168">
      <w:pPr>
        <w:rPr>
          <w:szCs w:val="22"/>
        </w:rPr>
      </w:pPr>
      <w:r w:rsidRPr="00867595">
        <w:rPr>
          <w:szCs w:val="22"/>
        </w:rPr>
        <w:t>Subscribe to ‘</w:t>
      </w:r>
      <w:hyperlink r:id="rId19"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1675FEE9"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5" w:name="_Hlk7773414"/>
      <w:r w:rsidRPr="00867595">
        <w:rPr>
          <w:szCs w:val="22"/>
        </w:rPr>
        <w:t xml:space="preserve">go to the Health Professionals page on the Services Australia website or </w:t>
      </w:r>
      <w:bookmarkEnd w:id="5"/>
      <w:r w:rsidRPr="00867595">
        <w:rPr>
          <w:szCs w:val="22"/>
        </w:rPr>
        <w:t xml:space="preserve">contact Services Australia on the Provider Enquiry Line – 13 21 50. </w:t>
      </w:r>
    </w:p>
    <w:p w14:paraId="6E71441E" w14:textId="1AAA86BB" w:rsidR="00AD231B" w:rsidRDefault="00064168" w:rsidP="00064168">
      <w:pPr>
        <w:rPr>
          <w:szCs w:val="22"/>
        </w:rPr>
      </w:pPr>
      <w:r w:rsidRPr="00867595">
        <w:rPr>
          <w:szCs w:val="22"/>
        </w:rPr>
        <w:t xml:space="preserve">The data file for software vendors when available can be accessed via the </w:t>
      </w:r>
      <w:hyperlink r:id="rId20" w:history="1">
        <w:r w:rsidR="00C02732" w:rsidRPr="00C02732">
          <w:rPr>
            <w:rStyle w:val="Hyperlink"/>
            <w:szCs w:val="22"/>
          </w:rPr>
          <w:t>Downloads</w:t>
        </w:r>
      </w:hyperlink>
      <w:r w:rsidRPr="00867595">
        <w:rPr>
          <w:szCs w:val="22"/>
        </w:rPr>
        <w:t xml:space="preserve"> page.</w:t>
      </w:r>
      <w:r w:rsidR="00AD231B">
        <w:rPr>
          <w:szCs w:val="22"/>
        </w:rPr>
        <w:br/>
      </w:r>
    </w:p>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sectPr w:rsidR="007C31DD" w:rsidSect="00B53987">
      <w:headerReference w:type="default" r:id="rId21"/>
      <w:footerReference w:type="default" r:id="rId22"/>
      <w:headerReference w:type="first" r:id="rId23"/>
      <w:footerReference w:type="first" r:id="rId24"/>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D6EE0" w14:textId="77777777" w:rsidR="00375ADC" w:rsidRDefault="00375ADC" w:rsidP="006B56BB">
      <w:r>
        <w:separator/>
      </w:r>
    </w:p>
    <w:p w14:paraId="2523505B" w14:textId="77777777" w:rsidR="00375ADC" w:rsidRDefault="00375ADC"/>
  </w:endnote>
  <w:endnote w:type="continuationSeparator" w:id="0">
    <w:p w14:paraId="4C876AA8" w14:textId="77777777" w:rsidR="00375ADC" w:rsidRDefault="00375ADC" w:rsidP="006B56BB">
      <w:r>
        <w:continuationSeparator/>
      </w:r>
    </w:p>
    <w:p w14:paraId="02139C0E" w14:textId="77777777" w:rsidR="00375ADC" w:rsidRDefault="00375ADC"/>
  </w:endnote>
  <w:endnote w:type="continuationNotice" w:id="1">
    <w:p w14:paraId="23028AFA" w14:textId="77777777" w:rsidR="00375ADC" w:rsidRDefault="00375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3DDF" w14:textId="2F9873BF" w:rsidR="008B4941" w:rsidRPr="00BD1D77" w:rsidRDefault="00000000" w:rsidP="008B4941">
    <w:pPr>
      <w:pStyle w:val="Footer"/>
      <w:jc w:val="left"/>
      <w:rPr>
        <w:szCs w:val="20"/>
      </w:rPr>
    </w:pPr>
    <w:r>
      <w:rPr>
        <w:rStyle w:val="BookTitle"/>
        <w:rFonts w:eastAsiaTheme="minorEastAsia"/>
        <w:noProof/>
      </w:rPr>
      <w:pict w14:anchorId="79578A0C">
        <v:rect id="_x0000_i1025" style="width:523.3pt;height:1.9pt" o:hralign="center" o:hrstd="t" o:hr="t" fillcolor="#a0a0a0" stroked="f"/>
      </w:pict>
    </w:r>
    <w:r w:rsidR="008B4941" w:rsidRPr="00BD1D77">
      <w:rPr>
        <w:szCs w:val="20"/>
      </w:rPr>
      <w:t>Medicare Benefits Schedule</w:t>
    </w:r>
  </w:p>
  <w:p w14:paraId="19447053" w14:textId="7E0F9DE6" w:rsidR="008B4941" w:rsidRPr="008B4941" w:rsidRDefault="76258801" w:rsidP="008B4941">
    <w:pPr>
      <w:pStyle w:val="Footer"/>
      <w:tabs>
        <w:tab w:val="clear" w:pos="9026"/>
        <w:tab w:val="right" w:pos="10466"/>
      </w:tabs>
      <w:jc w:val="left"/>
    </w:pPr>
    <w:r w:rsidRPr="76258801">
      <w:rPr>
        <w:b/>
        <w:bCs/>
      </w:rPr>
      <w:t xml:space="preserve">Upcoming Changes to Chronic Disease Management Framework – Overview – Factsheet </w:t>
    </w:r>
    <w:sdt>
      <w:sdtPr>
        <w:id w:val="2083946753"/>
        <w:docPartObj>
          <w:docPartGallery w:val="Page Numbers (Bottom of Page)"/>
          <w:docPartUnique/>
        </w:docPartObj>
      </w:sdtPr>
      <w:sdtEndPr>
        <w:rPr>
          <w:noProof/>
        </w:rPr>
      </w:sdtEndPr>
      <w:sdtContent>
        <w:r w:rsidR="3B6C5B60">
          <w:tab/>
        </w:r>
        <w:sdt>
          <w:sdtPr>
            <w:id w:val="1677929533"/>
            <w:docPartObj>
              <w:docPartGallery w:val="Page Numbers (Bottom of Page)"/>
              <w:docPartUnique/>
            </w:docPartObj>
          </w:sdtPr>
          <w:sdtContent>
            <w:sdt>
              <w:sdtPr>
                <w:id w:val="2134522350"/>
                <w:docPartObj>
                  <w:docPartGallery w:val="Page Numbers (Top of Page)"/>
                  <w:docPartUnique/>
                </w:docPartObj>
              </w:sdtPr>
              <w:sdtContent>
                <w:r w:rsidR="3B6C5B60">
                  <w:br/>
                </w:r>
                <w:r w:rsidR="3B6C5B60">
                  <w:br/>
                </w:r>
                <w:hyperlink r:id="rId1">
                  <w:r w:rsidRPr="76258801">
                    <w:rPr>
                      <w:rStyle w:val="Hyperlink"/>
                    </w:rPr>
                    <w:t>MBS Online</w:t>
                  </w:r>
                </w:hyperlink>
                <w:r>
                  <w:t xml:space="preserve"> </w:t>
                </w:r>
                <w:r w:rsidR="3B6C5B60">
                  <w:br/>
                </w:r>
                <w:r>
                  <w:t xml:space="preserve">Last updated – 22 May 2025 </w:t>
                </w:r>
                <w:r w:rsidR="3B6C5B60">
                  <w:tab/>
                </w:r>
                <w:r>
                  <w:t xml:space="preserve">Page </w:t>
                </w:r>
                <w:r w:rsidR="3B6C5B60">
                  <w:fldChar w:fldCharType="begin"/>
                </w:r>
                <w:r w:rsidR="3B6C5B60">
                  <w:instrText xml:space="preserve"> PAGE </w:instrText>
                </w:r>
                <w:r w:rsidR="3B6C5B60">
                  <w:fldChar w:fldCharType="separate"/>
                </w:r>
                <w:r>
                  <w:t>1</w:t>
                </w:r>
                <w:r w:rsidR="3B6C5B60">
                  <w:fldChar w:fldCharType="end"/>
                </w:r>
                <w:r>
                  <w:t xml:space="preserve"> of </w:t>
                </w:r>
                <w:r w:rsidR="3B6C5B60">
                  <w:fldChar w:fldCharType="begin"/>
                </w:r>
                <w:r w:rsidR="3B6C5B60">
                  <w:instrText xml:space="preserve"> NUMPAGES  </w:instrText>
                </w:r>
                <w:r w:rsidR="3B6C5B60">
                  <w:fldChar w:fldCharType="separate"/>
                </w:r>
                <w:r>
                  <w:t>5</w:t>
                </w:r>
                <w:r w:rsidR="3B6C5B60">
                  <w:fldChar w:fldCharType="end"/>
                </w:r>
              </w:sdtContent>
            </w:sdt>
          </w:sdtContent>
        </w:sdt>
        <w:r>
          <w:t xml:space="preserve"> </w:t>
        </w:r>
      </w:sdtContent>
    </w:sdt>
  </w:p>
  <w:p w14:paraId="78B91981" w14:textId="7195F199" w:rsidR="00CB03B8" w:rsidRPr="00F51321" w:rsidRDefault="00CB03B8" w:rsidP="008B4941">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3797A710" w:rsidR="00064168" w:rsidRPr="00BD1D77" w:rsidRDefault="00000000" w:rsidP="00064168">
    <w:pPr>
      <w:pStyle w:val="Footer"/>
      <w:jc w:val="left"/>
      <w:rPr>
        <w:szCs w:val="20"/>
      </w:rPr>
    </w:pPr>
    <w:r>
      <w:rPr>
        <w:rStyle w:val="BookTitle"/>
        <w:rFonts w:eastAsiaTheme="minorEastAsia"/>
        <w:noProof/>
      </w:rPr>
      <w:pict w14:anchorId="1DB3991B">
        <v:rect id="_x0000_i1026" style="width:523.3pt;height:1.9pt" o:hralign="center" o:hrstd="t" o:hr="t" fillcolor="#a0a0a0" stroked="f"/>
      </w:pict>
    </w:r>
    <w:bookmarkStart w:id="6" w:name="_Hlk198136989"/>
    <w:bookmarkStart w:id="7" w:name="_Hlk198136990"/>
    <w:bookmarkStart w:id="8" w:name="_Hlk198136991"/>
    <w:bookmarkStart w:id="9" w:name="_Hlk198136992"/>
    <w:r w:rsidR="00064168" w:rsidRPr="00BD1D77">
      <w:rPr>
        <w:szCs w:val="20"/>
      </w:rPr>
      <w:t>Medicare Benefits Schedule</w:t>
    </w:r>
  </w:p>
  <w:p w14:paraId="2964AB57" w14:textId="58822CF1" w:rsidR="00CB03B8" w:rsidRPr="008B4941" w:rsidRDefault="76258801" w:rsidP="008B4941">
    <w:pPr>
      <w:pStyle w:val="Footer"/>
      <w:tabs>
        <w:tab w:val="clear" w:pos="9026"/>
        <w:tab w:val="right" w:pos="10466"/>
      </w:tabs>
      <w:jc w:val="left"/>
    </w:pPr>
    <w:r w:rsidRPr="76258801">
      <w:rPr>
        <w:b/>
        <w:bCs/>
      </w:rPr>
      <w:t xml:space="preserve">Upcoming Changes to Chronic Disease Management Framework – Overview – Factsheet </w:t>
    </w:r>
    <w:sdt>
      <w:sdtPr>
        <w:id w:val="960607005"/>
        <w:docPartObj>
          <w:docPartGallery w:val="Page Numbers (Bottom of Page)"/>
          <w:docPartUnique/>
        </w:docPartObj>
      </w:sdtPr>
      <w:sdtEndPr>
        <w:rPr>
          <w:noProof/>
        </w:rPr>
      </w:sdtEndPr>
      <w:sdtContent>
        <w:r w:rsidR="3B6C5B60">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3B6C5B60">
                  <w:br/>
                </w:r>
                <w:r w:rsidR="3B6C5B60">
                  <w:br/>
                </w:r>
                <w:hyperlink r:id="rId1">
                  <w:r w:rsidRPr="76258801">
                    <w:rPr>
                      <w:rStyle w:val="Hyperlink"/>
                    </w:rPr>
                    <w:t>MBS Online</w:t>
                  </w:r>
                </w:hyperlink>
                <w:r>
                  <w:t xml:space="preserve"> </w:t>
                </w:r>
                <w:r w:rsidR="3B6C5B60">
                  <w:br/>
                </w:r>
                <w:r>
                  <w:t>Last updated – 22 May 2025</w:t>
                </w:r>
                <w:r w:rsidR="3B6C5B60">
                  <w:tab/>
                </w:r>
                <w:r>
                  <w:t xml:space="preserve">Page </w:t>
                </w:r>
                <w:r w:rsidR="3B6C5B60">
                  <w:fldChar w:fldCharType="begin"/>
                </w:r>
                <w:r w:rsidR="3B6C5B60">
                  <w:instrText xml:space="preserve"> PAGE </w:instrText>
                </w:r>
                <w:r w:rsidR="3B6C5B60">
                  <w:fldChar w:fldCharType="separate"/>
                </w:r>
                <w:r>
                  <w:t>1</w:t>
                </w:r>
                <w:r w:rsidR="3B6C5B60">
                  <w:fldChar w:fldCharType="end"/>
                </w:r>
                <w:r>
                  <w:t xml:space="preserve"> of </w:t>
                </w:r>
                <w:r w:rsidR="3B6C5B60">
                  <w:fldChar w:fldCharType="begin"/>
                </w:r>
                <w:r w:rsidR="3B6C5B60">
                  <w:instrText xml:space="preserve"> NUMPAGES  </w:instrText>
                </w:r>
                <w:r w:rsidR="3B6C5B60">
                  <w:fldChar w:fldCharType="separate"/>
                </w:r>
                <w:r>
                  <w:t>1</w:t>
                </w:r>
                <w:r w:rsidR="3B6C5B60">
                  <w:fldChar w:fldCharType="end"/>
                </w:r>
              </w:sdtContent>
            </w:sdt>
          </w:sdtContent>
        </w:sdt>
        <w:r>
          <w:t xml:space="preserve"> </w:t>
        </w:r>
      </w:sdtContent>
    </w:sdt>
    <w:bookmarkEnd w:id="6"/>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7430" w14:textId="77777777" w:rsidR="00375ADC" w:rsidRDefault="00375ADC" w:rsidP="006B56BB">
      <w:r>
        <w:separator/>
      </w:r>
    </w:p>
    <w:p w14:paraId="6F433C50" w14:textId="77777777" w:rsidR="00375ADC" w:rsidRDefault="00375ADC"/>
  </w:footnote>
  <w:footnote w:type="continuationSeparator" w:id="0">
    <w:p w14:paraId="68510F98" w14:textId="77777777" w:rsidR="00375ADC" w:rsidRDefault="00375ADC" w:rsidP="006B56BB">
      <w:r>
        <w:continuationSeparator/>
      </w:r>
    </w:p>
    <w:p w14:paraId="08D02346" w14:textId="77777777" w:rsidR="00375ADC" w:rsidRDefault="00375ADC"/>
  </w:footnote>
  <w:footnote w:type="continuationNotice" w:id="1">
    <w:p w14:paraId="15C223AC" w14:textId="77777777" w:rsidR="00375ADC" w:rsidRDefault="00375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B6C5B60" w14:paraId="0E70B889" w14:textId="77777777" w:rsidTr="3B6C5B60">
      <w:trPr>
        <w:trHeight w:val="300"/>
      </w:trPr>
      <w:tc>
        <w:tcPr>
          <w:tcW w:w="3020" w:type="dxa"/>
        </w:tcPr>
        <w:p w14:paraId="5B1152CF" w14:textId="79E1C859" w:rsidR="3B6C5B60" w:rsidRDefault="3B6C5B60" w:rsidP="3B6C5B60">
          <w:pPr>
            <w:pStyle w:val="Header"/>
            <w:ind w:left="-115"/>
          </w:pPr>
        </w:p>
      </w:tc>
      <w:tc>
        <w:tcPr>
          <w:tcW w:w="3020" w:type="dxa"/>
        </w:tcPr>
        <w:p w14:paraId="47D8351F" w14:textId="5957465E" w:rsidR="3B6C5B60" w:rsidRDefault="3B6C5B60" w:rsidP="3B6C5B60">
          <w:pPr>
            <w:pStyle w:val="Header"/>
            <w:jc w:val="center"/>
          </w:pPr>
        </w:p>
      </w:tc>
      <w:tc>
        <w:tcPr>
          <w:tcW w:w="3020" w:type="dxa"/>
        </w:tcPr>
        <w:p w14:paraId="36758E20" w14:textId="7EA59050" w:rsidR="3B6C5B60" w:rsidRDefault="3B6C5B60" w:rsidP="3B6C5B60">
          <w:pPr>
            <w:pStyle w:val="Header"/>
            <w:ind w:right="-115"/>
            <w:jc w:val="right"/>
          </w:pPr>
        </w:p>
      </w:tc>
    </w:tr>
  </w:tbl>
  <w:p w14:paraId="37930EAF" w14:textId="43E06FD6" w:rsidR="3B6C5B60" w:rsidRDefault="3B6C5B60" w:rsidP="3B6C5B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662E0512" w:rsidR="00B53987" w:rsidRDefault="000131E1">
    <w:pPr>
      <w:pStyle w:val="Header"/>
    </w:pPr>
    <w:r>
      <w:rPr>
        <w:noProof/>
        <w:lang w:eastAsia="en-AU"/>
      </w:rPr>
      <w:drawing>
        <wp:inline distT="0" distB="0" distL="0" distR="0" wp14:anchorId="4CFDA7C9" wp14:editId="4B6A24E4">
          <wp:extent cx="3343275" cy="533400"/>
          <wp:effectExtent l="0" t="0" r="9525" b="0"/>
          <wp:docPr id="1207914144" name="Picture 1" descr="Australian Government Department of Health, Disability and Ag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A6E501F"/>
    <w:multiLevelType w:val="hybridMultilevel"/>
    <w:tmpl w:val="54FEEDC6"/>
    <w:lvl w:ilvl="0" w:tplc="0C090003">
      <w:start w:val="1"/>
      <w:numFmt w:val="bullet"/>
      <w:lvlText w:val="o"/>
      <w:lvlJc w:val="left"/>
      <w:pPr>
        <w:ind w:left="360" w:hanging="360"/>
      </w:pPr>
      <w:rPr>
        <w:rFonts w:ascii="Courier New" w:hAnsi="Courier New" w:cs="Courier New" w:hint="default"/>
        <w:color w:val="358189" w:themeColor="accent2"/>
        <w:spacing w:val="0"/>
        <w:w w:val="100"/>
        <w:sz w:val="24"/>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1"/>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0"/>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2"/>
  </w:num>
  <w:num w:numId="17" w16cid:durableId="2113471318">
    <w:abstractNumId w:val="11"/>
  </w:num>
  <w:num w:numId="18" w16cid:durableId="828592903">
    <w:abstractNumId w:val="13"/>
  </w:num>
  <w:num w:numId="19" w16cid:durableId="1273391997">
    <w:abstractNumId w:val="15"/>
  </w:num>
  <w:num w:numId="20" w16cid:durableId="2041469188">
    <w:abstractNumId w:val="11"/>
  </w:num>
  <w:num w:numId="21" w16cid:durableId="120997448">
    <w:abstractNumId w:val="15"/>
  </w:num>
  <w:num w:numId="22" w16cid:durableId="1088427743">
    <w:abstractNumId w:val="22"/>
  </w:num>
  <w:num w:numId="23" w16cid:durableId="111368400">
    <w:abstractNumId w:val="19"/>
  </w:num>
  <w:num w:numId="24" w16cid:durableId="815339056">
    <w:abstractNumId w:val="21"/>
  </w:num>
  <w:num w:numId="25" w16cid:durableId="743180995">
    <w:abstractNumId w:val="8"/>
  </w:num>
  <w:num w:numId="26" w16cid:durableId="320358050">
    <w:abstractNumId w:val="18"/>
  </w:num>
  <w:num w:numId="27" w16cid:durableId="508569404">
    <w:abstractNumId w:val="12"/>
  </w:num>
  <w:num w:numId="28" w16cid:durableId="1416364898">
    <w:abstractNumId w:val="14"/>
  </w:num>
  <w:num w:numId="29" w16cid:durableId="100344043">
    <w:abstractNumId w:val="10"/>
  </w:num>
  <w:num w:numId="30" w16cid:durableId="1575821124">
    <w:abstractNumId w:val="12"/>
  </w:num>
  <w:num w:numId="31" w16cid:durableId="18069722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31E1"/>
    <w:rsid w:val="0001460F"/>
    <w:rsid w:val="00022629"/>
    <w:rsid w:val="00024DFE"/>
    <w:rsid w:val="00026139"/>
    <w:rsid w:val="00027601"/>
    <w:rsid w:val="00033321"/>
    <w:rsid w:val="000338E5"/>
    <w:rsid w:val="00033ECC"/>
    <w:rsid w:val="0003422F"/>
    <w:rsid w:val="00046FF0"/>
    <w:rsid w:val="00050176"/>
    <w:rsid w:val="00050342"/>
    <w:rsid w:val="00054972"/>
    <w:rsid w:val="00056A81"/>
    <w:rsid w:val="00064168"/>
    <w:rsid w:val="00067456"/>
    <w:rsid w:val="00071506"/>
    <w:rsid w:val="0007154F"/>
    <w:rsid w:val="00075D29"/>
    <w:rsid w:val="00080BAC"/>
    <w:rsid w:val="00081AB1"/>
    <w:rsid w:val="00084820"/>
    <w:rsid w:val="00090316"/>
    <w:rsid w:val="00093981"/>
    <w:rsid w:val="000A500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E5380"/>
    <w:rsid w:val="000F0287"/>
    <w:rsid w:val="000F123C"/>
    <w:rsid w:val="000F2FED"/>
    <w:rsid w:val="0010616D"/>
    <w:rsid w:val="00110478"/>
    <w:rsid w:val="00111901"/>
    <w:rsid w:val="0011711B"/>
    <w:rsid w:val="00117F8A"/>
    <w:rsid w:val="001210F8"/>
    <w:rsid w:val="00121B9B"/>
    <w:rsid w:val="00122ADC"/>
    <w:rsid w:val="001245EF"/>
    <w:rsid w:val="00125CD2"/>
    <w:rsid w:val="00127AF4"/>
    <w:rsid w:val="00130F59"/>
    <w:rsid w:val="00133EC0"/>
    <w:rsid w:val="001348A0"/>
    <w:rsid w:val="00141CE5"/>
    <w:rsid w:val="001427CD"/>
    <w:rsid w:val="00144908"/>
    <w:rsid w:val="00156D96"/>
    <w:rsid w:val="001571C7"/>
    <w:rsid w:val="0016076C"/>
    <w:rsid w:val="00161094"/>
    <w:rsid w:val="0016171D"/>
    <w:rsid w:val="0017665C"/>
    <w:rsid w:val="0017709E"/>
    <w:rsid w:val="00177AD2"/>
    <w:rsid w:val="001815A8"/>
    <w:rsid w:val="001840FA"/>
    <w:rsid w:val="001873B1"/>
    <w:rsid w:val="00187E5A"/>
    <w:rsid w:val="00190079"/>
    <w:rsid w:val="0019541C"/>
    <w:rsid w:val="0019622E"/>
    <w:rsid w:val="001966A7"/>
    <w:rsid w:val="0019761F"/>
    <w:rsid w:val="001A2646"/>
    <w:rsid w:val="001A4627"/>
    <w:rsid w:val="001A4979"/>
    <w:rsid w:val="001B15D3"/>
    <w:rsid w:val="001B3443"/>
    <w:rsid w:val="001C0326"/>
    <w:rsid w:val="001C192F"/>
    <w:rsid w:val="001C3C42"/>
    <w:rsid w:val="001D0055"/>
    <w:rsid w:val="001D7869"/>
    <w:rsid w:val="001F38B4"/>
    <w:rsid w:val="001F3920"/>
    <w:rsid w:val="001F3F8C"/>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A108E"/>
    <w:rsid w:val="002B20E6"/>
    <w:rsid w:val="002B42A3"/>
    <w:rsid w:val="002C0CDD"/>
    <w:rsid w:val="002C38C4"/>
    <w:rsid w:val="002C46AA"/>
    <w:rsid w:val="002D65A2"/>
    <w:rsid w:val="002E1A1D"/>
    <w:rsid w:val="002E4081"/>
    <w:rsid w:val="002E5B78"/>
    <w:rsid w:val="002F3AE3"/>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70AAA"/>
    <w:rsid w:val="00375ADC"/>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5265"/>
    <w:rsid w:val="003F0955"/>
    <w:rsid w:val="003F0B76"/>
    <w:rsid w:val="003F0F91"/>
    <w:rsid w:val="003F5F4D"/>
    <w:rsid w:val="003F646F"/>
    <w:rsid w:val="00400F00"/>
    <w:rsid w:val="004017A6"/>
    <w:rsid w:val="00404F8B"/>
    <w:rsid w:val="004051ED"/>
    <w:rsid w:val="00405256"/>
    <w:rsid w:val="00405ADD"/>
    <w:rsid w:val="00410031"/>
    <w:rsid w:val="00415C81"/>
    <w:rsid w:val="00432378"/>
    <w:rsid w:val="00440D65"/>
    <w:rsid w:val="00442EFF"/>
    <w:rsid w:val="004435E6"/>
    <w:rsid w:val="00447E31"/>
    <w:rsid w:val="00453923"/>
    <w:rsid w:val="00454B9B"/>
    <w:rsid w:val="00457858"/>
    <w:rsid w:val="00460B0B"/>
    <w:rsid w:val="00461023"/>
    <w:rsid w:val="00462FAC"/>
    <w:rsid w:val="00464631"/>
    <w:rsid w:val="00464B79"/>
    <w:rsid w:val="004660EB"/>
    <w:rsid w:val="00467BBF"/>
    <w:rsid w:val="00481EE2"/>
    <w:rsid w:val="00482D2B"/>
    <w:rsid w:val="0048593C"/>
    <w:rsid w:val="004867E2"/>
    <w:rsid w:val="00490FFF"/>
    <w:rsid w:val="004929A9"/>
    <w:rsid w:val="004A78D9"/>
    <w:rsid w:val="004C147E"/>
    <w:rsid w:val="004C1BAD"/>
    <w:rsid w:val="004C1BCD"/>
    <w:rsid w:val="004C6BCF"/>
    <w:rsid w:val="004D58BF"/>
    <w:rsid w:val="004D5E3F"/>
    <w:rsid w:val="004E293A"/>
    <w:rsid w:val="004E4335"/>
    <w:rsid w:val="004E5226"/>
    <w:rsid w:val="004F13EE"/>
    <w:rsid w:val="004F2022"/>
    <w:rsid w:val="004F7C05"/>
    <w:rsid w:val="00501C94"/>
    <w:rsid w:val="00504B0A"/>
    <w:rsid w:val="00506432"/>
    <w:rsid w:val="00506E82"/>
    <w:rsid w:val="0052051D"/>
    <w:rsid w:val="00525479"/>
    <w:rsid w:val="00545EE6"/>
    <w:rsid w:val="00551ADB"/>
    <w:rsid w:val="005550E7"/>
    <w:rsid w:val="005564FB"/>
    <w:rsid w:val="0055706A"/>
    <w:rsid w:val="005572C7"/>
    <w:rsid w:val="005617DE"/>
    <w:rsid w:val="00564721"/>
    <w:rsid w:val="005650ED"/>
    <w:rsid w:val="00566B81"/>
    <w:rsid w:val="00575754"/>
    <w:rsid w:val="00581FBA"/>
    <w:rsid w:val="005837B4"/>
    <w:rsid w:val="005858A4"/>
    <w:rsid w:val="00591E20"/>
    <w:rsid w:val="005920E7"/>
    <w:rsid w:val="00595408"/>
    <w:rsid w:val="00595A0B"/>
    <w:rsid w:val="00595E84"/>
    <w:rsid w:val="005A0C59"/>
    <w:rsid w:val="005A48EB"/>
    <w:rsid w:val="005A6CFB"/>
    <w:rsid w:val="005A6FEF"/>
    <w:rsid w:val="005C4B3E"/>
    <w:rsid w:val="005C5AEB"/>
    <w:rsid w:val="005D5F4E"/>
    <w:rsid w:val="005E0A3F"/>
    <w:rsid w:val="005E1AF9"/>
    <w:rsid w:val="005E2D76"/>
    <w:rsid w:val="005E4DE9"/>
    <w:rsid w:val="005E659D"/>
    <w:rsid w:val="005E6883"/>
    <w:rsid w:val="005E772F"/>
    <w:rsid w:val="005F4ECA"/>
    <w:rsid w:val="005F767E"/>
    <w:rsid w:val="006041BE"/>
    <w:rsid w:val="006043C7"/>
    <w:rsid w:val="006150AE"/>
    <w:rsid w:val="00620810"/>
    <w:rsid w:val="006238C2"/>
    <w:rsid w:val="00624B52"/>
    <w:rsid w:val="00630794"/>
    <w:rsid w:val="00631DF4"/>
    <w:rsid w:val="00634175"/>
    <w:rsid w:val="0063574E"/>
    <w:rsid w:val="006408AC"/>
    <w:rsid w:val="00642F20"/>
    <w:rsid w:val="006511B6"/>
    <w:rsid w:val="00657FF8"/>
    <w:rsid w:val="0066598A"/>
    <w:rsid w:val="00670D99"/>
    <w:rsid w:val="00670E2B"/>
    <w:rsid w:val="006734BB"/>
    <w:rsid w:val="0067697A"/>
    <w:rsid w:val="006821EB"/>
    <w:rsid w:val="00693A51"/>
    <w:rsid w:val="006A5DFB"/>
    <w:rsid w:val="006B2286"/>
    <w:rsid w:val="006B56BB"/>
    <w:rsid w:val="006C085B"/>
    <w:rsid w:val="006C0AE2"/>
    <w:rsid w:val="006C77A8"/>
    <w:rsid w:val="006D22A7"/>
    <w:rsid w:val="006D4098"/>
    <w:rsid w:val="006D67F4"/>
    <w:rsid w:val="006D7681"/>
    <w:rsid w:val="006D7B2E"/>
    <w:rsid w:val="006E02EA"/>
    <w:rsid w:val="006E0968"/>
    <w:rsid w:val="006E2AF6"/>
    <w:rsid w:val="006F1107"/>
    <w:rsid w:val="006F5073"/>
    <w:rsid w:val="00701275"/>
    <w:rsid w:val="00707F56"/>
    <w:rsid w:val="00710C6D"/>
    <w:rsid w:val="00713558"/>
    <w:rsid w:val="00720D08"/>
    <w:rsid w:val="007263B9"/>
    <w:rsid w:val="007334F8"/>
    <w:rsid w:val="007339CD"/>
    <w:rsid w:val="007359D8"/>
    <w:rsid w:val="007362D4"/>
    <w:rsid w:val="00744B30"/>
    <w:rsid w:val="00746C16"/>
    <w:rsid w:val="0076672A"/>
    <w:rsid w:val="00775E45"/>
    <w:rsid w:val="007761D9"/>
    <w:rsid w:val="00776E74"/>
    <w:rsid w:val="00785169"/>
    <w:rsid w:val="00786325"/>
    <w:rsid w:val="00792BFA"/>
    <w:rsid w:val="007954AB"/>
    <w:rsid w:val="007A14C5"/>
    <w:rsid w:val="007A4A10"/>
    <w:rsid w:val="007A678D"/>
    <w:rsid w:val="007B1750"/>
    <w:rsid w:val="007B1760"/>
    <w:rsid w:val="007C1AB7"/>
    <w:rsid w:val="007C1FDC"/>
    <w:rsid w:val="007C31DD"/>
    <w:rsid w:val="007C32D9"/>
    <w:rsid w:val="007C343D"/>
    <w:rsid w:val="007C6D9C"/>
    <w:rsid w:val="007C7DDB"/>
    <w:rsid w:val="007D2CC7"/>
    <w:rsid w:val="007D673D"/>
    <w:rsid w:val="007E0068"/>
    <w:rsid w:val="007E0FB8"/>
    <w:rsid w:val="007E4D09"/>
    <w:rsid w:val="007F2220"/>
    <w:rsid w:val="007F4B3E"/>
    <w:rsid w:val="00805D0F"/>
    <w:rsid w:val="008127AF"/>
    <w:rsid w:val="00812B46"/>
    <w:rsid w:val="00815700"/>
    <w:rsid w:val="00821974"/>
    <w:rsid w:val="0082246B"/>
    <w:rsid w:val="008264EB"/>
    <w:rsid w:val="00826B8F"/>
    <w:rsid w:val="00831E8A"/>
    <w:rsid w:val="0083595B"/>
    <w:rsid w:val="00835C76"/>
    <w:rsid w:val="008376E2"/>
    <w:rsid w:val="00843049"/>
    <w:rsid w:val="008437CA"/>
    <w:rsid w:val="0084543F"/>
    <w:rsid w:val="0084647E"/>
    <w:rsid w:val="0085209B"/>
    <w:rsid w:val="00856B66"/>
    <w:rsid w:val="008601AC"/>
    <w:rsid w:val="00861A5F"/>
    <w:rsid w:val="008644AD"/>
    <w:rsid w:val="00865735"/>
    <w:rsid w:val="00865DDB"/>
    <w:rsid w:val="00867538"/>
    <w:rsid w:val="00873188"/>
    <w:rsid w:val="00873D90"/>
    <w:rsid w:val="00873FC8"/>
    <w:rsid w:val="0088072C"/>
    <w:rsid w:val="00884C63"/>
    <w:rsid w:val="00885908"/>
    <w:rsid w:val="008864B7"/>
    <w:rsid w:val="0089089D"/>
    <w:rsid w:val="0089677E"/>
    <w:rsid w:val="008A7438"/>
    <w:rsid w:val="008B1334"/>
    <w:rsid w:val="008B25C7"/>
    <w:rsid w:val="008B4941"/>
    <w:rsid w:val="008B570A"/>
    <w:rsid w:val="008C0278"/>
    <w:rsid w:val="008C24E9"/>
    <w:rsid w:val="008D0533"/>
    <w:rsid w:val="008D42CB"/>
    <w:rsid w:val="008D48C9"/>
    <w:rsid w:val="008D6381"/>
    <w:rsid w:val="008E007D"/>
    <w:rsid w:val="008E0C77"/>
    <w:rsid w:val="008E625F"/>
    <w:rsid w:val="008F264D"/>
    <w:rsid w:val="009040E9"/>
    <w:rsid w:val="009074E1"/>
    <w:rsid w:val="009112F7"/>
    <w:rsid w:val="009122AF"/>
    <w:rsid w:val="00912D54"/>
    <w:rsid w:val="0091389F"/>
    <w:rsid w:val="009208F7"/>
    <w:rsid w:val="00920EB4"/>
    <w:rsid w:val="00921649"/>
    <w:rsid w:val="00922517"/>
    <w:rsid w:val="00922722"/>
    <w:rsid w:val="009261E6"/>
    <w:rsid w:val="0092680C"/>
    <w:rsid w:val="009268E1"/>
    <w:rsid w:val="009271EE"/>
    <w:rsid w:val="0093226A"/>
    <w:rsid w:val="009344AE"/>
    <w:rsid w:val="009344DE"/>
    <w:rsid w:val="00941C57"/>
    <w:rsid w:val="00945E7F"/>
    <w:rsid w:val="009518C7"/>
    <w:rsid w:val="009557C1"/>
    <w:rsid w:val="00960D6E"/>
    <w:rsid w:val="00970D19"/>
    <w:rsid w:val="00974B59"/>
    <w:rsid w:val="0098166B"/>
    <w:rsid w:val="00982BC0"/>
    <w:rsid w:val="0098340B"/>
    <w:rsid w:val="00986830"/>
    <w:rsid w:val="009924C3"/>
    <w:rsid w:val="00993102"/>
    <w:rsid w:val="009973F7"/>
    <w:rsid w:val="009B1570"/>
    <w:rsid w:val="009B2C8E"/>
    <w:rsid w:val="009C6F10"/>
    <w:rsid w:val="009D0B2B"/>
    <w:rsid w:val="009D1214"/>
    <w:rsid w:val="009D148F"/>
    <w:rsid w:val="009D3D70"/>
    <w:rsid w:val="009E6F7E"/>
    <w:rsid w:val="009E7A57"/>
    <w:rsid w:val="009F4803"/>
    <w:rsid w:val="009F4F6A"/>
    <w:rsid w:val="009F5046"/>
    <w:rsid w:val="00A13EB5"/>
    <w:rsid w:val="00A16E36"/>
    <w:rsid w:val="00A23012"/>
    <w:rsid w:val="00A24961"/>
    <w:rsid w:val="00A24B10"/>
    <w:rsid w:val="00A277EF"/>
    <w:rsid w:val="00A30E9B"/>
    <w:rsid w:val="00A34BD0"/>
    <w:rsid w:val="00A4512D"/>
    <w:rsid w:val="00A50244"/>
    <w:rsid w:val="00A627D7"/>
    <w:rsid w:val="00A656C7"/>
    <w:rsid w:val="00A67766"/>
    <w:rsid w:val="00A705AF"/>
    <w:rsid w:val="00A70A35"/>
    <w:rsid w:val="00A719F6"/>
    <w:rsid w:val="00A72454"/>
    <w:rsid w:val="00A75342"/>
    <w:rsid w:val="00A77696"/>
    <w:rsid w:val="00A80557"/>
    <w:rsid w:val="00A81D33"/>
    <w:rsid w:val="00A8294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C746E"/>
    <w:rsid w:val="00AD05E6"/>
    <w:rsid w:val="00AD0D3F"/>
    <w:rsid w:val="00AD231B"/>
    <w:rsid w:val="00AE1D7D"/>
    <w:rsid w:val="00AE2A8B"/>
    <w:rsid w:val="00AE3F64"/>
    <w:rsid w:val="00AF7386"/>
    <w:rsid w:val="00AF7934"/>
    <w:rsid w:val="00B00B81"/>
    <w:rsid w:val="00B04580"/>
    <w:rsid w:val="00B04B09"/>
    <w:rsid w:val="00B16A51"/>
    <w:rsid w:val="00B27A99"/>
    <w:rsid w:val="00B32222"/>
    <w:rsid w:val="00B32567"/>
    <w:rsid w:val="00B3618D"/>
    <w:rsid w:val="00B36233"/>
    <w:rsid w:val="00B42851"/>
    <w:rsid w:val="00B42D06"/>
    <w:rsid w:val="00B45350"/>
    <w:rsid w:val="00B45AC7"/>
    <w:rsid w:val="00B5364A"/>
    <w:rsid w:val="00B5372F"/>
    <w:rsid w:val="00B53987"/>
    <w:rsid w:val="00B61129"/>
    <w:rsid w:val="00B6144B"/>
    <w:rsid w:val="00B641FC"/>
    <w:rsid w:val="00B67E7F"/>
    <w:rsid w:val="00B76DB3"/>
    <w:rsid w:val="00B77CBF"/>
    <w:rsid w:val="00B839B2"/>
    <w:rsid w:val="00B873A0"/>
    <w:rsid w:val="00B94252"/>
    <w:rsid w:val="00B9715A"/>
    <w:rsid w:val="00BA14BE"/>
    <w:rsid w:val="00BA25D5"/>
    <w:rsid w:val="00BA2732"/>
    <w:rsid w:val="00BA293D"/>
    <w:rsid w:val="00BA3F49"/>
    <w:rsid w:val="00BA49BC"/>
    <w:rsid w:val="00BA56B7"/>
    <w:rsid w:val="00BA7A1E"/>
    <w:rsid w:val="00BB2F6C"/>
    <w:rsid w:val="00BB3875"/>
    <w:rsid w:val="00BB5860"/>
    <w:rsid w:val="00BB6AAD"/>
    <w:rsid w:val="00BC4A19"/>
    <w:rsid w:val="00BC4E6D"/>
    <w:rsid w:val="00BD0617"/>
    <w:rsid w:val="00BD0A9E"/>
    <w:rsid w:val="00BD1D77"/>
    <w:rsid w:val="00BD20B6"/>
    <w:rsid w:val="00BD2E9B"/>
    <w:rsid w:val="00BD50C6"/>
    <w:rsid w:val="00BD7FB2"/>
    <w:rsid w:val="00BE3ED5"/>
    <w:rsid w:val="00BE42C7"/>
    <w:rsid w:val="00BF6BB3"/>
    <w:rsid w:val="00C00930"/>
    <w:rsid w:val="00C02732"/>
    <w:rsid w:val="00C060AD"/>
    <w:rsid w:val="00C113BF"/>
    <w:rsid w:val="00C14251"/>
    <w:rsid w:val="00C2176E"/>
    <w:rsid w:val="00C23430"/>
    <w:rsid w:val="00C27D67"/>
    <w:rsid w:val="00C35323"/>
    <w:rsid w:val="00C40A0E"/>
    <w:rsid w:val="00C435AF"/>
    <w:rsid w:val="00C4631F"/>
    <w:rsid w:val="00C47CDE"/>
    <w:rsid w:val="00C50E16"/>
    <w:rsid w:val="00C55258"/>
    <w:rsid w:val="00C55AEB"/>
    <w:rsid w:val="00C702EB"/>
    <w:rsid w:val="00C71A8A"/>
    <w:rsid w:val="00C75FA3"/>
    <w:rsid w:val="00C824A0"/>
    <w:rsid w:val="00C82EEB"/>
    <w:rsid w:val="00C971DC"/>
    <w:rsid w:val="00CA16B7"/>
    <w:rsid w:val="00CA3FA6"/>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633"/>
    <w:rsid w:val="00CF7D3C"/>
    <w:rsid w:val="00D01F09"/>
    <w:rsid w:val="00D03527"/>
    <w:rsid w:val="00D134C4"/>
    <w:rsid w:val="00D147EB"/>
    <w:rsid w:val="00D20254"/>
    <w:rsid w:val="00D27E71"/>
    <w:rsid w:val="00D30AEA"/>
    <w:rsid w:val="00D34667"/>
    <w:rsid w:val="00D401E1"/>
    <w:rsid w:val="00D408B4"/>
    <w:rsid w:val="00D44330"/>
    <w:rsid w:val="00D524C8"/>
    <w:rsid w:val="00D70E24"/>
    <w:rsid w:val="00D72B61"/>
    <w:rsid w:val="00D865A5"/>
    <w:rsid w:val="00DA3D1D"/>
    <w:rsid w:val="00DB6286"/>
    <w:rsid w:val="00DB645F"/>
    <w:rsid w:val="00DB76E9"/>
    <w:rsid w:val="00DC0A67"/>
    <w:rsid w:val="00DC1D5E"/>
    <w:rsid w:val="00DC2498"/>
    <w:rsid w:val="00DC5220"/>
    <w:rsid w:val="00DD2061"/>
    <w:rsid w:val="00DD31B6"/>
    <w:rsid w:val="00DD7DAB"/>
    <w:rsid w:val="00DE3355"/>
    <w:rsid w:val="00DF0C60"/>
    <w:rsid w:val="00DF486F"/>
    <w:rsid w:val="00DF5B5B"/>
    <w:rsid w:val="00DF7619"/>
    <w:rsid w:val="00E010E4"/>
    <w:rsid w:val="00E042D8"/>
    <w:rsid w:val="00E07EE7"/>
    <w:rsid w:val="00E1103B"/>
    <w:rsid w:val="00E14FDA"/>
    <w:rsid w:val="00E17B44"/>
    <w:rsid w:val="00E20F27"/>
    <w:rsid w:val="00E22443"/>
    <w:rsid w:val="00E25B1F"/>
    <w:rsid w:val="00E26A72"/>
    <w:rsid w:val="00E27FEA"/>
    <w:rsid w:val="00E33511"/>
    <w:rsid w:val="00E35B07"/>
    <w:rsid w:val="00E37C62"/>
    <w:rsid w:val="00E4086F"/>
    <w:rsid w:val="00E43B3C"/>
    <w:rsid w:val="00E50188"/>
    <w:rsid w:val="00E50BB3"/>
    <w:rsid w:val="00E515CB"/>
    <w:rsid w:val="00E52260"/>
    <w:rsid w:val="00E538AE"/>
    <w:rsid w:val="00E639B6"/>
    <w:rsid w:val="00E6434B"/>
    <w:rsid w:val="00E6463D"/>
    <w:rsid w:val="00E71492"/>
    <w:rsid w:val="00E72E9B"/>
    <w:rsid w:val="00E8299A"/>
    <w:rsid w:val="00E850C3"/>
    <w:rsid w:val="00E87DF2"/>
    <w:rsid w:val="00E90371"/>
    <w:rsid w:val="00E91576"/>
    <w:rsid w:val="00E9462E"/>
    <w:rsid w:val="00EA470E"/>
    <w:rsid w:val="00EA47A7"/>
    <w:rsid w:val="00EA57EB"/>
    <w:rsid w:val="00EB3226"/>
    <w:rsid w:val="00EB67B1"/>
    <w:rsid w:val="00EC1BB1"/>
    <w:rsid w:val="00EC213A"/>
    <w:rsid w:val="00EC7744"/>
    <w:rsid w:val="00ED0DAD"/>
    <w:rsid w:val="00ED0F46"/>
    <w:rsid w:val="00ED2373"/>
    <w:rsid w:val="00ED24F9"/>
    <w:rsid w:val="00ED2E38"/>
    <w:rsid w:val="00EE3E8A"/>
    <w:rsid w:val="00EF58B8"/>
    <w:rsid w:val="00EF6ECA"/>
    <w:rsid w:val="00F01605"/>
    <w:rsid w:val="00F024E1"/>
    <w:rsid w:val="00F06C10"/>
    <w:rsid w:val="00F1096F"/>
    <w:rsid w:val="00F10F6A"/>
    <w:rsid w:val="00F12589"/>
    <w:rsid w:val="00F12595"/>
    <w:rsid w:val="00F134D9"/>
    <w:rsid w:val="00F1403D"/>
    <w:rsid w:val="00F1463F"/>
    <w:rsid w:val="00F14EA0"/>
    <w:rsid w:val="00F21302"/>
    <w:rsid w:val="00F2430D"/>
    <w:rsid w:val="00F321DE"/>
    <w:rsid w:val="00F33777"/>
    <w:rsid w:val="00F40648"/>
    <w:rsid w:val="00F4075F"/>
    <w:rsid w:val="00F47DA2"/>
    <w:rsid w:val="00F51321"/>
    <w:rsid w:val="00F519FC"/>
    <w:rsid w:val="00F6239D"/>
    <w:rsid w:val="00F715D2"/>
    <w:rsid w:val="00F7274F"/>
    <w:rsid w:val="00F74E84"/>
    <w:rsid w:val="00F7615B"/>
    <w:rsid w:val="00F76ED3"/>
    <w:rsid w:val="00F76FA8"/>
    <w:rsid w:val="00F85AFE"/>
    <w:rsid w:val="00F93F08"/>
    <w:rsid w:val="00F94CED"/>
    <w:rsid w:val="00FA02BB"/>
    <w:rsid w:val="00FA2CEE"/>
    <w:rsid w:val="00FA318C"/>
    <w:rsid w:val="00FB3661"/>
    <w:rsid w:val="00FB6452"/>
    <w:rsid w:val="00FB6F92"/>
    <w:rsid w:val="00FC026E"/>
    <w:rsid w:val="00FC5124"/>
    <w:rsid w:val="00FC65F1"/>
    <w:rsid w:val="00FD0155"/>
    <w:rsid w:val="00FD4731"/>
    <w:rsid w:val="00FD6768"/>
    <w:rsid w:val="00FF0AB0"/>
    <w:rsid w:val="00FF28AC"/>
    <w:rsid w:val="00FF777D"/>
    <w:rsid w:val="00FF7F62"/>
    <w:rsid w:val="01926484"/>
    <w:rsid w:val="024BD400"/>
    <w:rsid w:val="06D43151"/>
    <w:rsid w:val="0E6A3E3F"/>
    <w:rsid w:val="11AE97B4"/>
    <w:rsid w:val="131BF086"/>
    <w:rsid w:val="17A928B3"/>
    <w:rsid w:val="1ACD5786"/>
    <w:rsid w:val="1ECE4356"/>
    <w:rsid w:val="1FB53CA5"/>
    <w:rsid w:val="1FED202B"/>
    <w:rsid w:val="222ED516"/>
    <w:rsid w:val="2A8B5134"/>
    <w:rsid w:val="2B0E4202"/>
    <w:rsid w:val="2D1F7092"/>
    <w:rsid w:val="37610EC7"/>
    <w:rsid w:val="37A8CB26"/>
    <w:rsid w:val="3B6C5B60"/>
    <w:rsid w:val="410652D2"/>
    <w:rsid w:val="41E664E2"/>
    <w:rsid w:val="47B8BFCB"/>
    <w:rsid w:val="4A45A9BF"/>
    <w:rsid w:val="5592DD86"/>
    <w:rsid w:val="5713CD71"/>
    <w:rsid w:val="63D07335"/>
    <w:rsid w:val="6E351CC2"/>
    <w:rsid w:val="6F6B13C0"/>
    <w:rsid w:val="7414F5AB"/>
    <w:rsid w:val="76258801"/>
    <w:rsid w:val="76ECC608"/>
    <w:rsid w:val="7E670E9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 TargetMode="External"/><Relationship Id="rId13" Type="http://schemas.openxmlformats.org/officeDocument/2006/relationships/hyperlink" Target="https://www9.health.gov.au/mbs/subscribe.cfm" TargetMode="External"/><Relationship Id="rId18" Type="http://schemas.openxmlformats.org/officeDocument/2006/relationships/hyperlink" Target="mailto:PHI@health.gov.a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health.gov.au/our-work/mbs-review?language=en" TargetMode="External"/><Relationship Id="rId12" Type="http://schemas.openxmlformats.org/officeDocument/2006/relationships/hyperlink" Target="https://www.mbsonline.gov.au/" TargetMode="External"/><Relationship Id="rId17" Type="http://schemas.openxmlformats.org/officeDocument/2006/relationships/hyperlink" Target="https://www.legislation.gov.a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ealth.gov.au/resources/collections/private-health-insurance-clinical-category-and-procedure-type?language=en" TargetMode="External"/><Relationship Id="rId20" Type="http://schemas.openxmlformats.org/officeDocument/2006/relationships/hyperlink" Target="https://www.mbsonline.gov.au/internet/mbsonline/publishing.nsf/Content/downloa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gov.au/topics/medicare/compliance"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privatehealth.gov.au/health_insurance/phichanges/index.htm" TargetMode="External"/><Relationship Id="rId23" Type="http://schemas.openxmlformats.org/officeDocument/2006/relationships/header" Target="header2.xml"/><Relationship Id="rId10" Type="http://schemas.openxmlformats.org/officeDocument/2006/relationships/hyperlink" Target="https://www.health.gov.au/" TargetMode="External"/><Relationship Id="rId19" Type="http://schemas.openxmlformats.org/officeDocument/2006/relationships/hyperlink" Target="https://www.servicesaustralia.gov.au/organisations/health-professionals/news/all" TargetMode="External"/><Relationship Id="rId4" Type="http://schemas.openxmlformats.org/officeDocument/2006/relationships/webSettings" Target="webSettings.xml"/><Relationship Id="rId9" Type="http://schemas.openxmlformats.org/officeDocument/2006/relationships/hyperlink" Target="https://www.health.gov.au/resources/publications/report-from-the-general-practice-and-primary-care-clinical-committee-phase-2?language=en" TargetMode="External"/><Relationship Id="rId14" Type="http://schemas.openxmlformats.org/officeDocument/2006/relationships/hyperlink" Target="mailto:askMBS@health.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1580</Words>
  <Characters>9007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2025-05-22T03:55:00Z</dcterms:created>
  <dcterms:modified xsi:type="dcterms:W3CDTF">2025-05-22T05:25:00Z</dcterms:modified>
</cp:coreProperties>
</file>