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A987E" w14:textId="4BEF043A" w:rsidR="00BA2732" w:rsidRDefault="0004023C" w:rsidP="003D033A">
      <w:pPr>
        <w:pStyle w:val="Title"/>
      </w:pPr>
      <w:r>
        <w:t>1 July 2026 Pathology Services Changes</w:t>
      </w:r>
    </w:p>
    <w:p w14:paraId="6EFD4B5B" w14:textId="0040ABE2" w:rsidR="00064168" w:rsidRDefault="00064168" w:rsidP="006F5073">
      <w:bookmarkStart w:id="0" w:name="_Hlk4568006"/>
      <w:r w:rsidRPr="00867595">
        <w:t xml:space="preserve">Last </w:t>
      </w:r>
      <w:r w:rsidRPr="00E233CF">
        <w:t xml:space="preserve">updated: </w:t>
      </w:r>
      <w:r w:rsidR="00D51F6D">
        <w:t>2 June</w:t>
      </w:r>
      <w:r w:rsidR="00107176">
        <w:t xml:space="preserve"> </w:t>
      </w:r>
      <w:r w:rsidR="007B1A65">
        <w:t>2026</w:t>
      </w:r>
    </w:p>
    <w:p w14:paraId="2B80E57F" w14:textId="38A777BB" w:rsidR="00BB3BCE" w:rsidRDefault="00D25A3C" w:rsidP="00BB3BCE">
      <w:r>
        <w:t>From</w:t>
      </w:r>
      <w:r w:rsidR="0004023C" w:rsidRPr="0004023C">
        <w:t xml:space="preserve"> </w:t>
      </w:r>
      <w:r w:rsidR="0004023C" w:rsidRPr="002322D9">
        <w:rPr>
          <w:b/>
          <w:bCs/>
        </w:rPr>
        <w:t>1 July 202</w:t>
      </w:r>
      <w:r w:rsidR="00680AA1" w:rsidRPr="002322D9">
        <w:rPr>
          <w:b/>
          <w:bCs/>
        </w:rPr>
        <w:t>6</w:t>
      </w:r>
      <w:r w:rsidR="0004023C" w:rsidRPr="0004023C">
        <w:t xml:space="preserve">, </w:t>
      </w:r>
      <w:r w:rsidR="0004023C">
        <w:t xml:space="preserve">changes </w:t>
      </w:r>
      <w:r w:rsidR="005F4A3F">
        <w:t xml:space="preserve">will apply </w:t>
      </w:r>
      <w:r w:rsidR="0004023C">
        <w:t xml:space="preserve">to </w:t>
      </w:r>
      <w:r w:rsidR="00A126F8">
        <w:t xml:space="preserve">selected </w:t>
      </w:r>
      <w:r w:rsidR="0004023C" w:rsidRPr="0004023C">
        <w:t>Medicare Benefits Schedule (MBS</w:t>
      </w:r>
      <w:r w:rsidR="0004023C">
        <w:t>) pathology services. Th</w:t>
      </w:r>
      <w:r w:rsidR="00A126F8">
        <w:t>e change</w:t>
      </w:r>
      <w:r w:rsidR="0004023C">
        <w:t xml:space="preserve">s include </w:t>
      </w:r>
      <w:r w:rsidR="00093CF8" w:rsidRPr="003B7079">
        <w:t>two</w:t>
      </w:r>
      <w:r w:rsidR="0004023C">
        <w:t xml:space="preserve"> new </w:t>
      </w:r>
      <w:r w:rsidR="00A126F8">
        <w:t xml:space="preserve">genetic testing </w:t>
      </w:r>
      <w:r w:rsidR="0004023C">
        <w:t>item</w:t>
      </w:r>
      <w:r w:rsidR="00093CF8">
        <w:t>s</w:t>
      </w:r>
      <w:r w:rsidR="00A1385C">
        <w:t>,</w:t>
      </w:r>
      <w:r>
        <w:t xml:space="preserve"> </w:t>
      </w:r>
      <w:r w:rsidR="00D078C2" w:rsidRPr="00D078C2">
        <w:rPr>
          <w:lang w:val="en-US"/>
        </w:rPr>
        <w:t>streamlined hepatitis C RNA testing, and updated coagulation testing descriptors.</w:t>
      </w:r>
      <w:bookmarkEnd w:id="0"/>
    </w:p>
    <w:p w14:paraId="4FE7D6EB" w14:textId="62A98A81" w:rsidR="00BB3BCE" w:rsidRDefault="00BB3BCE" w:rsidP="00BB3BCE">
      <w:pPr>
        <w:rPr>
          <w:b/>
          <w:bCs/>
          <w:iCs/>
        </w:rPr>
      </w:pPr>
      <w:r w:rsidRPr="00BB3BCE">
        <w:t>These changes will affect all health professionals who request, provide</w:t>
      </w:r>
      <w:r w:rsidR="009E74FC">
        <w:t xml:space="preserve">, bill </w:t>
      </w:r>
      <w:r w:rsidRPr="00BB3BCE">
        <w:t>and claim these services under the MBS</w:t>
      </w:r>
      <w:r w:rsidR="00CE6D3E">
        <w:t>. They will also affect</w:t>
      </w:r>
      <w:r w:rsidRPr="00BB3BCE">
        <w:t xml:space="preserve"> </w:t>
      </w:r>
      <w:r w:rsidR="005223FE">
        <w:t>patients</w:t>
      </w:r>
      <w:r w:rsidRPr="00BB3BCE">
        <w:t xml:space="preserve"> who receive the</w:t>
      </w:r>
      <w:r w:rsidR="00326D78">
        <w:t>se</w:t>
      </w:r>
      <w:r w:rsidRPr="00BB3BCE">
        <w:t xml:space="preserve"> service</w:t>
      </w:r>
      <w:r w:rsidR="00326D78">
        <w:t>s</w:t>
      </w:r>
      <w:r w:rsidR="00D636FD">
        <w:t xml:space="preserve"> and</w:t>
      </w:r>
      <w:r w:rsidRPr="00BB3BCE">
        <w:t xml:space="preserve"> private health</w:t>
      </w:r>
      <w:r>
        <w:t xml:space="preserve"> </w:t>
      </w:r>
      <w:r w:rsidRPr="00BB3BCE">
        <w:t>insurers</w:t>
      </w:r>
      <w:r w:rsidR="00D636FD">
        <w:t>.</w:t>
      </w:r>
    </w:p>
    <w:p w14:paraId="44460BF5" w14:textId="7DBBEDA1" w:rsidR="00064168" w:rsidRDefault="00064168" w:rsidP="00BB3BCE">
      <w:pPr>
        <w:pStyle w:val="Heading2"/>
      </w:pPr>
      <w:r w:rsidRPr="00867595">
        <w:t>What are the changes?</w:t>
      </w:r>
    </w:p>
    <w:p w14:paraId="07F8C7B3" w14:textId="2BD2CAD3" w:rsidR="00A23C7B" w:rsidRDefault="00A23C7B" w:rsidP="001B4130">
      <w:r>
        <w:t xml:space="preserve">Effective </w:t>
      </w:r>
      <w:r w:rsidRPr="002322D9">
        <w:rPr>
          <w:b/>
          <w:bCs/>
        </w:rPr>
        <w:t>1 July 2026</w:t>
      </w:r>
      <w:r>
        <w:t xml:space="preserve">, </w:t>
      </w:r>
      <w:r w:rsidR="0027101B">
        <w:t>the</w:t>
      </w:r>
      <w:r>
        <w:t xml:space="preserve"> MBS pathology </w:t>
      </w:r>
      <w:r w:rsidR="0027101B">
        <w:t xml:space="preserve">changes </w:t>
      </w:r>
      <w:r>
        <w:t>include</w:t>
      </w:r>
      <w:r w:rsidR="0027101B">
        <w:t xml:space="preserve"> the following:</w:t>
      </w:r>
    </w:p>
    <w:p w14:paraId="52F573D4" w14:textId="10C1AE72" w:rsidR="0027101B" w:rsidRPr="00D636FD" w:rsidRDefault="0027101B" w:rsidP="001B4130">
      <w:pPr>
        <w:rPr>
          <w:b/>
          <w:bCs/>
        </w:rPr>
      </w:pPr>
      <w:r w:rsidRPr="00D636FD">
        <w:rPr>
          <w:b/>
          <w:bCs/>
          <w:lang w:val="en-US"/>
        </w:rPr>
        <w:t>New MBS item for HLA genotyping</w:t>
      </w:r>
      <w:r w:rsidRPr="00D636FD">
        <w:rPr>
          <w:b/>
          <w:bCs/>
        </w:rPr>
        <w:t> </w:t>
      </w:r>
    </w:p>
    <w:p w14:paraId="31370900" w14:textId="7E84F7F2" w:rsidR="00D25A3C" w:rsidRPr="00B650F9" w:rsidRDefault="000A68A4" w:rsidP="00D636FD">
      <w:pPr>
        <w:pStyle w:val="ListBullet"/>
        <w:numPr>
          <w:ilvl w:val="0"/>
          <w:numId w:val="0"/>
        </w:numPr>
        <w:rPr>
          <w:szCs w:val="24"/>
        </w:rPr>
      </w:pPr>
      <w:r>
        <w:t>A</w:t>
      </w:r>
      <w:r w:rsidRPr="00D636FD">
        <w:t xml:space="preserve"> </w:t>
      </w:r>
      <w:r w:rsidR="00D25A3C" w:rsidRPr="00B650F9">
        <w:rPr>
          <w:szCs w:val="24"/>
        </w:rPr>
        <w:t xml:space="preserve">new </w:t>
      </w:r>
      <w:r w:rsidR="00BC02FA" w:rsidRPr="00B650F9">
        <w:rPr>
          <w:szCs w:val="24"/>
        </w:rPr>
        <w:t xml:space="preserve">MBS </w:t>
      </w:r>
      <w:r w:rsidR="00D25A3C" w:rsidRPr="00B650F9">
        <w:rPr>
          <w:szCs w:val="24"/>
        </w:rPr>
        <w:t xml:space="preserve">item </w:t>
      </w:r>
      <w:r w:rsidRPr="00B650F9">
        <w:rPr>
          <w:szCs w:val="24"/>
        </w:rPr>
        <w:t xml:space="preserve">supports </w:t>
      </w:r>
      <w:r w:rsidR="00D25A3C" w:rsidRPr="00B650F9">
        <w:rPr>
          <w:szCs w:val="24"/>
        </w:rPr>
        <w:t xml:space="preserve">human leukocyte antigen (HLA) genotyping to predict the risk of </w:t>
      </w:r>
      <w:r w:rsidR="00196620" w:rsidRPr="00B650F9">
        <w:rPr>
          <w:szCs w:val="24"/>
        </w:rPr>
        <w:t>severe</w:t>
      </w:r>
      <w:r w:rsidR="00D25A3C" w:rsidRPr="00B650F9">
        <w:rPr>
          <w:szCs w:val="24"/>
        </w:rPr>
        <w:t xml:space="preserve"> drug hypersensitivity reactions.</w:t>
      </w:r>
    </w:p>
    <w:p w14:paraId="50317A95" w14:textId="44CFF205" w:rsidR="00D25A3C" w:rsidRDefault="006054AD" w:rsidP="001F5E42">
      <w:pPr>
        <w:rPr>
          <w:szCs w:val="22"/>
        </w:rPr>
      </w:pPr>
      <w:r>
        <w:rPr>
          <w:szCs w:val="22"/>
        </w:rPr>
        <w:t>MBS</w:t>
      </w:r>
      <w:r w:rsidR="00E6601D">
        <w:rPr>
          <w:szCs w:val="22"/>
        </w:rPr>
        <w:t xml:space="preserve"> </w:t>
      </w:r>
      <w:r w:rsidR="00FC6CA2" w:rsidRPr="00FC6CA2">
        <w:rPr>
          <w:szCs w:val="22"/>
        </w:rPr>
        <w:t xml:space="preserve">item </w:t>
      </w:r>
      <w:r w:rsidR="00E6601D" w:rsidRPr="00D636FD">
        <w:rPr>
          <w:b/>
          <w:bCs/>
          <w:szCs w:val="22"/>
        </w:rPr>
        <w:t>73400</w:t>
      </w:r>
      <w:r w:rsidR="00E6601D">
        <w:rPr>
          <w:szCs w:val="22"/>
        </w:rPr>
        <w:t xml:space="preserve"> </w:t>
      </w:r>
      <w:r w:rsidR="00022E1C">
        <w:rPr>
          <w:szCs w:val="22"/>
        </w:rPr>
        <w:t>allows genetic testing</w:t>
      </w:r>
      <w:r w:rsidR="00FC6CA2" w:rsidRPr="00FC6CA2">
        <w:rPr>
          <w:szCs w:val="22"/>
        </w:rPr>
        <w:t xml:space="preserve"> of two or more </w:t>
      </w:r>
      <w:r w:rsidR="00FC6CA2" w:rsidRPr="008C6749">
        <w:rPr>
          <w:i/>
          <w:iCs/>
          <w:szCs w:val="22"/>
        </w:rPr>
        <w:t>HLA</w:t>
      </w:r>
      <w:r w:rsidR="00FC6CA2" w:rsidRPr="00FC6CA2">
        <w:rPr>
          <w:szCs w:val="22"/>
        </w:rPr>
        <w:t xml:space="preserve"> variants</w:t>
      </w:r>
      <w:r w:rsidR="00141E1D">
        <w:rPr>
          <w:szCs w:val="22"/>
        </w:rPr>
        <w:t xml:space="preserve"> (</w:t>
      </w:r>
      <w:r w:rsidR="00FC6CA2" w:rsidRPr="00FC6CA2">
        <w:rPr>
          <w:szCs w:val="22"/>
        </w:rPr>
        <w:t xml:space="preserve">including </w:t>
      </w:r>
      <w:r w:rsidR="00FC6CA2" w:rsidRPr="008C6749">
        <w:rPr>
          <w:i/>
          <w:iCs/>
          <w:szCs w:val="22"/>
        </w:rPr>
        <w:t>HLA</w:t>
      </w:r>
      <w:r w:rsidR="00FC6CA2" w:rsidRPr="008C6749">
        <w:rPr>
          <w:i/>
          <w:iCs/>
          <w:szCs w:val="22"/>
        </w:rPr>
        <w:noBreakHyphen/>
        <w:t>A*31:01</w:t>
      </w:r>
      <w:r w:rsidR="00FC6CA2" w:rsidRPr="00FC6CA2">
        <w:rPr>
          <w:i/>
          <w:iCs/>
          <w:szCs w:val="22"/>
        </w:rPr>
        <w:t xml:space="preserve"> and </w:t>
      </w:r>
      <w:r w:rsidR="00FC6CA2" w:rsidRPr="008C6749">
        <w:rPr>
          <w:i/>
          <w:iCs/>
          <w:szCs w:val="22"/>
        </w:rPr>
        <w:t>HLA</w:t>
      </w:r>
      <w:r w:rsidR="00FC6CA2" w:rsidRPr="008C6749">
        <w:rPr>
          <w:i/>
          <w:iCs/>
          <w:szCs w:val="22"/>
        </w:rPr>
        <w:noBreakHyphen/>
        <w:t>B*15:02</w:t>
      </w:r>
      <w:r w:rsidR="00141E1D">
        <w:rPr>
          <w:i/>
          <w:iCs/>
          <w:szCs w:val="22"/>
        </w:rPr>
        <w:t>).</w:t>
      </w:r>
      <w:r w:rsidR="00FC6CA2" w:rsidRPr="00FC6CA2">
        <w:rPr>
          <w:szCs w:val="22"/>
        </w:rPr>
        <w:t xml:space="preserve"> </w:t>
      </w:r>
      <w:r w:rsidR="00FC6CA2">
        <w:rPr>
          <w:szCs w:val="22"/>
        </w:rPr>
        <w:t xml:space="preserve">The </w:t>
      </w:r>
      <w:r w:rsidR="006555AC">
        <w:rPr>
          <w:szCs w:val="22"/>
        </w:rPr>
        <w:t>test assesses a</w:t>
      </w:r>
      <w:r w:rsidR="00FC6CA2" w:rsidRPr="00FC6CA2">
        <w:rPr>
          <w:szCs w:val="22"/>
        </w:rPr>
        <w:t xml:space="preserve"> patient</w:t>
      </w:r>
      <w:r w:rsidR="006555AC">
        <w:rPr>
          <w:szCs w:val="22"/>
        </w:rPr>
        <w:t>’</w:t>
      </w:r>
      <w:r w:rsidR="00FC6CA2" w:rsidRPr="00FC6CA2">
        <w:rPr>
          <w:szCs w:val="22"/>
        </w:rPr>
        <w:t xml:space="preserve">s </w:t>
      </w:r>
      <w:r w:rsidR="006555AC">
        <w:rPr>
          <w:szCs w:val="22"/>
        </w:rPr>
        <w:t xml:space="preserve">risk of </w:t>
      </w:r>
      <w:r w:rsidR="007158B5">
        <w:rPr>
          <w:szCs w:val="22"/>
        </w:rPr>
        <w:t>hypersensitivity</w:t>
      </w:r>
      <w:r w:rsidR="006555AC">
        <w:rPr>
          <w:szCs w:val="22"/>
        </w:rPr>
        <w:t xml:space="preserve"> reaction to </w:t>
      </w:r>
      <w:hyperlink r:id="rId8" w:history="1">
        <w:r w:rsidR="00A03C1E">
          <w:rPr>
            <w:rStyle w:val="Hyperlink"/>
            <w:szCs w:val="22"/>
          </w:rPr>
          <w:t>carbamazepine (CBZ)</w:t>
        </w:r>
      </w:hyperlink>
      <w:r w:rsidR="006555AC">
        <w:rPr>
          <w:szCs w:val="22"/>
        </w:rPr>
        <w:t xml:space="preserve"> or </w:t>
      </w:r>
      <w:hyperlink r:id="rId9" w:history="1">
        <w:r w:rsidR="00A03C1E">
          <w:rPr>
            <w:rStyle w:val="Hyperlink"/>
            <w:szCs w:val="22"/>
          </w:rPr>
          <w:t>oxcarbazepine (OXC)</w:t>
        </w:r>
      </w:hyperlink>
      <w:r w:rsidR="00240453">
        <w:rPr>
          <w:szCs w:val="22"/>
        </w:rPr>
        <w:t>.</w:t>
      </w:r>
    </w:p>
    <w:p w14:paraId="214C6BC1" w14:textId="1ED64B67" w:rsidR="00196620" w:rsidRPr="00FC6CA2" w:rsidRDefault="00196620" w:rsidP="00D636FD">
      <w:pPr>
        <w:rPr>
          <w:szCs w:val="22"/>
        </w:rPr>
      </w:pPr>
      <w:r w:rsidRPr="00196620">
        <w:rPr>
          <w:szCs w:val="22"/>
          <w:lang w:val="en-US"/>
        </w:rPr>
        <w:t>The item applies to patients who are about to start, or have just started, carbamazepine or oxcarbazepine treatment.</w:t>
      </w:r>
      <w:r w:rsidRPr="00196620">
        <w:rPr>
          <w:szCs w:val="22"/>
        </w:rPr>
        <w:t> </w:t>
      </w:r>
    </w:p>
    <w:p w14:paraId="67ECABDC" w14:textId="0FF14A37" w:rsidR="002652ED" w:rsidRPr="002652ED" w:rsidRDefault="00B02DF1" w:rsidP="00D636FD">
      <w:pPr>
        <w:rPr>
          <w:szCs w:val="22"/>
        </w:rPr>
      </w:pPr>
      <w:r>
        <w:rPr>
          <w:szCs w:val="22"/>
        </w:rPr>
        <w:t>Explanatory</w:t>
      </w:r>
      <w:r w:rsidR="002652ED">
        <w:rPr>
          <w:szCs w:val="22"/>
        </w:rPr>
        <w:t xml:space="preserve"> note </w:t>
      </w:r>
      <w:r>
        <w:rPr>
          <w:szCs w:val="22"/>
        </w:rPr>
        <w:t>PN.</w:t>
      </w:r>
      <w:r>
        <w:t xml:space="preserve">7.23 </w:t>
      </w:r>
      <w:r w:rsidR="002652ED">
        <w:rPr>
          <w:szCs w:val="22"/>
        </w:rPr>
        <w:t>provides additional guidance</w:t>
      </w:r>
      <w:r>
        <w:rPr>
          <w:szCs w:val="22"/>
        </w:rPr>
        <w:t xml:space="preserve"> to clinicians</w:t>
      </w:r>
      <w:r w:rsidR="002652ED">
        <w:rPr>
          <w:szCs w:val="22"/>
        </w:rPr>
        <w:t xml:space="preserve"> on</w:t>
      </w:r>
      <w:r w:rsidR="006054AD">
        <w:rPr>
          <w:szCs w:val="22"/>
        </w:rPr>
        <w:t xml:space="preserve"> </w:t>
      </w:r>
      <w:r w:rsidR="00557DA5">
        <w:rPr>
          <w:szCs w:val="22"/>
        </w:rPr>
        <w:t xml:space="preserve">the use of </w:t>
      </w:r>
      <w:r w:rsidR="006054AD">
        <w:rPr>
          <w:szCs w:val="22"/>
        </w:rPr>
        <w:t>MBS</w:t>
      </w:r>
      <w:r w:rsidR="002652ED">
        <w:rPr>
          <w:szCs w:val="22"/>
        </w:rPr>
        <w:t xml:space="preserve"> item 73400.</w:t>
      </w:r>
    </w:p>
    <w:p w14:paraId="14CB6C78" w14:textId="3FB83154" w:rsidR="007E0068" w:rsidRDefault="007E0068" w:rsidP="00D636FD">
      <w:r>
        <w:t>For private health insurance purposes,</w:t>
      </w:r>
      <w:r w:rsidR="002652ED">
        <w:t xml:space="preserve"> MBS</w:t>
      </w:r>
      <w:r>
        <w:t xml:space="preserve"> </w:t>
      </w:r>
      <w:r w:rsidRPr="00B02DF1">
        <w:t xml:space="preserve">item </w:t>
      </w:r>
      <w:r w:rsidR="002652ED" w:rsidRPr="00B02DF1">
        <w:t>73400</w:t>
      </w:r>
      <w:r w:rsidRPr="00B02DF1">
        <w:t xml:space="preserve"> will be</w:t>
      </w:r>
      <w:r w:rsidR="002652ED">
        <w:t xml:space="preserve"> </w:t>
      </w:r>
      <w:r>
        <w:t>listed under the following clinical category and procedure type:</w:t>
      </w:r>
    </w:p>
    <w:p w14:paraId="777A0285" w14:textId="77777777" w:rsidR="0018065D" w:rsidRDefault="0018065D" w:rsidP="007D42D6">
      <w:pPr>
        <w:pStyle w:val="ListNumber2"/>
      </w:pPr>
      <w:r>
        <w:t>Clinical category: Support List (pathology)</w:t>
      </w:r>
    </w:p>
    <w:p w14:paraId="71DA3869" w14:textId="659FBCEA" w:rsidR="00C40652" w:rsidRDefault="0018065D" w:rsidP="00641EB5">
      <w:pPr>
        <w:pStyle w:val="ListNumber2"/>
      </w:pPr>
      <w:r>
        <w:t>Procedure type: Type C</w:t>
      </w:r>
    </w:p>
    <w:p w14:paraId="3C36D215" w14:textId="77777777" w:rsidR="00670A2D" w:rsidRDefault="00670A2D" w:rsidP="0039496F">
      <w:pPr>
        <w:pStyle w:val="ListNumber2"/>
        <w:numPr>
          <w:ilvl w:val="0"/>
          <w:numId w:val="0"/>
        </w:numPr>
      </w:pPr>
    </w:p>
    <w:p w14:paraId="1E264CEB" w14:textId="75D55436" w:rsidR="00670A2D" w:rsidRPr="00D636FD" w:rsidRDefault="00670A2D" w:rsidP="00670A2D">
      <w:pPr>
        <w:rPr>
          <w:b/>
          <w:bCs/>
        </w:rPr>
      </w:pPr>
      <w:r w:rsidRPr="00D636FD">
        <w:rPr>
          <w:b/>
          <w:bCs/>
          <w:lang w:val="en-US"/>
        </w:rPr>
        <w:t xml:space="preserve">New MBS item for </w:t>
      </w:r>
      <w:r w:rsidRPr="00255DD1">
        <w:rPr>
          <w:b/>
          <w:bCs/>
          <w:i/>
          <w:iCs/>
          <w:lang w:val="en-US"/>
        </w:rPr>
        <w:t xml:space="preserve">FGFR2 </w:t>
      </w:r>
      <w:r>
        <w:rPr>
          <w:b/>
          <w:bCs/>
          <w:lang w:val="en-US"/>
        </w:rPr>
        <w:t xml:space="preserve">fusion or rearrangement </w:t>
      </w:r>
      <w:r w:rsidR="004F1186" w:rsidRPr="004F1186">
        <w:rPr>
          <w:b/>
          <w:bCs/>
          <w:lang w:val="en-US"/>
        </w:rPr>
        <w:t>and</w:t>
      </w:r>
      <w:r>
        <w:rPr>
          <w:b/>
          <w:bCs/>
          <w:lang w:val="en-US"/>
        </w:rPr>
        <w:t xml:space="preserve"> </w:t>
      </w:r>
      <w:r w:rsidRPr="00255DD1">
        <w:rPr>
          <w:b/>
          <w:bCs/>
          <w:i/>
          <w:iCs/>
          <w:lang w:val="en-US"/>
        </w:rPr>
        <w:t>IDH1</w:t>
      </w:r>
      <w:r>
        <w:rPr>
          <w:b/>
          <w:bCs/>
          <w:lang w:val="en-US"/>
        </w:rPr>
        <w:t xml:space="preserve"> variant </w:t>
      </w:r>
      <w:r w:rsidR="004F1186">
        <w:rPr>
          <w:b/>
          <w:bCs/>
          <w:lang w:val="en-US"/>
        </w:rPr>
        <w:t>sta</w:t>
      </w:r>
      <w:r w:rsidR="004F1186" w:rsidRPr="00727A34">
        <w:rPr>
          <w:b/>
          <w:bCs/>
          <w:lang w:val="en-US"/>
        </w:rPr>
        <w:t>tus</w:t>
      </w:r>
      <w:r w:rsidR="00E9497D">
        <w:rPr>
          <w:b/>
          <w:bCs/>
          <w:lang w:val="en-US"/>
        </w:rPr>
        <w:t xml:space="preserve"> </w:t>
      </w:r>
      <w:r w:rsidRPr="00727A34">
        <w:rPr>
          <w:b/>
          <w:bCs/>
          <w:lang w:val="en-US"/>
        </w:rPr>
        <w:t>testing</w:t>
      </w:r>
      <w:r w:rsidR="00727A34" w:rsidRPr="00727A34">
        <w:rPr>
          <w:b/>
          <w:bCs/>
          <w:lang w:val="en-US"/>
        </w:rPr>
        <w:t xml:space="preserve"> </w:t>
      </w:r>
      <w:r w:rsidR="00727A34" w:rsidRPr="00E9497D">
        <w:rPr>
          <w:b/>
          <w:bCs/>
          <w:noProof/>
        </w:rPr>
        <w:t>for patients with C</w:t>
      </w:r>
      <w:r w:rsidR="00FF5AB5">
        <w:rPr>
          <w:b/>
          <w:bCs/>
          <w:noProof/>
        </w:rPr>
        <w:t>holangiocarcinoma</w:t>
      </w:r>
      <w:r w:rsidR="00727A34">
        <w:rPr>
          <w:bCs/>
          <w:noProof/>
        </w:rPr>
        <w:t>.</w:t>
      </w:r>
      <w:r w:rsidRPr="00D636FD">
        <w:rPr>
          <w:b/>
          <w:bCs/>
        </w:rPr>
        <w:t> </w:t>
      </w:r>
    </w:p>
    <w:p w14:paraId="3E618C51" w14:textId="140CA4AA" w:rsidR="00670A2D" w:rsidRPr="00B650F9" w:rsidRDefault="00670A2D" w:rsidP="00670A2D">
      <w:pPr>
        <w:pStyle w:val="ListBullet"/>
        <w:numPr>
          <w:ilvl w:val="0"/>
          <w:numId w:val="0"/>
        </w:numPr>
        <w:rPr>
          <w:szCs w:val="24"/>
        </w:rPr>
      </w:pPr>
      <w:r>
        <w:t>A</w:t>
      </w:r>
      <w:r w:rsidRPr="00D636FD">
        <w:t xml:space="preserve"> </w:t>
      </w:r>
      <w:r w:rsidRPr="00B650F9">
        <w:rPr>
          <w:szCs w:val="24"/>
        </w:rPr>
        <w:t xml:space="preserve">new MBS item </w:t>
      </w:r>
      <w:r w:rsidRPr="00D636FD">
        <w:rPr>
          <w:b/>
          <w:bCs/>
        </w:rPr>
        <w:t>73</w:t>
      </w:r>
      <w:r>
        <w:rPr>
          <w:b/>
          <w:bCs/>
        </w:rPr>
        <w:t>329</w:t>
      </w:r>
      <w:r>
        <w:t xml:space="preserve"> </w:t>
      </w:r>
      <w:r w:rsidRPr="00B650F9">
        <w:rPr>
          <w:szCs w:val="24"/>
        </w:rPr>
        <w:t xml:space="preserve">supports </w:t>
      </w:r>
      <w:r>
        <w:rPr>
          <w:bCs/>
          <w:noProof/>
        </w:rPr>
        <w:t>multi-gene panel test</w:t>
      </w:r>
      <w:r w:rsidR="00FF5AB5">
        <w:rPr>
          <w:bCs/>
          <w:noProof/>
        </w:rPr>
        <w:t>ing</w:t>
      </w:r>
      <w:r>
        <w:rPr>
          <w:bCs/>
          <w:noProof/>
        </w:rPr>
        <w:t xml:space="preserve"> of tumour tissue to detect </w:t>
      </w:r>
      <w:r w:rsidRPr="00891C54">
        <w:t>Fibroblast Growth Factor Receptor 2</w:t>
      </w:r>
      <w:r>
        <w:t xml:space="preserve"> (</w:t>
      </w:r>
      <w:r>
        <w:rPr>
          <w:bCs/>
          <w:i/>
          <w:iCs/>
          <w:noProof/>
        </w:rPr>
        <w:t xml:space="preserve">FGFR2) </w:t>
      </w:r>
      <w:r>
        <w:rPr>
          <w:bCs/>
          <w:noProof/>
        </w:rPr>
        <w:t xml:space="preserve">fusion or rearrangement and </w:t>
      </w:r>
      <w:r w:rsidRPr="00891C54">
        <w:t>Isocitrate Dehydrogenase 1</w:t>
      </w:r>
      <w:r>
        <w:t xml:space="preserve"> (</w:t>
      </w:r>
      <w:r>
        <w:rPr>
          <w:bCs/>
          <w:i/>
          <w:iCs/>
          <w:noProof/>
        </w:rPr>
        <w:t>IDH1)</w:t>
      </w:r>
      <w:r>
        <w:rPr>
          <w:bCs/>
          <w:noProof/>
        </w:rPr>
        <w:t xml:space="preserve"> variant status for </w:t>
      </w:r>
      <w:r w:rsidR="00727A34">
        <w:rPr>
          <w:bCs/>
          <w:noProof/>
        </w:rPr>
        <w:t xml:space="preserve">patients </w:t>
      </w:r>
      <w:r>
        <w:rPr>
          <w:bCs/>
          <w:noProof/>
        </w:rPr>
        <w:t>with cholangiocarcinoma (CCA).</w:t>
      </w:r>
    </w:p>
    <w:p w14:paraId="3F50DB10" w14:textId="4415C9C7" w:rsidR="00670A2D" w:rsidRDefault="00670A2D" w:rsidP="00670A2D">
      <w:pPr>
        <w:rPr>
          <w:szCs w:val="22"/>
        </w:rPr>
      </w:pPr>
      <w:r>
        <w:rPr>
          <w:szCs w:val="22"/>
        </w:rPr>
        <w:t xml:space="preserve">MBS </w:t>
      </w:r>
      <w:r w:rsidRPr="00FC6CA2">
        <w:rPr>
          <w:szCs w:val="22"/>
        </w:rPr>
        <w:t xml:space="preserve">item </w:t>
      </w:r>
      <w:r w:rsidRPr="00D636FD">
        <w:rPr>
          <w:b/>
          <w:bCs/>
          <w:szCs w:val="22"/>
        </w:rPr>
        <w:t>73</w:t>
      </w:r>
      <w:r>
        <w:rPr>
          <w:b/>
          <w:bCs/>
          <w:szCs w:val="22"/>
        </w:rPr>
        <w:t>329</w:t>
      </w:r>
      <w:r>
        <w:rPr>
          <w:szCs w:val="22"/>
        </w:rPr>
        <w:t xml:space="preserve"> allows genetic testing of CCA patients for determining eligibility for a relevant </w:t>
      </w:r>
      <w:r w:rsidRPr="00DB6768">
        <w:rPr>
          <w:szCs w:val="22"/>
        </w:rPr>
        <w:t>treatment under the Pharmaceutical Benefits Schedule (PBS)</w:t>
      </w:r>
      <w:r w:rsidR="00727A34">
        <w:rPr>
          <w:szCs w:val="22"/>
        </w:rPr>
        <w:t xml:space="preserve"> (including for </w:t>
      </w:r>
      <w:proofErr w:type="spellStart"/>
      <w:r w:rsidR="00727A34">
        <w:rPr>
          <w:szCs w:val="22"/>
        </w:rPr>
        <w:t>Futibatinib</w:t>
      </w:r>
      <w:proofErr w:type="spellEnd"/>
      <w:r w:rsidR="00727A34">
        <w:rPr>
          <w:szCs w:val="22"/>
        </w:rPr>
        <w:t>)</w:t>
      </w:r>
      <w:r w:rsidRPr="00DB6768">
        <w:rPr>
          <w:szCs w:val="22"/>
        </w:rPr>
        <w:t xml:space="preserve"> for improved patient outcomes. It is scheduled to coincide with the listing of </w:t>
      </w:r>
      <w:proofErr w:type="spellStart"/>
      <w:r w:rsidRPr="00DB6768">
        <w:rPr>
          <w:szCs w:val="22"/>
        </w:rPr>
        <w:t>Futibatinib</w:t>
      </w:r>
      <w:proofErr w:type="spellEnd"/>
      <w:r w:rsidRPr="00DB6768">
        <w:rPr>
          <w:szCs w:val="22"/>
        </w:rPr>
        <w:t xml:space="preserve"> on the PBS</w:t>
      </w:r>
      <w:r w:rsidR="00FF5AB5">
        <w:rPr>
          <w:szCs w:val="22"/>
        </w:rPr>
        <w:t xml:space="preserve"> for this group of patients</w:t>
      </w:r>
      <w:r w:rsidRPr="00DB6768">
        <w:rPr>
          <w:szCs w:val="22"/>
        </w:rPr>
        <w:t>.</w:t>
      </w:r>
    </w:p>
    <w:p w14:paraId="1BF0D446" w14:textId="7FE6E22C" w:rsidR="00670A2D" w:rsidRPr="00FC6CA2" w:rsidRDefault="00670A2D" w:rsidP="00670A2D">
      <w:pPr>
        <w:rPr>
          <w:szCs w:val="22"/>
        </w:rPr>
      </w:pPr>
      <w:r w:rsidRPr="00196620">
        <w:rPr>
          <w:szCs w:val="22"/>
          <w:lang w:val="en-US"/>
        </w:rPr>
        <w:lastRenderedPageBreak/>
        <w:t xml:space="preserve">The </w:t>
      </w:r>
      <w:r>
        <w:rPr>
          <w:szCs w:val="22"/>
          <w:lang w:val="en-US"/>
        </w:rPr>
        <w:t xml:space="preserve">new </w:t>
      </w:r>
      <w:r w:rsidRPr="00196620">
        <w:rPr>
          <w:szCs w:val="22"/>
          <w:lang w:val="en-US"/>
        </w:rPr>
        <w:t xml:space="preserve">item </w:t>
      </w:r>
      <w:r w:rsidRPr="00D636FD">
        <w:rPr>
          <w:b/>
          <w:bCs/>
          <w:szCs w:val="22"/>
        </w:rPr>
        <w:t>73</w:t>
      </w:r>
      <w:r>
        <w:rPr>
          <w:b/>
          <w:bCs/>
          <w:szCs w:val="22"/>
        </w:rPr>
        <w:t>329</w:t>
      </w:r>
      <w:r>
        <w:rPr>
          <w:szCs w:val="22"/>
        </w:rPr>
        <w:t xml:space="preserve"> </w:t>
      </w:r>
      <w:r w:rsidRPr="00DB6768">
        <w:rPr>
          <w:szCs w:val="22"/>
        </w:rPr>
        <w:t xml:space="preserve">enables </w:t>
      </w:r>
      <w:r w:rsidR="00727A34">
        <w:rPr>
          <w:szCs w:val="22"/>
        </w:rPr>
        <w:t xml:space="preserve">a multi-gene panel </w:t>
      </w:r>
      <w:r w:rsidRPr="00DB6768">
        <w:rPr>
          <w:szCs w:val="22"/>
        </w:rPr>
        <w:t xml:space="preserve">combined test </w:t>
      </w:r>
      <w:r>
        <w:rPr>
          <w:szCs w:val="22"/>
        </w:rPr>
        <w:t>for</w:t>
      </w:r>
      <w:r w:rsidRPr="00255DD1">
        <w:rPr>
          <w:i/>
          <w:iCs/>
          <w:szCs w:val="22"/>
        </w:rPr>
        <w:t xml:space="preserve"> </w:t>
      </w:r>
      <w:r w:rsidR="008C74BA" w:rsidRPr="008C74BA">
        <w:rPr>
          <w:szCs w:val="22"/>
        </w:rPr>
        <w:t xml:space="preserve">at least </w:t>
      </w:r>
      <w:r w:rsidRPr="00255DD1">
        <w:rPr>
          <w:i/>
          <w:iCs/>
          <w:szCs w:val="22"/>
        </w:rPr>
        <w:t>FGFR2</w:t>
      </w:r>
      <w:r>
        <w:rPr>
          <w:szCs w:val="22"/>
        </w:rPr>
        <w:t xml:space="preserve"> fusion and </w:t>
      </w:r>
      <w:r w:rsidR="00727A34">
        <w:rPr>
          <w:szCs w:val="22"/>
        </w:rPr>
        <w:t xml:space="preserve">rearrangement and </w:t>
      </w:r>
      <w:r w:rsidRPr="00255DD1">
        <w:rPr>
          <w:i/>
          <w:iCs/>
          <w:szCs w:val="22"/>
        </w:rPr>
        <w:t>IDH1</w:t>
      </w:r>
      <w:r>
        <w:rPr>
          <w:szCs w:val="22"/>
        </w:rPr>
        <w:t xml:space="preserve"> </w:t>
      </w:r>
      <w:r w:rsidR="00727A34">
        <w:rPr>
          <w:szCs w:val="22"/>
        </w:rPr>
        <w:t xml:space="preserve">gene </w:t>
      </w:r>
      <w:r>
        <w:rPr>
          <w:szCs w:val="22"/>
        </w:rPr>
        <w:t xml:space="preserve">variant status </w:t>
      </w:r>
      <w:r w:rsidRPr="00DB6768">
        <w:rPr>
          <w:szCs w:val="22"/>
        </w:rPr>
        <w:t xml:space="preserve">through a single Medicare funded service. Although </w:t>
      </w:r>
      <w:r w:rsidRPr="00D52786">
        <w:rPr>
          <w:i/>
          <w:iCs/>
          <w:szCs w:val="22"/>
        </w:rPr>
        <w:t>IDH1</w:t>
      </w:r>
      <w:r w:rsidRPr="00DB6768">
        <w:rPr>
          <w:szCs w:val="22"/>
        </w:rPr>
        <w:t xml:space="preserve"> testing </w:t>
      </w:r>
      <w:r>
        <w:rPr>
          <w:szCs w:val="22"/>
        </w:rPr>
        <w:t>to determine</w:t>
      </w:r>
      <w:r w:rsidRPr="00DB6768">
        <w:rPr>
          <w:szCs w:val="22"/>
        </w:rPr>
        <w:t xml:space="preserve"> eligibility for </w:t>
      </w:r>
      <w:r>
        <w:rPr>
          <w:szCs w:val="22"/>
        </w:rPr>
        <w:t xml:space="preserve">a PBS listed </w:t>
      </w:r>
      <w:r w:rsidRPr="00DB6768">
        <w:rPr>
          <w:szCs w:val="22"/>
        </w:rPr>
        <w:t xml:space="preserve">treatment </w:t>
      </w:r>
      <w:r w:rsidR="00727A34">
        <w:rPr>
          <w:szCs w:val="22"/>
        </w:rPr>
        <w:t xml:space="preserve">is </w:t>
      </w:r>
      <w:r w:rsidRPr="00DB6768">
        <w:rPr>
          <w:szCs w:val="22"/>
        </w:rPr>
        <w:t xml:space="preserve">already available </w:t>
      </w:r>
      <w:r w:rsidR="00727A34">
        <w:rPr>
          <w:szCs w:val="22"/>
        </w:rPr>
        <w:t xml:space="preserve">on the </w:t>
      </w:r>
      <w:r w:rsidRPr="00DB6768">
        <w:rPr>
          <w:szCs w:val="22"/>
        </w:rPr>
        <w:t xml:space="preserve">MBS </w:t>
      </w:r>
      <w:r w:rsidR="00727A34">
        <w:rPr>
          <w:szCs w:val="22"/>
        </w:rPr>
        <w:t>(</w:t>
      </w:r>
      <w:r w:rsidRPr="00DB6768">
        <w:rPr>
          <w:szCs w:val="22"/>
        </w:rPr>
        <w:t>item 73319</w:t>
      </w:r>
      <w:r w:rsidR="00727A34">
        <w:rPr>
          <w:szCs w:val="22"/>
        </w:rPr>
        <w:t>)</w:t>
      </w:r>
      <w:r>
        <w:rPr>
          <w:szCs w:val="22"/>
        </w:rPr>
        <w:t>,</w:t>
      </w:r>
      <w:r w:rsidRPr="00DB6768">
        <w:rPr>
          <w:szCs w:val="22"/>
        </w:rPr>
        <w:t xml:space="preserve"> </w:t>
      </w:r>
      <w:r>
        <w:rPr>
          <w:szCs w:val="22"/>
        </w:rPr>
        <w:t>th</w:t>
      </w:r>
      <w:r w:rsidR="00B85E19">
        <w:rPr>
          <w:szCs w:val="22"/>
        </w:rPr>
        <w:t>at</w:t>
      </w:r>
      <w:r w:rsidR="00727A34">
        <w:rPr>
          <w:szCs w:val="22"/>
        </w:rPr>
        <w:t xml:space="preserve"> </w:t>
      </w:r>
      <w:r w:rsidRPr="00DB6768">
        <w:rPr>
          <w:szCs w:val="22"/>
        </w:rPr>
        <w:t>item</w:t>
      </w:r>
      <w:r w:rsidR="00727A34">
        <w:rPr>
          <w:szCs w:val="22"/>
        </w:rPr>
        <w:t xml:space="preserve"> </w:t>
      </w:r>
      <w:r w:rsidRPr="00DB6768">
        <w:rPr>
          <w:szCs w:val="22"/>
        </w:rPr>
        <w:t>does not provide for detection of any other variants</w:t>
      </w:r>
      <w:r w:rsidR="00B85E19">
        <w:rPr>
          <w:szCs w:val="22"/>
        </w:rPr>
        <w:t>,</w:t>
      </w:r>
      <w:r w:rsidRPr="00DB6768">
        <w:rPr>
          <w:szCs w:val="22"/>
        </w:rPr>
        <w:t xml:space="preserve"> fusions</w:t>
      </w:r>
      <w:r w:rsidR="00782C50">
        <w:rPr>
          <w:szCs w:val="22"/>
        </w:rPr>
        <w:t xml:space="preserve"> </w:t>
      </w:r>
      <w:r w:rsidR="00B85E19">
        <w:rPr>
          <w:szCs w:val="22"/>
        </w:rPr>
        <w:t>or</w:t>
      </w:r>
      <w:r w:rsidR="00782C50">
        <w:rPr>
          <w:szCs w:val="22"/>
        </w:rPr>
        <w:t xml:space="preserve"> rearrangements</w:t>
      </w:r>
      <w:r w:rsidRPr="00DB6768">
        <w:rPr>
          <w:szCs w:val="22"/>
        </w:rPr>
        <w:t>.</w:t>
      </w:r>
    </w:p>
    <w:p w14:paraId="62EA74A2" w14:textId="7E5EEEEF" w:rsidR="00B232C8" w:rsidRPr="00E233CF" w:rsidRDefault="003B7079" w:rsidP="00B232C8">
      <w:pPr>
        <w:rPr>
          <w:szCs w:val="22"/>
        </w:rPr>
      </w:pPr>
      <w:r>
        <w:rPr>
          <w:szCs w:val="22"/>
        </w:rPr>
        <w:t>MBS i</w:t>
      </w:r>
      <w:r w:rsidR="00670A2D">
        <w:rPr>
          <w:szCs w:val="22"/>
        </w:rPr>
        <w:t xml:space="preserve">tem </w:t>
      </w:r>
      <w:r w:rsidR="00670A2D" w:rsidRPr="00CF21FE">
        <w:rPr>
          <w:b/>
          <w:bCs/>
          <w:szCs w:val="22"/>
        </w:rPr>
        <w:t xml:space="preserve">73329 </w:t>
      </w:r>
      <w:r w:rsidR="00607547">
        <w:rPr>
          <w:szCs w:val="22"/>
        </w:rPr>
        <w:t>is</w:t>
      </w:r>
      <w:r w:rsidR="00B232C8" w:rsidRPr="00E233CF">
        <w:rPr>
          <w:szCs w:val="22"/>
        </w:rPr>
        <w:t xml:space="preserve"> </w:t>
      </w:r>
      <w:r w:rsidR="00B232C8">
        <w:rPr>
          <w:szCs w:val="22"/>
        </w:rPr>
        <w:t xml:space="preserve">a </w:t>
      </w:r>
      <w:r w:rsidR="00B232C8" w:rsidRPr="00E233CF">
        <w:rPr>
          <w:szCs w:val="22"/>
        </w:rPr>
        <w:t xml:space="preserve">pathologist-determinable service. This allows approved pathology practitioners to determine whether to conduct the </w:t>
      </w:r>
      <w:r w:rsidR="00B232C8" w:rsidRPr="00CF21FE">
        <w:rPr>
          <w:i/>
          <w:iCs/>
          <w:szCs w:val="22"/>
        </w:rPr>
        <w:t>FGFR2/IDH1</w:t>
      </w:r>
      <w:r w:rsidR="00B232C8">
        <w:rPr>
          <w:szCs w:val="22"/>
        </w:rPr>
        <w:t xml:space="preserve"> panel </w:t>
      </w:r>
      <w:r w:rsidR="00B232C8" w:rsidRPr="00E233CF">
        <w:rPr>
          <w:szCs w:val="22"/>
        </w:rPr>
        <w:t>test</w:t>
      </w:r>
      <w:r w:rsidR="00B232C8" w:rsidRPr="00680AA1">
        <w:t xml:space="preserve"> </w:t>
      </w:r>
      <w:r w:rsidR="00B232C8" w:rsidRPr="00E233CF">
        <w:rPr>
          <w:szCs w:val="22"/>
        </w:rPr>
        <w:t xml:space="preserve">following </w:t>
      </w:r>
      <w:r w:rsidR="00B232C8">
        <w:rPr>
          <w:szCs w:val="22"/>
        </w:rPr>
        <w:t>outcomes of other pathology tests (such as histological examination)</w:t>
      </w:r>
      <w:r w:rsidR="00B232C8" w:rsidRPr="00E233CF">
        <w:rPr>
          <w:szCs w:val="22"/>
        </w:rPr>
        <w:t>, without requiring a new request.</w:t>
      </w:r>
    </w:p>
    <w:p w14:paraId="22543C13" w14:textId="77777777" w:rsidR="00670A2D" w:rsidRDefault="00670A2D" w:rsidP="00670A2D">
      <w:r>
        <w:t xml:space="preserve">For private health insurance purposes, MBS </w:t>
      </w:r>
      <w:r w:rsidRPr="00B02DF1">
        <w:t xml:space="preserve">item </w:t>
      </w:r>
      <w:r w:rsidRPr="00D636FD">
        <w:rPr>
          <w:b/>
          <w:bCs/>
          <w:szCs w:val="22"/>
        </w:rPr>
        <w:t>73</w:t>
      </w:r>
      <w:r>
        <w:rPr>
          <w:b/>
          <w:bCs/>
          <w:szCs w:val="22"/>
        </w:rPr>
        <w:t>329</w:t>
      </w:r>
      <w:r w:rsidRPr="00B02DF1">
        <w:t xml:space="preserve"> will be</w:t>
      </w:r>
      <w:r>
        <w:t xml:space="preserve"> listed under the following clinical category and procedure type:</w:t>
      </w:r>
    </w:p>
    <w:p w14:paraId="14915A2E" w14:textId="77777777" w:rsidR="00670A2D" w:rsidRDefault="00670A2D" w:rsidP="00670A2D">
      <w:pPr>
        <w:pStyle w:val="ListNumber2"/>
      </w:pPr>
      <w:r>
        <w:t>Clinical category: Support List (pathology)</w:t>
      </w:r>
    </w:p>
    <w:p w14:paraId="273D4FCF" w14:textId="77777777" w:rsidR="00670A2D" w:rsidRDefault="00670A2D" w:rsidP="00670A2D">
      <w:pPr>
        <w:pStyle w:val="ListNumber2"/>
      </w:pPr>
      <w:r>
        <w:t>Procedure type: Type C</w:t>
      </w:r>
    </w:p>
    <w:p w14:paraId="0F9408B5" w14:textId="77777777" w:rsidR="00670A2D" w:rsidRPr="00641EB5" w:rsidRDefault="00670A2D">
      <w:pPr>
        <w:pStyle w:val="ListNumber2"/>
        <w:numPr>
          <w:ilvl w:val="0"/>
          <w:numId w:val="0"/>
        </w:numPr>
      </w:pPr>
    </w:p>
    <w:p w14:paraId="4A9B327B" w14:textId="3CD71058" w:rsidR="00073953" w:rsidRPr="00E233CF" w:rsidRDefault="00073953" w:rsidP="00E233CF">
      <w:pPr>
        <w:rPr>
          <w:b/>
          <w:bCs/>
          <w:lang w:val="en-US"/>
        </w:rPr>
      </w:pPr>
      <w:bookmarkStart w:id="1" w:name="_Hlk215735418"/>
      <w:r w:rsidRPr="00E233CF">
        <w:rPr>
          <w:b/>
          <w:bCs/>
          <w:lang w:val="en-US"/>
        </w:rPr>
        <w:t xml:space="preserve">Amendments to </w:t>
      </w:r>
      <w:r w:rsidR="00F87764" w:rsidRPr="00E233CF">
        <w:rPr>
          <w:b/>
          <w:bCs/>
          <w:lang w:val="en-US"/>
        </w:rPr>
        <w:t xml:space="preserve">MBS items for </w:t>
      </w:r>
      <w:r w:rsidR="00E91E6A" w:rsidRPr="00E233CF">
        <w:rPr>
          <w:b/>
          <w:bCs/>
          <w:lang w:val="en-US"/>
        </w:rPr>
        <w:t xml:space="preserve">hepatitis C </w:t>
      </w:r>
      <w:r w:rsidRPr="00E233CF">
        <w:rPr>
          <w:b/>
          <w:bCs/>
          <w:lang w:val="en-US"/>
        </w:rPr>
        <w:t xml:space="preserve">RNA testing </w:t>
      </w:r>
      <w:r w:rsidR="00E91E6A" w:rsidRPr="00E233CF">
        <w:rPr>
          <w:b/>
          <w:bCs/>
          <w:lang w:val="en-US"/>
        </w:rPr>
        <w:t xml:space="preserve">items </w:t>
      </w:r>
      <w:bookmarkEnd w:id="1"/>
    </w:p>
    <w:p w14:paraId="54E4516C" w14:textId="5492725C" w:rsidR="006551B0" w:rsidRDefault="00073953" w:rsidP="00E91E6A">
      <w:pPr>
        <w:pStyle w:val="ListBullet"/>
        <w:numPr>
          <w:ilvl w:val="0"/>
          <w:numId w:val="0"/>
        </w:numPr>
      </w:pPr>
      <w:r w:rsidRPr="00073953">
        <w:t>MBS item</w:t>
      </w:r>
      <w:r w:rsidR="00E12430">
        <w:t>s</w:t>
      </w:r>
      <w:r w:rsidRPr="00073953">
        <w:t xml:space="preserve"> </w:t>
      </w:r>
      <w:r w:rsidRPr="00D636FD">
        <w:rPr>
          <w:b/>
          <w:bCs/>
        </w:rPr>
        <w:t>69499</w:t>
      </w:r>
      <w:r w:rsidRPr="00073953">
        <w:t xml:space="preserve"> </w:t>
      </w:r>
      <w:r w:rsidR="00E12430">
        <w:t xml:space="preserve">and </w:t>
      </w:r>
      <w:r w:rsidR="00E12430" w:rsidRPr="00D636FD">
        <w:rPr>
          <w:b/>
          <w:bCs/>
        </w:rPr>
        <w:t>69500</w:t>
      </w:r>
      <w:r w:rsidR="00E12430">
        <w:t xml:space="preserve"> relate to the </w:t>
      </w:r>
      <w:r w:rsidRPr="00073953">
        <w:t>detection of Hepatitis C viral (HCV) RNA</w:t>
      </w:r>
      <w:r w:rsidR="00E12430">
        <w:t>.</w:t>
      </w:r>
    </w:p>
    <w:p w14:paraId="18669C8A" w14:textId="0223DED7" w:rsidR="006551B0" w:rsidRDefault="00133024" w:rsidP="00E91E6A">
      <w:pPr>
        <w:pStyle w:val="ListBullet"/>
        <w:numPr>
          <w:ilvl w:val="0"/>
          <w:numId w:val="0"/>
        </w:numPr>
      </w:pPr>
      <w:r>
        <w:t>MBS i</w:t>
      </w:r>
      <w:r w:rsidR="006551B0">
        <w:t>tem 69499</w:t>
      </w:r>
      <w:r w:rsidR="00073953" w:rsidRPr="00073953">
        <w:t xml:space="preserve"> will be amended to remove the requirement for two different HCV serology assays to be performed (previously known as Rule 19). </w:t>
      </w:r>
    </w:p>
    <w:p w14:paraId="1632B47A" w14:textId="77DBADA8" w:rsidR="00073953" w:rsidRPr="00E233CF" w:rsidRDefault="00073953" w:rsidP="00E233CF">
      <w:pPr>
        <w:rPr>
          <w:szCs w:val="22"/>
        </w:rPr>
      </w:pPr>
      <w:r w:rsidRPr="00E233CF">
        <w:rPr>
          <w:szCs w:val="22"/>
        </w:rPr>
        <w:t>Th</w:t>
      </w:r>
      <w:r w:rsidR="006551B0" w:rsidRPr="00E233CF">
        <w:rPr>
          <w:szCs w:val="22"/>
        </w:rPr>
        <w:t>e</w:t>
      </w:r>
      <w:r w:rsidRPr="00E233CF">
        <w:rPr>
          <w:szCs w:val="22"/>
        </w:rPr>
        <w:t xml:space="preserve"> change will also apply to MBS item 69500</w:t>
      </w:r>
      <w:r w:rsidR="00EE5357" w:rsidRPr="00E233CF">
        <w:rPr>
          <w:szCs w:val="22"/>
        </w:rPr>
        <w:t xml:space="preserve">, </w:t>
      </w:r>
      <w:r w:rsidR="00A53A04" w:rsidRPr="00E233CF">
        <w:rPr>
          <w:szCs w:val="22"/>
        </w:rPr>
        <w:t xml:space="preserve">as it refers to a test described in item 69499 </w:t>
      </w:r>
      <w:r w:rsidR="00EE5357" w:rsidRPr="00E233CF">
        <w:rPr>
          <w:szCs w:val="22"/>
        </w:rPr>
        <w:t>when</w:t>
      </w:r>
      <w:r w:rsidR="00A53A04" w:rsidRPr="00E233CF">
        <w:rPr>
          <w:szCs w:val="22"/>
        </w:rPr>
        <w:t xml:space="preserve"> performed by a receiving approved pathology practitioner. </w:t>
      </w:r>
    </w:p>
    <w:p w14:paraId="613E7B51" w14:textId="66065C34" w:rsidR="00073953" w:rsidRPr="00E233CF" w:rsidRDefault="0059442F" w:rsidP="00E233CF">
      <w:pPr>
        <w:rPr>
          <w:szCs w:val="22"/>
        </w:rPr>
      </w:pPr>
      <w:r w:rsidRPr="00E233CF">
        <w:rPr>
          <w:szCs w:val="22"/>
        </w:rPr>
        <w:t>Both</w:t>
      </w:r>
      <w:r w:rsidR="00073953" w:rsidRPr="00E233CF">
        <w:rPr>
          <w:szCs w:val="22"/>
        </w:rPr>
        <w:t xml:space="preserve"> MBS items 69499 and 69500 will be made pathologist-determinable services</w:t>
      </w:r>
      <w:r w:rsidR="00C86468" w:rsidRPr="00E233CF">
        <w:rPr>
          <w:szCs w:val="22"/>
        </w:rPr>
        <w:t xml:space="preserve">. This allows </w:t>
      </w:r>
      <w:r w:rsidR="00680AA1" w:rsidRPr="00E233CF">
        <w:rPr>
          <w:szCs w:val="22"/>
        </w:rPr>
        <w:t>approved pathology practitioner</w:t>
      </w:r>
      <w:r w:rsidR="005E411D" w:rsidRPr="00E233CF">
        <w:rPr>
          <w:szCs w:val="22"/>
        </w:rPr>
        <w:t xml:space="preserve">s </w:t>
      </w:r>
      <w:r w:rsidR="00680AA1" w:rsidRPr="00E233CF">
        <w:rPr>
          <w:szCs w:val="22"/>
        </w:rPr>
        <w:t xml:space="preserve">to </w:t>
      </w:r>
      <w:r w:rsidR="006223C1" w:rsidRPr="00E233CF">
        <w:rPr>
          <w:szCs w:val="22"/>
        </w:rPr>
        <w:t xml:space="preserve">determine whether to </w:t>
      </w:r>
      <w:r w:rsidR="00680AA1" w:rsidRPr="00E233CF">
        <w:rPr>
          <w:szCs w:val="22"/>
        </w:rPr>
        <w:t>conduct the HCV RNA test</w:t>
      </w:r>
      <w:r w:rsidR="005E411D" w:rsidRPr="00E233CF">
        <w:rPr>
          <w:szCs w:val="22"/>
        </w:rPr>
        <w:t>s</w:t>
      </w:r>
      <w:r w:rsidR="00680AA1" w:rsidRPr="00680AA1">
        <w:t xml:space="preserve"> </w:t>
      </w:r>
      <w:r w:rsidR="00680AA1" w:rsidRPr="00E233CF">
        <w:rPr>
          <w:szCs w:val="22"/>
        </w:rPr>
        <w:t xml:space="preserve">following the result from </w:t>
      </w:r>
      <w:r w:rsidR="0074390A" w:rsidRPr="00E233CF">
        <w:rPr>
          <w:szCs w:val="22"/>
        </w:rPr>
        <w:t>an</w:t>
      </w:r>
      <w:r w:rsidR="00680AA1" w:rsidRPr="00E233CF">
        <w:rPr>
          <w:szCs w:val="22"/>
        </w:rPr>
        <w:t xml:space="preserve"> HCV serology test, without requiring a new request from the treating practitioner.</w:t>
      </w:r>
    </w:p>
    <w:p w14:paraId="1061EB36" w14:textId="2D2851B3" w:rsidR="00680AA1" w:rsidRPr="00E233CF" w:rsidRDefault="00A53A04" w:rsidP="00E233CF">
      <w:pPr>
        <w:rPr>
          <w:szCs w:val="22"/>
        </w:rPr>
      </w:pPr>
      <w:r w:rsidRPr="00E233CF">
        <w:rPr>
          <w:szCs w:val="22"/>
        </w:rPr>
        <w:t xml:space="preserve">The test frequency remains </w:t>
      </w:r>
      <w:r w:rsidR="008265C6" w:rsidRPr="00E233CF">
        <w:rPr>
          <w:szCs w:val="22"/>
        </w:rPr>
        <w:t>unchanged</w:t>
      </w:r>
      <w:r w:rsidR="00FA5CB1" w:rsidRPr="00E233CF">
        <w:rPr>
          <w:szCs w:val="22"/>
        </w:rPr>
        <w:t>. HCV RNA testing under items 69499 and 69500 is limited to once in a 12</w:t>
      </w:r>
      <w:r w:rsidR="00FA5CB1" w:rsidRPr="00E233CF">
        <w:rPr>
          <w:szCs w:val="22"/>
        </w:rPr>
        <w:noBreakHyphen/>
        <w:t>month period, in total.</w:t>
      </w:r>
    </w:p>
    <w:p w14:paraId="3B1E7140" w14:textId="6391C855" w:rsidR="00A73184" w:rsidRDefault="00A73184" w:rsidP="00D636FD">
      <w:r>
        <w:t xml:space="preserve">For private health insurance purposes, </w:t>
      </w:r>
      <w:r w:rsidR="009C06C5">
        <w:t xml:space="preserve">MBS </w:t>
      </w:r>
      <w:r>
        <w:t>items 69499 and 69500 will continue to be listed under the following clinical category and procedure type:</w:t>
      </w:r>
    </w:p>
    <w:p w14:paraId="19EB75B3" w14:textId="77777777" w:rsidR="00A73184" w:rsidRPr="007D42D6" w:rsidRDefault="00A73184" w:rsidP="007D42D6">
      <w:pPr>
        <w:pStyle w:val="ListNumber2"/>
      </w:pPr>
      <w:r w:rsidRPr="007D42D6">
        <w:t>Clinical category: Support List (pathology)</w:t>
      </w:r>
    </w:p>
    <w:p w14:paraId="7584B9AB" w14:textId="7E0F3615" w:rsidR="008F065D" w:rsidRPr="007D42D6" w:rsidRDefault="00A73184" w:rsidP="007D42D6">
      <w:pPr>
        <w:pStyle w:val="ListNumber2"/>
      </w:pPr>
      <w:r w:rsidRPr="007D42D6">
        <w:t>Procedure type: Type C</w:t>
      </w:r>
    </w:p>
    <w:p w14:paraId="54D60E6F" w14:textId="77777777" w:rsidR="004956EF" w:rsidRPr="00073953" w:rsidRDefault="004956EF" w:rsidP="00CF21FE">
      <w:pPr>
        <w:pStyle w:val="ListBullet"/>
        <w:numPr>
          <w:ilvl w:val="0"/>
          <w:numId w:val="0"/>
        </w:numPr>
        <w:ind w:left="360" w:hanging="360"/>
        <w:rPr>
          <w:b/>
          <w:bCs/>
        </w:rPr>
      </w:pPr>
    </w:p>
    <w:p w14:paraId="7C3A926B" w14:textId="7CE3F724" w:rsidR="004956EF" w:rsidRPr="00E233CF" w:rsidRDefault="004956EF" w:rsidP="00E233CF">
      <w:pPr>
        <w:rPr>
          <w:b/>
          <w:bCs/>
          <w:lang w:val="en-US"/>
        </w:rPr>
      </w:pPr>
      <w:r w:rsidRPr="00E233CF">
        <w:rPr>
          <w:b/>
          <w:bCs/>
          <w:lang w:val="en-US"/>
        </w:rPr>
        <w:t xml:space="preserve">Amendments to </w:t>
      </w:r>
      <w:r w:rsidR="00D82A7F" w:rsidRPr="00E233CF">
        <w:rPr>
          <w:b/>
          <w:bCs/>
          <w:lang w:val="en-US"/>
        </w:rPr>
        <w:t xml:space="preserve">coagulation testing </w:t>
      </w:r>
      <w:r w:rsidR="00133024">
        <w:rPr>
          <w:b/>
          <w:bCs/>
          <w:lang w:val="en-US"/>
        </w:rPr>
        <w:t xml:space="preserve">MBS </w:t>
      </w:r>
      <w:r w:rsidRPr="00E233CF">
        <w:rPr>
          <w:b/>
          <w:bCs/>
          <w:lang w:val="en-US"/>
        </w:rPr>
        <w:t xml:space="preserve">item 65150 </w:t>
      </w:r>
    </w:p>
    <w:p w14:paraId="3512CC3D" w14:textId="37651148" w:rsidR="00E10EB5" w:rsidRDefault="004956EF" w:rsidP="00D82A7F">
      <w:pPr>
        <w:pStyle w:val="ListBullet"/>
        <w:numPr>
          <w:ilvl w:val="0"/>
          <w:numId w:val="0"/>
        </w:numPr>
        <w:rPr>
          <w:color w:val="auto"/>
        </w:rPr>
      </w:pPr>
      <w:r w:rsidRPr="00E43DFC">
        <w:rPr>
          <w:color w:val="auto"/>
        </w:rPr>
        <w:t xml:space="preserve">MBS item </w:t>
      </w:r>
      <w:r w:rsidRPr="00D636FD">
        <w:rPr>
          <w:b/>
          <w:bCs/>
          <w:color w:val="auto"/>
        </w:rPr>
        <w:t>65150</w:t>
      </w:r>
      <w:r w:rsidRPr="00E43DFC">
        <w:rPr>
          <w:color w:val="auto"/>
        </w:rPr>
        <w:t xml:space="preserve"> will be amended to remove references to specific assay test methodologies</w:t>
      </w:r>
      <w:r w:rsidR="00262512">
        <w:rPr>
          <w:color w:val="auto"/>
        </w:rPr>
        <w:t xml:space="preserve"> </w:t>
      </w:r>
      <w:r w:rsidR="00782C50">
        <w:rPr>
          <w:color w:val="auto"/>
        </w:rPr>
        <w:t xml:space="preserve">to </w:t>
      </w:r>
      <w:r w:rsidR="00262512">
        <w:rPr>
          <w:color w:val="auto"/>
        </w:rPr>
        <w:t>allow for</w:t>
      </w:r>
      <w:r w:rsidR="00782C50">
        <w:rPr>
          <w:color w:val="auto"/>
        </w:rPr>
        <w:t xml:space="preserve"> assay selection for</w:t>
      </w:r>
      <w:r w:rsidR="00262512">
        <w:rPr>
          <w:color w:val="auto"/>
        </w:rPr>
        <w:t xml:space="preserve"> </w:t>
      </w:r>
      <w:r w:rsidR="00E10EB5" w:rsidRPr="00E10EB5">
        <w:rPr>
          <w:color w:val="auto"/>
          <w:lang w:val="en-US"/>
        </w:rPr>
        <w:t>von Willebrand factor testing</w:t>
      </w:r>
      <w:r w:rsidR="00E10EB5">
        <w:rPr>
          <w:color w:val="auto"/>
        </w:rPr>
        <w:t>.</w:t>
      </w:r>
    </w:p>
    <w:p w14:paraId="11835FDA" w14:textId="360AB750" w:rsidR="00E13F21" w:rsidRPr="00E233CF" w:rsidRDefault="00E10EB5" w:rsidP="00E233CF">
      <w:pPr>
        <w:rPr>
          <w:szCs w:val="22"/>
        </w:rPr>
      </w:pPr>
      <w:r w:rsidRPr="00E233CF">
        <w:rPr>
          <w:szCs w:val="22"/>
        </w:rPr>
        <w:t xml:space="preserve">The amended item allows laboratories to use </w:t>
      </w:r>
      <w:r w:rsidR="00262512" w:rsidRPr="00E233CF">
        <w:rPr>
          <w:szCs w:val="22"/>
        </w:rPr>
        <w:t>both quantitative and qualitative testing</w:t>
      </w:r>
      <w:r w:rsidR="00D94697" w:rsidRPr="00E233CF">
        <w:rPr>
          <w:szCs w:val="22"/>
        </w:rPr>
        <w:t xml:space="preserve"> methods</w:t>
      </w:r>
      <w:r w:rsidR="006F5ED9" w:rsidRPr="00E233CF">
        <w:rPr>
          <w:szCs w:val="22"/>
        </w:rPr>
        <w:t xml:space="preserve">. </w:t>
      </w:r>
      <w:r w:rsidR="00E13F21" w:rsidRPr="00E233CF">
        <w:rPr>
          <w:szCs w:val="22"/>
        </w:rPr>
        <w:t xml:space="preserve">This change reflects contemporary laboratory practice and </w:t>
      </w:r>
      <w:r w:rsidR="00782C50">
        <w:rPr>
          <w:szCs w:val="22"/>
        </w:rPr>
        <w:t xml:space="preserve">supports </w:t>
      </w:r>
      <w:r w:rsidR="00E13F21" w:rsidRPr="00E233CF">
        <w:rPr>
          <w:szCs w:val="22"/>
        </w:rPr>
        <w:t>advance</w:t>
      </w:r>
      <w:r w:rsidR="00782C50">
        <w:rPr>
          <w:szCs w:val="22"/>
        </w:rPr>
        <w:t>ment</w:t>
      </w:r>
      <w:r w:rsidR="00E13F21" w:rsidRPr="00E233CF">
        <w:rPr>
          <w:szCs w:val="22"/>
        </w:rPr>
        <w:t>s in testing methodologies.</w:t>
      </w:r>
    </w:p>
    <w:p w14:paraId="6E101E03" w14:textId="0E315AF9" w:rsidR="004956EF" w:rsidRPr="00E233CF" w:rsidRDefault="00A811B6" w:rsidP="00E233CF">
      <w:pPr>
        <w:rPr>
          <w:szCs w:val="22"/>
        </w:rPr>
      </w:pPr>
      <w:r w:rsidRPr="00E233CF">
        <w:rPr>
          <w:szCs w:val="22"/>
        </w:rPr>
        <w:t xml:space="preserve">The item descriptor will also be updated to replace outdated terminology. </w:t>
      </w:r>
      <w:r w:rsidR="00E13F21" w:rsidRPr="00E233CF">
        <w:rPr>
          <w:szCs w:val="22"/>
        </w:rPr>
        <w:t xml:space="preserve">References to </w:t>
      </w:r>
      <w:r w:rsidR="006F5ED9" w:rsidRPr="00E233CF">
        <w:rPr>
          <w:szCs w:val="22"/>
        </w:rPr>
        <w:t>“Fletcher factor” and “Fitzgerald factor” wi</w:t>
      </w:r>
      <w:r w:rsidR="00E13F21" w:rsidRPr="00E233CF">
        <w:rPr>
          <w:szCs w:val="22"/>
        </w:rPr>
        <w:t>ll be replaced wi</w:t>
      </w:r>
      <w:r w:rsidR="006F5ED9" w:rsidRPr="00E233CF">
        <w:rPr>
          <w:szCs w:val="22"/>
        </w:rPr>
        <w:t>th “prekallikrein” and “high-molecular-weight kininogen”.</w:t>
      </w:r>
    </w:p>
    <w:p w14:paraId="7B5C3EC4" w14:textId="77777777" w:rsidR="004956EF" w:rsidRPr="00E233CF" w:rsidRDefault="004956EF" w:rsidP="00E233CF">
      <w:pPr>
        <w:rPr>
          <w:szCs w:val="22"/>
        </w:rPr>
      </w:pPr>
      <w:r w:rsidRPr="00E233CF">
        <w:rPr>
          <w:szCs w:val="22"/>
        </w:rPr>
        <w:lastRenderedPageBreak/>
        <w:t xml:space="preserve">For private health insurance purposes, MBS item </w:t>
      </w:r>
      <w:r w:rsidRPr="00CF21FE">
        <w:rPr>
          <w:b/>
          <w:bCs/>
          <w:szCs w:val="22"/>
        </w:rPr>
        <w:t>65150</w:t>
      </w:r>
      <w:r w:rsidRPr="00E233CF">
        <w:rPr>
          <w:szCs w:val="22"/>
        </w:rPr>
        <w:t xml:space="preserve"> will continue to be listed under the following clinical category and procedure type:</w:t>
      </w:r>
    </w:p>
    <w:p w14:paraId="1CE0D1C7" w14:textId="78D36E7B" w:rsidR="004956EF" w:rsidRPr="00E233CF" w:rsidRDefault="004956EF" w:rsidP="007D42D6">
      <w:pPr>
        <w:pStyle w:val="ListNumber2"/>
      </w:pPr>
      <w:r w:rsidRPr="00E233CF">
        <w:t>Clinical category: Support List (</w:t>
      </w:r>
      <w:r w:rsidR="006B74C5">
        <w:t>p</w:t>
      </w:r>
      <w:r w:rsidRPr="00E233CF">
        <w:t>athology)</w:t>
      </w:r>
    </w:p>
    <w:p w14:paraId="77DC7A69" w14:textId="77777777" w:rsidR="004956EF" w:rsidRDefault="004956EF" w:rsidP="007D42D6">
      <w:pPr>
        <w:pStyle w:val="ListNumber2"/>
      </w:pPr>
      <w:r w:rsidRPr="00E233CF">
        <w:t>Procedure type: Type C</w:t>
      </w:r>
    </w:p>
    <w:p w14:paraId="41A07E51" w14:textId="77777777" w:rsidR="003B7079" w:rsidRDefault="003B7079" w:rsidP="003B7079">
      <w:pPr>
        <w:pStyle w:val="ListNumber2"/>
        <w:numPr>
          <w:ilvl w:val="0"/>
          <w:numId w:val="0"/>
        </w:numPr>
        <w:ind w:left="644" w:hanging="360"/>
      </w:pPr>
    </w:p>
    <w:p w14:paraId="42BD5171" w14:textId="71FE9978" w:rsidR="00064168" w:rsidRDefault="00064168" w:rsidP="00064168">
      <w:pPr>
        <w:pStyle w:val="Heading2"/>
      </w:pPr>
      <w:r>
        <w:t>Why are the changes being made?</w:t>
      </w:r>
    </w:p>
    <w:p w14:paraId="2AA3567D" w14:textId="3F87DD62" w:rsidR="0046045D" w:rsidRPr="004F0462" w:rsidRDefault="0046045D" w:rsidP="00E61212">
      <w:pPr>
        <w:rPr>
          <w:szCs w:val="22"/>
        </w:rPr>
      </w:pPr>
      <w:r w:rsidRPr="004F0462">
        <w:rPr>
          <w:szCs w:val="22"/>
        </w:rPr>
        <w:t xml:space="preserve">The Medical Services Advisory Committee (MSAC) </w:t>
      </w:r>
      <w:r w:rsidR="0002707F">
        <w:rPr>
          <w:szCs w:val="22"/>
        </w:rPr>
        <w:t xml:space="preserve">or MSAC Executive </w:t>
      </w:r>
      <w:r w:rsidR="004F0462">
        <w:rPr>
          <w:szCs w:val="22"/>
        </w:rPr>
        <w:t>recommended these changes</w:t>
      </w:r>
      <w:r w:rsidRPr="004F0462">
        <w:rPr>
          <w:szCs w:val="22"/>
        </w:rPr>
        <w:t xml:space="preserve">. Further details about MSAC applications can be found under </w:t>
      </w:r>
      <w:hyperlink r:id="rId10" w:history="1">
        <w:r w:rsidRPr="004F0462">
          <w:rPr>
            <w:rStyle w:val="Hyperlink"/>
            <w:szCs w:val="22"/>
          </w:rPr>
          <w:t>MSAC Applications</w:t>
        </w:r>
      </w:hyperlink>
      <w:r w:rsidRPr="004F0462">
        <w:rPr>
          <w:szCs w:val="22"/>
        </w:rPr>
        <w:t xml:space="preserve"> </w:t>
      </w:r>
      <w:r w:rsidR="006C1342">
        <w:rPr>
          <w:szCs w:val="22"/>
        </w:rPr>
        <w:t>o</w:t>
      </w:r>
      <w:r w:rsidRPr="004F0462">
        <w:rPr>
          <w:szCs w:val="22"/>
        </w:rPr>
        <w:t>n the MSAC website (</w:t>
      </w:r>
      <w:hyperlink r:id="rId11" w:history="1">
        <w:r w:rsidRPr="004F0462">
          <w:rPr>
            <w:rStyle w:val="Hyperlink"/>
            <w:szCs w:val="22"/>
          </w:rPr>
          <w:t>Medical Services Advisory Committee</w:t>
        </w:r>
      </w:hyperlink>
      <w:r w:rsidRPr="004F0462">
        <w:rPr>
          <w:szCs w:val="22"/>
        </w:rPr>
        <w:t>).</w:t>
      </w:r>
    </w:p>
    <w:p w14:paraId="4F966B99" w14:textId="77777777" w:rsidR="002322D9" w:rsidRDefault="00AA0AA7" w:rsidP="002322D9">
      <w:pPr>
        <w:pStyle w:val="Heading2"/>
        <w:rPr>
          <w:rFonts w:cs="Times New Roman"/>
          <w:b w:val="0"/>
          <w:bCs w:val="0"/>
          <w:iCs w:val="0"/>
          <w:color w:val="000000" w:themeColor="text1"/>
          <w:sz w:val="22"/>
          <w:szCs w:val="22"/>
        </w:rPr>
      </w:pPr>
      <w:r w:rsidRPr="002322D9">
        <w:rPr>
          <w:rFonts w:cs="Times New Roman"/>
          <w:b w:val="0"/>
          <w:bCs w:val="0"/>
          <w:iCs w:val="0"/>
          <w:color w:val="000000" w:themeColor="text1"/>
          <w:sz w:val="22"/>
          <w:szCs w:val="22"/>
        </w:rPr>
        <w:t xml:space="preserve">These changes </w:t>
      </w:r>
      <w:r w:rsidR="0002707F" w:rsidRPr="002322D9">
        <w:rPr>
          <w:rFonts w:cs="Times New Roman"/>
          <w:b w:val="0"/>
          <w:bCs w:val="0"/>
          <w:iCs w:val="0"/>
          <w:color w:val="000000" w:themeColor="text1"/>
          <w:sz w:val="22"/>
          <w:szCs w:val="22"/>
        </w:rPr>
        <w:t xml:space="preserve">reflect best clinical practice and </w:t>
      </w:r>
      <w:r w:rsidRPr="002322D9">
        <w:rPr>
          <w:rFonts w:cs="Times New Roman"/>
          <w:b w:val="0"/>
          <w:bCs w:val="0"/>
          <w:iCs w:val="0"/>
          <w:color w:val="000000" w:themeColor="text1"/>
          <w:sz w:val="22"/>
          <w:szCs w:val="22"/>
        </w:rPr>
        <w:t>will improve</w:t>
      </w:r>
      <w:r w:rsidR="004F0462" w:rsidRPr="002322D9">
        <w:rPr>
          <w:rFonts w:cs="Times New Roman"/>
          <w:b w:val="0"/>
          <w:bCs w:val="0"/>
          <w:iCs w:val="0"/>
          <w:color w:val="000000" w:themeColor="text1"/>
          <w:sz w:val="22"/>
          <w:szCs w:val="22"/>
        </w:rPr>
        <w:t xml:space="preserve"> the quality and accessibility of Medicare pathology services for patients. Overall, the changes </w:t>
      </w:r>
      <w:r w:rsidR="0002707F" w:rsidRPr="002322D9">
        <w:rPr>
          <w:rFonts w:cs="Times New Roman"/>
          <w:b w:val="0"/>
          <w:bCs w:val="0"/>
          <w:iCs w:val="0"/>
          <w:color w:val="000000" w:themeColor="text1"/>
          <w:sz w:val="22"/>
          <w:szCs w:val="22"/>
        </w:rPr>
        <w:t>support</w:t>
      </w:r>
      <w:r w:rsidR="004F0462" w:rsidRPr="002322D9">
        <w:rPr>
          <w:rFonts w:cs="Times New Roman"/>
          <w:b w:val="0"/>
          <w:bCs w:val="0"/>
          <w:iCs w:val="0"/>
          <w:color w:val="000000" w:themeColor="text1"/>
          <w:sz w:val="22"/>
          <w:szCs w:val="22"/>
        </w:rPr>
        <w:t xml:space="preserve"> improve</w:t>
      </w:r>
      <w:r w:rsidR="0002707F" w:rsidRPr="002322D9">
        <w:rPr>
          <w:rFonts w:cs="Times New Roman"/>
          <w:b w:val="0"/>
          <w:bCs w:val="0"/>
          <w:iCs w:val="0"/>
          <w:color w:val="000000" w:themeColor="text1"/>
          <w:sz w:val="22"/>
          <w:szCs w:val="22"/>
        </w:rPr>
        <w:t>d</w:t>
      </w:r>
      <w:r w:rsidR="004F0462" w:rsidRPr="002322D9">
        <w:rPr>
          <w:rFonts w:cs="Times New Roman"/>
          <w:b w:val="0"/>
          <w:bCs w:val="0"/>
          <w:iCs w:val="0"/>
          <w:color w:val="000000" w:themeColor="text1"/>
          <w:sz w:val="22"/>
          <w:szCs w:val="22"/>
        </w:rPr>
        <w:t xml:space="preserve"> patient care</w:t>
      </w:r>
      <w:r w:rsidR="004040B6" w:rsidRPr="002322D9">
        <w:rPr>
          <w:rFonts w:cs="Times New Roman"/>
          <w:b w:val="0"/>
          <w:bCs w:val="0"/>
          <w:iCs w:val="0"/>
          <w:color w:val="000000" w:themeColor="text1"/>
          <w:sz w:val="22"/>
          <w:szCs w:val="22"/>
        </w:rPr>
        <w:t>.</w:t>
      </w:r>
    </w:p>
    <w:p w14:paraId="4B2559AC" w14:textId="56FFE4AD" w:rsidR="00064168" w:rsidRDefault="00064168" w:rsidP="002322D9">
      <w:pPr>
        <w:pStyle w:val="Heading2"/>
      </w:pPr>
      <w:r>
        <w:t xml:space="preserve">What does this mean for </w:t>
      </w:r>
      <w:r w:rsidRPr="003142E8">
        <w:t>providers</w:t>
      </w:r>
      <w:r>
        <w:t>?</w:t>
      </w:r>
    </w:p>
    <w:p w14:paraId="58A9AF53" w14:textId="7487A078" w:rsidR="00086BC8" w:rsidRPr="00086BC8" w:rsidRDefault="00086BC8" w:rsidP="00D636FD">
      <w:r>
        <w:t xml:space="preserve">From </w:t>
      </w:r>
      <w:r w:rsidRPr="002322D9">
        <w:rPr>
          <w:b/>
          <w:bCs/>
        </w:rPr>
        <w:t>1 July 2026</w:t>
      </w:r>
      <w:r>
        <w:t>:</w:t>
      </w:r>
    </w:p>
    <w:p w14:paraId="382634F4" w14:textId="68B4EEA2" w:rsidR="001E230B" w:rsidRDefault="0074390A" w:rsidP="00A37DE7">
      <w:pPr>
        <w:pStyle w:val="ListBullet"/>
      </w:pPr>
      <w:r w:rsidRPr="001E230B">
        <w:t xml:space="preserve">A Medicare benefit is </w:t>
      </w:r>
      <w:r w:rsidR="003B6ABE">
        <w:t>available</w:t>
      </w:r>
      <w:r w:rsidRPr="001E230B">
        <w:t xml:space="preserve"> for </w:t>
      </w:r>
      <w:r w:rsidRPr="00CF21FE">
        <w:rPr>
          <w:i/>
          <w:iCs/>
        </w:rPr>
        <w:t>HLA</w:t>
      </w:r>
      <w:r w:rsidRPr="001E230B">
        <w:t xml:space="preserve"> testing </w:t>
      </w:r>
      <w:r w:rsidR="001E230B" w:rsidRPr="001E230B">
        <w:t xml:space="preserve">to </w:t>
      </w:r>
      <w:r w:rsidR="00910EFA">
        <w:t>assess the</w:t>
      </w:r>
      <w:r w:rsidR="001E230B" w:rsidRPr="001E230B">
        <w:t xml:space="preserve"> risk </w:t>
      </w:r>
      <w:r w:rsidR="00445265">
        <w:t>of</w:t>
      </w:r>
      <w:r w:rsidR="001E230B" w:rsidRPr="001E230B">
        <w:t xml:space="preserve"> CBZ and OXC hypersensitivity reactions.</w:t>
      </w:r>
      <w:r w:rsidRPr="001E230B">
        <w:t xml:space="preserve"> </w:t>
      </w:r>
    </w:p>
    <w:p w14:paraId="322BCB81" w14:textId="0B1498EF" w:rsidR="00670A2D" w:rsidRDefault="00670A2D" w:rsidP="00670A2D">
      <w:pPr>
        <w:pStyle w:val="ListBullet"/>
      </w:pPr>
      <w:r w:rsidRPr="001E230B">
        <w:t xml:space="preserve">A Medicare benefit is </w:t>
      </w:r>
      <w:r>
        <w:t>available</w:t>
      </w:r>
      <w:r w:rsidRPr="001E230B">
        <w:t xml:space="preserve"> for </w:t>
      </w:r>
      <w:r w:rsidRPr="00080D6E">
        <w:rPr>
          <w:i/>
          <w:iCs/>
        </w:rPr>
        <w:t xml:space="preserve">FGFR2 </w:t>
      </w:r>
      <w:r>
        <w:t xml:space="preserve">and </w:t>
      </w:r>
      <w:r w:rsidRPr="00080D6E">
        <w:rPr>
          <w:i/>
          <w:iCs/>
        </w:rPr>
        <w:t xml:space="preserve">IDH1 </w:t>
      </w:r>
      <w:r w:rsidRPr="001E230B">
        <w:t xml:space="preserve">testing </w:t>
      </w:r>
      <w:r>
        <w:t>for CCA patients</w:t>
      </w:r>
      <w:r w:rsidRPr="001E230B">
        <w:t xml:space="preserve"> to </w:t>
      </w:r>
      <w:r>
        <w:t>determine eligibility for relevant PBS treatment</w:t>
      </w:r>
      <w:r w:rsidR="00CF2E14">
        <w:t>s</w:t>
      </w:r>
      <w:r w:rsidR="00782C50">
        <w:t xml:space="preserve"> (including </w:t>
      </w:r>
      <w:proofErr w:type="spellStart"/>
      <w:r w:rsidR="00782C50">
        <w:t>Futibatinib</w:t>
      </w:r>
      <w:proofErr w:type="spellEnd"/>
      <w:r w:rsidR="00782C50">
        <w:t>)</w:t>
      </w:r>
      <w:r>
        <w:t xml:space="preserve">. </w:t>
      </w:r>
      <w:r w:rsidRPr="001E230B">
        <w:t xml:space="preserve"> </w:t>
      </w:r>
    </w:p>
    <w:p w14:paraId="32BDDE6E" w14:textId="57D5FF6E" w:rsidR="0002707F" w:rsidRPr="00D636FD" w:rsidRDefault="0065157B" w:rsidP="00A37DE7">
      <w:pPr>
        <w:pStyle w:val="ListBullet"/>
      </w:pPr>
      <w:r>
        <w:t xml:space="preserve">HCV RNA </w:t>
      </w:r>
      <w:r w:rsidR="0059442F">
        <w:t>t</w:t>
      </w:r>
      <w:r w:rsidR="0002707F">
        <w:t xml:space="preserve">esting </w:t>
      </w:r>
      <w:r w:rsidR="00A7156E">
        <w:t>is streamlined</w:t>
      </w:r>
      <w:r w:rsidR="009B25EC">
        <w:t>. O</w:t>
      </w:r>
      <w:r w:rsidR="0002707F">
        <w:t xml:space="preserve">nly one serology test </w:t>
      </w:r>
      <w:r w:rsidR="00ED6CD2" w:rsidRPr="00A37DE7">
        <w:t>result is required before RNA testing can proceed.</w:t>
      </w:r>
    </w:p>
    <w:p w14:paraId="0AE14C52" w14:textId="38AD0917" w:rsidR="007F3D86" w:rsidRDefault="007F3D86" w:rsidP="00A37DE7">
      <w:pPr>
        <w:pStyle w:val="ListBullet"/>
      </w:pPr>
      <w:r w:rsidRPr="007F3D86">
        <w:t>Pathologists can determine when HCV RNA testing is clinically appropriate, without a new test request.</w:t>
      </w:r>
    </w:p>
    <w:p w14:paraId="3B83B2B7" w14:textId="3DE5CB8B" w:rsidR="007F3D86" w:rsidRDefault="007F3D86" w:rsidP="00A37DE7">
      <w:pPr>
        <w:pStyle w:val="ListBullet"/>
      </w:pPr>
      <w:r w:rsidRPr="00A37DE7">
        <w:t>Laboratories can select contemporary coagulation assays that best support clinical diagnosis</w:t>
      </w:r>
      <w:r w:rsidR="00E9497D">
        <w:t>.</w:t>
      </w:r>
    </w:p>
    <w:p w14:paraId="6AD874FC" w14:textId="77777777" w:rsidR="00C25E6F" w:rsidRDefault="004956EF" w:rsidP="00D636FD">
      <w:pPr>
        <w:pStyle w:val="ListBullet"/>
        <w:numPr>
          <w:ilvl w:val="0"/>
          <w:numId w:val="0"/>
        </w:numPr>
      </w:pPr>
      <w:r w:rsidRPr="00E43DFC">
        <w:t>The</w:t>
      </w:r>
      <w:r w:rsidR="007B1A65">
        <w:t>se</w:t>
      </w:r>
      <w:r w:rsidRPr="00E43DFC">
        <w:t xml:space="preserve"> service</w:t>
      </w:r>
      <w:r w:rsidR="007B1A65">
        <w:t>s</w:t>
      </w:r>
      <w:r w:rsidRPr="00E43DFC">
        <w:t xml:space="preserve"> can be requested by any </w:t>
      </w:r>
      <w:r w:rsidR="0065157B">
        <w:t xml:space="preserve">medical </w:t>
      </w:r>
      <w:r w:rsidRPr="00E43DFC">
        <w:t xml:space="preserve">practitioner </w:t>
      </w:r>
      <w:r w:rsidR="007B1A65">
        <w:t>and</w:t>
      </w:r>
      <w:r w:rsidRPr="00E43DFC">
        <w:t xml:space="preserve"> rendered by Approved Pathology Practitioners.</w:t>
      </w:r>
      <w:r w:rsidR="007B1A65">
        <w:t xml:space="preserve"> </w:t>
      </w:r>
    </w:p>
    <w:p w14:paraId="55C0ADE8" w14:textId="51303CE9" w:rsidR="008A334F" w:rsidRPr="008A334F" w:rsidRDefault="003469AC" w:rsidP="008A334F">
      <w:pPr>
        <w:rPr>
          <w:color w:val="FF0000"/>
          <w:szCs w:val="22"/>
        </w:rPr>
      </w:pPr>
      <w:r>
        <w:rPr>
          <w:szCs w:val="22"/>
        </w:rPr>
        <w:t>T</w:t>
      </w:r>
      <w:r w:rsidR="008A334F" w:rsidRPr="001E230B">
        <w:rPr>
          <w:szCs w:val="22"/>
        </w:rPr>
        <w:t xml:space="preserve">o be eligible for Medicare benefits, </w:t>
      </w:r>
      <w:r>
        <w:rPr>
          <w:szCs w:val="22"/>
        </w:rPr>
        <w:t>pathology</w:t>
      </w:r>
      <w:r w:rsidRPr="001E230B">
        <w:rPr>
          <w:szCs w:val="22"/>
        </w:rPr>
        <w:t xml:space="preserve"> </w:t>
      </w:r>
      <w:r w:rsidR="008A334F" w:rsidRPr="001E230B">
        <w:rPr>
          <w:szCs w:val="22"/>
        </w:rPr>
        <w:t xml:space="preserve">providers must be accredited </w:t>
      </w:r>
      <w:r>
        <w:rPr>
          <w:szCs w:val="22"/>
        </w:rPr>
        <w:t xml:space="preserve">in </w:t>
      </w:r>
      <w:r w:rsidR="008A334F" w:rsidRPr="001E230B">
        <w:rPr>
          <w:szCs w:val="22"/>
        </w:rPr>
        <w:t>accord</w:t>
      </w:r>
      <w:r>
        <w:rPr>
          <w:szCs w:val="22"/>
        </w:rPr>
        <w:t>ance with</w:t>
      </w:r>
      <w:r w:rsidR="008A334F" w:rsidRPr="001E230B">
        <w:rPr>
          <w:szCs w:val="22"/>
        </w:rPr>
        <w:t xml:space="preserve"> the pathology accreditation standards specified in the</w:t>
      </w:r>
      <w:r w:rsidR="008A334F" w:rsidRPr="001E230B">
        <w:rPr>
          <w:i/>
          <w:iCs/>
          <w:szCs w:val="22"/>
        </w:rPr>
        <w:t xml:space="preserve"> </w:t>
      </w:r>
      <w:hyperlink r:id="rId12" w:history="1">
        <w:r w:rsidR="008A334F" w:rsidRPr="008A334F">
          <w:rPr>
            <w:rStyle w:val="Hyperlink"/>
            <w:i/>
            <w:iCs/>
            <w:szCs w:val="22"/>
          </w:rPr>
          <w:t>Health Insurance (Accredited Pathology Laboratories-Approval) Principles 2017</w:t>
        </w:r>
      </w:hyperlink>
      <w:r w:rsidR="008A334F" w:rsidRPr="00CF21FE">
        <w:rPr>
          <w:szCs w:val="22"/>
        </w:rPr>
        <w:t>.</w:t>
      </w:r>
    </w:p>
    <w:p w14:paraId="69E16FF3" w14:textId="77777777" w:rsidR="00093CF8" w:rsidRDefault="00093CF8">
      <w:pPr>
        <w:spacing w:before="0" w:after="0" w:line="240" w:lineRule="auto"/>
        <w:rPr>
          <w:rFonts w:cs="Arial"/>
          <w:b/>
          <w:bCs/>
          <w:iCs/>
          <w:color w:val="358189"/>
          <w:sz w:val="36"/>
          <w:szCs w:val="28"/>
        </w:rPr>
      </w:pPr>
      <w:r>
        <w:br w:type="page"/>
      </w:r>
    </w:p>
    <w:p w14:paraId="7F7DA4F7" w14:textId="237F68BA" w:rsidR="00064168" w:rsidRDefault="00064168" w:rsidP="00064168">
      <w:pPr>
        <w:pStyle w:val="Heading2"/>
      </w:pPr>
      <w:r>
        <w:lastRenderedPageBreak/>
        <w:t>How will these changes affect patients</w:t>
      </w:r>
      <w:r w:rsidRPr="001A7FB7">
        <w:t>?</w:t>
      </w:r>
    </w:p>
    <w:p w14:paraId="3D2275CA" w14:textId="4AFB85BC" w:rsidR="002F2007" w:rsidRPr="00611B48" w:rsidRDefault="00A73184" w:rsidP="00611B48">
      <w:pPr>
        <w:pStyle w:val="Heading2"/>
        <w:rPr>
          <w:rFonts w:cs="Times New Roman"/>
          <w:b w:val="0"/>
          <w:bCs w:val="0"/>
          <w:iCs w:val="0"/>
          <w:color w:val="000000" w:themeColor="text1"/>
          <w:sz w:val="22"/>
          <w:szCs w:val="22"/>
        </w:rPr>
      </w:pPr>
      <w:r w:rsidRPr="00A73184">
        <w:rPr>
          <w:rFonts w:cs="Times New Roman"/>
          <w:b w:val="0"/>
          <w:bCs w:val="0"/>
          <w:iCs w:val="0"/>
          <w:color w:val="000000" w:themeColor="text1"/>
          <w:sz w:val="22"/>
          <w:szCs w:val="22"/>
        </w:rPr>
        <w:t xml:space="preserve">These changes will </w:t>
      </w:r>
      <w:r w:rsidR="000A6D21">
        <w:rPr>
          <w:rFonts w:cs="Times New Roman"/>
          <w:b w:val="0"/>
          <w:bCs w:val="0"/>
          <w:iCs w:val="0"/>
          <w:color w:val="000000" w:themeColor="text1"/>
          <w:sz w:val="22"/>
          <w:szCs w:val="22"/>
        </w:rPr>
        <w:t>support</w:t>
      </w:r>
      <w:r w:rsidRPr="00A73184">
        <w:rPr>
          <w:rFonts w:cs="Times New Roman"/>
          <w:b w:val="0"/>
          <w:bCs w:val="0"/>
          <w:iCs w:val="0"/>
          <w:color w:val="000000" w:themeColor="text1"/>
          <w:sz w:val="22"/>
          <w:szCs w:val="22"/>
        </w:rPr>
        <w:t xml:space="preserve"> patients access </w:t>
      </w:r>
      <w:r w:rsidR="000A6D21">
        <w:rPr>
          <w:rFonts w:cs="Times New Roman"/>
          <w:b w:val="0"/>
          <w:bCs w:val="0"/>
          <w:iCs w:val="0"/>
          <w:color w:val="000000" w:themeColor="text1"/>
          <w:sz w:val="22"/>
          <w:szCs w:val="22"/>
        </w:rPr>
        <w:t>to</w:t>
      </w:r>
      <w:r>
        <w:rPr>
          <w:rFonts w:cs="Times New Roman"/>
          <w:b w:val="0"/>
          <w:bCs w:val="0"/>
          <w:iCs w:val="0"/>
          <w:color w:val="000000" w:themeColor="text1"/>
          <w:sz w:val="22"/>
          <w:szCs w:val="22"/>
        </w:rPr>
        <w:t xml:space="preserve"> clinically</w:t>
      </w:r>
      <w:r w:rsidRPr="00A73184">
        <w:rPr>
          <w:rFonts w:cs="Times New Roman"/>
          <w:b w:val="0"/>
          <w:bCs w:val="0"/>
          <w:iCs w:val="0"/>
          <w:color w:val="000000" w:themeColor="text1"/>
          <w:sz w:val="22"/>
          <w:szCs w:val="22"/>
        </w:rPr>
        <w:t xml:space="preserve"> appropriate </w:t>
      </w:r>
      <w:r w:rsidR="000A6D21">
        <w:rPr>
          <w:rFonts w:cs="Times New Roman"/>
          <w:b w:val="0"/>
          <w:bCs w:val="0"/>
          <w:iCs w:val="0"/>
          <w:color w:val="000000" w:themeColor="text1"/>
          <w:sz w:val="22"/>
          <w:szCs w:val="22"/>
        </w:rPr>
        <w:t xml:space="preserve">pathology </w:t>
      </w:r>
      <w:r w:rsidRPr="00A73184">
        <w:rPr>
          <w:rFonts w:cs="Times New Roman"/>
          <w:b w:val="0"/>
          <w:bCs w:val="0"/>
          <w:iCs w:val="0"/>
          <w:color w:val="000000" w:themeColor="text1"/>
          <w:sz w:val="22"/>
          <w:szCs w:val="22"/>
        </w:rPr>
        <w:t>tests</w:t>
      </w:r>
      <w:r>
        <w:rPr>
          <w:rFonts w:cs="Times New Roman"/>
          <w:b w:val="0"/>
          <w:bCs w:val="0"/>
          <w:iCs w:val="0"/>
          <w:color w:val="000000" w:themeColor="text1"/>
          <w:sz w:val="22"/>
          <w:szCs w:val="22"/>
        </w:rPr>
        <w:t xml:space="preserve">. </w:t>
      </w:r>
      <w:r w:rsidR="00A7156E" w:rsidRPr="00E43DFC">
        <w:rPr>
          <w:rFonts w:cs="Times New Roman"/>
          <w:b w:val="0"/>
          <w:bCs w:val="0"/>
          <w:iCs w:val="0"/>
          <w:color w:val="auto"/>
          <w:sz w:val="22"/>
          <w:szCs w:val="22"/>
        </w:rPr>
        <w:t>Patients will benefit from services that are contemporary and reflect best clinical practice.</w:t>
      </w:r>
      <w:r w:rsidR="00611B48">
        <w:rPr>
          <w:rFonts w:cs="Times New Roman"/>
          <w:b w:val="0"/>
          <w:bCs w:val="0"/>
          <w:iCs w:val="0"/>
          <w:color w:val="auto"/>
          <w:sz w:val="22"/>
          <w:szCs w:val="22"/>
        </w:rPr>
        <w:t xml:space="preserve"> </w:t>
      </w:r>
      <w:r w:rsidR="00697F7C" w:rsidRPr="00697F7C">
        <w:rPr>
          <w:rFonts w:cs="Times New Roman"/>
          <w:b w:val="0"/>
          <w:bCs w:val="0"/>
          <w:iCs w:val="0"/>
          <w:color w:val="auto"/>
          <w:sz w:val="22"/>
          <w:szCs w:val="22"/>
        </w:rPr>
        <w:t>Improved access to these services supports earlier diagnosis, safer prescribing and improved health outcomes.</w:t>
      </w:r>
      <w:r w:rsidR="00697F7C" w:rsidRPr="00697F7C" w:rsidDel="00697F7C">
        <w:rPr>
          <w:rFonts w:cs="Times New Roman"/>
          <w:b w:val="0"/>
          <w:bCs w:val="0"/>
          <w:iCs w:val="0"/>
          <w:color w:val="auto"/>
          <w:sz w:val="22"/>
          <w:szCs w:val="22"/>
        </w:rPr>
        <w:t xml:space="preserve"> </w:t>
      </w:r>
    </w:p>
    <w:p w14:paraId="5BD9BE80" w14:textId="70719BF9" w:rsidR="00064168" w:rsidRDefault="00064168" w:rsidP="00064168">
      <w:pPr>
        <w:pStyle w:val="Heading2"/>
      </w:pPr>
      <w:r w:rsidRPr="001A7FB7">
        <w:t>Who was consulted on the changes?</w:t>
      </w:r>
    </w:p>
    <w:p w14:paraId="43886671" w14:textId="1C3AE6FC" w:rsidR="00FC6CA2" w:rsidRPr="00A73184" w:rsidRDefault="00FC6CA2" w:rsidP="009C01DB">
      <w:r w:rsidRPr="00A73184">
        <w:t xml:space="preserve">The Department of Health, Disability and Ageing (the department) consulted with a range of stakeholders including experts from the </w:t>
      </w:r>
      <w:r w:rsidR="001E230B" w:rsidRPr="00A73184">
        <w:t>pathology</w:t>
      </w:r>
      <w:r w:rsidRPr="00A73184">
        <w:t xml:space="preserve"> sector. Some of the stakeholders consulted for </w:t>
      </w:r>
      <w:r w:rsidR="00A73184" w:rsidRPr="00A73184">
        <w:t xml:space="preserve">these </w:t>
      </w:r>
      <w:r w:rsidRPr="00A73184">
        <w:t>changes to the MBS included:</w:t>
      </w:r>
    </w:p>
    <w:p w14:paraId="0DEC76E5" w14:textId="030C6712" w:rsidR="00A73184" w:rsidRPr="003B6ABE" w:rsidRDefault="00A73184" w:rsidP="00A37DE7">
      <w:pPr>
        <w:pStyle w:val="ListBullet"/>
      </w:pPr>
      <w:r w:rsidRPr="003B6ABE">
        <w:t>Australasian College of Dermatologists</w:t>
      </w:r>
    </w:p>
    <w:p w14:paraId="4399D4CE" w14:textId="0DDADA4F" w:rsidR="00A73184" w:rsidRPr="003B6ABE" w:rsidRDefault="00A73184" w:rsidP="00A37DE7">
      <w:pPr>
        <w:pStyle w:val="ListBullet"/>
      </w:pPr>
      <w:r w:rsidRPr="003B6ABE">
        <w:t xml:space="preserve">Australasian Society of Clinical and Experimental Pharmacologists and Toxicologists </w:t>
      </w:r>
    </w:p>
    <w:p w14:paraId="7F85C3B7" w14:textId="77777777" w:rsidR="00A73184" w:rsidRPr="003B6ABE" w:rsidRDefault="00A73184" w:rsidP="00A37DE7">
      <w:pPr>
        <w:pStyle w:val="ListBullet"/>
      </w:pPr>
      <w:r w:rsidRPr="003B6ABE">
        <w:t xml:space="preserve">Australian Pathology </w:t>
      </w:r>
    </w:p>
    <w:p w14:paraId="49B23E5D" w14:textId="598A7F70" w:rsidR="00A73184" w:rsidRPr="003B6ABE" w:rsidRDefault="00A73184" w:rsidP="00A37DE7">
      <w:pPr>
        <w:pStyle w:val="ListBullet"/>
      </w:pPr>
      <w:r w:rsidRPr="003B6ABE">
        <w:t xml:space="preserve">Epilepsy Society of Australia </w:t>
      </w:r>
    </w:p>
    <w:p w14:paraId="560F4B6D" w14:textId="1FF5C818" w:rsidR="00A73184" w:rsidRPr="003B6ABE" w:rsidRDefault="00A73184" w:rsidP="00A37DE7">
      <w:pPr>
        <w:pStyle w:val="ListBullet"/>
      </w:pPr>
      <w:r w:rsidRPr="003B6ABE">
        <w:t>National Pathology Accreditation Advisory Council</w:t>
      </w:r>
      <w:r w:rsidR="00921C2D" w:rsidRPr="003B6ABE">
        <w:t xml:space="preserve"> </w:t>
      </w:r>
    </w:p>
    <w:p w14:paraId="1E9C07A0" w14:textId="5C431BD3" w:rsidR="00A73184" w:rsidRPr="003B6ABE" w:rsidRDefault="00A73184" w:rsidP="00A37DE7">
      <w:pPr>
        <w:pStyle w:val="ListBullet"/>
      </w:pPr>
      <w:r w:rsidRPr="003B6ABE">
        <w:t>Public Pathology Australia</w:t>
      </w:r>
    </w:p>
    <w:p w14:paraId="62DD3E5E" w14:textId="2173C21F" w:rsidR="00A73184" w:rsidRPr="003B6ABE" w:rsidRDefault="00A73184" w:rsidP="00A37DE7">
      <w:pPr>
        <w:pStyle w:val="ListBullet"/>
      </w:pPr>
      <w:r w:rsidRPr="003B6ABE">
        <w:t xml:space="preserve">The Royal Australian &amp; New Zealand College of Psychiatrists </w:t>
      </w:r>
    </w:p>
    <w:p w14:paraId="5CAE93A8" w14:textId="098713AD" w:rsidR="00A73184" w:rsidRPr="00E43DFC" w:rsidRDefault="00A73184" w:rsidP="00A37DE7">
      <w:pPr>
        <w:pStyle w:val="ListBullet"/>
        <w:rPr>
          <w:color w:val="auto"/>
        </w:rPr>
      </w:pPr>
      <w:r w:rsidRPr="003B6ABE">
        <w:t xml:space="preserve">The Royal College of Pathologists </w:t>
      </w:r>
      <w:r w:rsidR="00C26EA0" w:rsidRPr="003B6ABE">
        <w:t xml:space="preserve">of </w:t>
      </w:r>
      <w:r w:rsidRPr="00E43DFC">
        <w:rPr>
          <w:color w:val="auto"/>
        </w:rPr>
        <w:t>Australasia</w:t>
      </w:r>
      <w:r w:rsidR="004956EF" w:rsidRPr="00E43DFC">
        <w:rPr>
          <w:color w:val="auto"/>
        </w:rPr>
        <w:t xml:space="preserve"> (RCPA)</w:t>
      </w:r>
    </w:p>
    <w:p w14:paraId="493CF7AF" w14:textId="77777777" w:rsidR="004956EF" w:rsidRPr="00E43DFC" w:rsidRDefault="004956EF" w:rsidP="00A37DE7">
      <w:pPr>
        <w:pStyle w:val="ListBullet"/>
        <w:rPr>
          <w:color w:val="auto"/>
        </w:rPr>
      </w:pPr>
      <w:r w:rsidRPr="00E43DFC">
        <w:rPr>
          <w:color w:val="auto"/>
        </w:rPr>
        <w:t>The RCPA’s Haematology Advisory Committee.</w:t>
      </w:r>
    </w:p>
    <w:p w14:paraId="4E00DCCB" w14:textId="0BC84F9E" w:rsidR="00E233CF" w:rsidRPr="002322D9" w:rsidRDefault="00A73184" w:rsidP="002322D9">
      <w:pPr>
        <w:pStyle w:val="ListBullet"/>
        <w:spacing w:after="0" w:line="240" w:lineRule="auto"/>
        <w:rPr>
          <w:rFonts w:cs="Arial"/>
          <w:b/>
          <w:bCs/>
          <w:iCs/>
          <w:color w:val="358189"/>
          <w:sz w:val="36"/>
          <w:szCs w:val="28"/>
        </w:rPr>
      </w:pPr>
      <w:r w:rsidRPr="003B6ABE">
        <w:t>The Society of Hospital Pharmacists</w:t>
      </w:r>
    </w:p>
    <w:p w14:paraId="32E82B19" w14:textId="3A46ED0D" w:rsidR="00064168" w:rsidRDefault="00064168" w:rsidP="00064168">
      <w:pPr>
        <w:pStyle w:val="Heading2"/>
      </w:pPr>
      <w:r w:rsidRPr="001A7FB7">
        <w:t>How will the changes be monitored</w:t>
      </w:r>
      <w:r>
        <w:t xml:space="preserve"> and reviewed</w:t>
      </w:r>
      <w:r w:rsidRPr="001A7FB7">
        <w:t>?</w:t>
      </w:r>
    </w:p>
    <w:p w14:paraId="0B9BA537" w14:textId="017BF1C7" w:rsidR="009170A9" w:rsidRPr="00B27A99" w:rsidRDefault="009170A9" w:rsidP="009170A9">
      <w:pPr>
        <w:rPr>
          <w:szCs w:val="22"/>
        </w:rPr>
      </w:pPr>
      <w:r w:rsidRPr="00D20254">
        <w:rPr>
          <w:szCs w:val="22"/>
        </w:rPr>
        <w:t>Providers are responsible for ensuring Medicare services claimed using their provider number meet all legislative requirements</w:t>
      </w:r>
      <w:r>
        <w:rPr>
          <w:szCs w:val="22"/>
        </w:rPr>
        <w:t xml:space="preserve">. </w:t>
      </w:r>
      <w:r w:rsidRPr="00D20254">
        <w:rPr>
          <w:szCs w:val="22"/>
        </w:rPr>
        <w:t xml:space="preserve">All Medicare claiming is subject to compliance checks and providers may be required to submit evidence about the services they bill. More information about </w:t>
      </w:r>
      <w:r>
        <w:rPr>
          <w:szCs w:val="22"/>
        </w:rPr>
        <w:t>the d</w:t>
      </w:r>
      <w:r w:rsidRPr="00D20254">
        <w:rPr>
          <w:szCs w:val="22"/>
        </w:rPr>
        <w:t>epartment</w:t>
      </w:r>
      <w:r>
        <w:rPr>
          <w:szCs w:val="22"/>
        </w:rPr>
        <w:t>’s</w:t>
      </w:r>
      <w:r w:rsidRPr="00D20254">
        <w:rPr>
          <w:szCs w:val="22"/>
        </w:rPr>
        <w:t xml:space="preserve"> compliance program can be found on its website at </w:t>
      </w:r>
      <w:hyperlink r:id="rId13" w:tgtFrame="_blank" w:tooltip="https://www.health.gov.au/topics/medicare/compliance" w:history="1">
        <w:r w:rsidRPr="001F76C6">
          <w:rPr>
            <w:rStyle w:val="Hyperlink"/>
            <w:szCs w:val="22"/>
          </w:rPr>
          <w:t>Medicare compliance</w:t>
        </w:r>
      </w:hyperlink>
      <w:r w:rsidRPr="001F76C6">
        <w:rPr>
          <w:szCs w:val="22"/>
        </w:rPr>
        <w:t>.</w:t>
      </w:r>
    </w:p>
    <w:p w14:paraId="3C63E237" w14:textId="77777777" w:rsidR="00064168" w:rsidRDefault="00064168" w:rsidP="00064168">
      <w:pPr>
        <w:pStyle w:val="Heading2"/>
      </w:pPr>
      <w:r>
        <w:t>Where can I find more information?</w:t>
      </w:r>
    </w:p>
    <w:p w14:paraId="5EEA2BAC" w14:textId="7795F252" w:rsidR="00064168" w:rsidRPr="00867595" w:rsidRDefault="00064168" w:rsidP="00064168">
      <w:pPr>
        <w:rPr>
          <w:szCs w:val="22"/>
        </w:rPr>
      </w:pPr>
      <w:r w:rsidRPr="00867595">
        <w:rPr>
          <w:szCs w:val="22"/>
        </w:rPr>
        <w:t xml:space="preserve">The full item descriptor(s) and information on other changes to the MBS can be found on the </w:t>
      </w:r>
      <w:hyperlink r:id="rId14"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r w:rsidR="00056A81">
        <w:rPr>
          <w:szCs w:val="22"/>
        </w:rPr>
        <w:t>‘</w:t>
      </w:r>
      <w:hyperlink r:id="rId15" w:history="1">
        <w:r w:rsidR="00056A81">
          <w:rPr>
            <w:rStyle w:val="Hyperlink"/>
            <w:szCs w:val="22"/>
          </w:rPr>
          <w:t>Subscribe to the MBS</w:t>
        </w:r>
      </w:hyperlink>
      <w:r w:rsidR="00056A81">
        <w:rPr>
          <w:szCs w:val="22"/>
        </w:rPr>
        <w:t>’</w:t>
      </w:r>
      <w:r w:rsidR="00525479">
        <w:rPr>
          <w:szCs w:val="22"/>
        </w:rPr>
        <w:t xml:space="preserve"> </w:t>
      </w:r>
      <w:r w:rsidR="00056A81">
        <w:rPr>
          <w:szCs w:val="22"/>
        </w:rPr>
        <w:t>on the MBS Online website</w:t>
      </w:r>
      <w:r w:rsidRPr="00867595">
        <w:rPr>
          <w:szCs w:val="22"/>
        </w:rPr>
        <w:t xml:space="preserve">. </w:t>
      </w:r>
    </w:p>
    <w:p w14:paraId="19B67CD4" w14:textId="2468B1DB" w:rsidR="001873B1" w:rsidRPr="000B7029" w:rsidRDefault="001873B1" w:rsidP="00064168">
      <w:pPr>
        <w:rPr>
          <w:szCs w:val="22"/>
        </w:rPr>
      </w:pPr>
      <w:r w:rsidRPr="001873B1">
        <w:rPr>
          <w:szCs w:val="22"/>
        </w:rPr>
        <w:t xml:space="preserve">Providers seeking advice on interpretation of MBS items, explanatory notes and associated legislation can use the department’s email advice service by emailing </w:t>
      </w:r>
      <w:hyperlink r:id="rId16" w:history="1">
        <w:r w:rsidRPr="001873B1">
          <w:rPr>
            <w:rStyle w:val="Hyperlink"/>
            <w:szCs w:val="22"/>
          </w:rPr>
          <w:t>askMBS@health.gov.au</w:t>
        </w:r>
      </w:hyperlink>
      <w:r w:rsidRPr="001873B1">
        <w:rPr>
          <w:szCs w:val="22"/>
        </w:rPr>
        <w:t>.</w:t>
      </w:r>
    </w:p>
    <w:p w14:paraId="1D6CA1FB" w14:textId="41F8EB94" w:rsidR="001245EF" w:rsidRDefault="001245EF" w:rsidP="001245EF">
      <w:pPr>
        <w:rPr>
          <w:color w:val="auto"/>
          <w:sz w:val="20"/>
          <w:szCs w:val="21"/>
        </w:rPr>
      </w:pPr>
      <w:r>
        <w:t xml:space="preserve">Private health insurance information on the product tier arrangements is available at </w:t>
      </w:r>
      <w:hyperlink r:id="rId17" w:history="1">
        <w:r>
          <w:rPr>
            <w:rStyle w:val="Hyperlink"/>
          </w:rPr>
          <w:t>www.privatehealth.gov.au</w:t>
        </w:r>
      </w:hyperlink>
      <w:r>
        <w:t xml:space="preserve">. Detailed information on the MBS item listing within clinical categories is available on the </w:t>
      </w:r>
      <w:hyperlink r:id="rId18" w:history="1">
        <w:r w:rsidR="001427CD">
          <w:rPr>
            <w:rStyle w:val="Hyperlink"/>
          </w:rPr>
          <w:t>d</w:t>
        </w:r>
        <w:r>
          <w:rPr>
            <w:rStyle w:val="Hyperlink"/>
          </w:rPr>
          <w:t>epartment’s website</w:t>
        </w:r>
      </w:hyperlink>
      <w:r>
        <w:t xml:space="preserve">. Private health insurance minimum accommodation benefits information, including MBS item accommodation classification, is available in the latest version of the </w:t>
      </w:r>
      <w:r w:rsidRPr="00B45350">
        <w:rPr>
          <w:i/>
        </w:rPr>
        <w:t xml:space="preserve">Private Health Insurance (Benefit Requirements) </w:t>
      </w:r>
      <w:r w:rsidRPr="00B45350">
        <w:rPr>
          <w:i/>
        </w:rPr>
        <w:lastRenderedPageBreak/>
        <w:t>Rules</w:t>
      </w:r>
      <w:r w:rsidR="00BD50C6">
        <w:rPr>
          <w:i/>
        </w:rPr>
        <w:t> </w:t>
      </w:r>
      <w:r w:rsidRPr="00B45350">
        <w:rPr>
          <w:i/>
        </w:rPr>
        <w:t>2011</w:t>
      </w:r>
      <w:r w:rsidR="005E2D76">
        <w:rPr>
          <w:i/>
        </w:rPr>
        <w:t xml:space="preserve"> </w:t>
      </w:r>
      <w:r w:rsidR="005E2D76">
        <w:rPr>
          <w:iCs/>
        </w:rPr>
        <w:t xml:space="preserve">found on the </w:t>
      </w:r>
      <w:hyperlink r:id="rId19"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20" w:history="1">
        <w:r>
          <w:rPr>
            <w:rStyle w:val="Hyperlink"/>
          </w:rPr>
          <w:t>PHI@health.gov.au</w:t>
        </w:r>
      </w:hyperlink>
      <w:r>
        <w:t>.</w:t>
      </w:r>
    </w:p>
    <w:p w14:paraId="359DC9B9" w14:textId="0B531C97" w:rsidR="00064168" w:rsidRPr="00867595" w:rsidRDefault="00064168" w:rsidP="00064168">
      <w:pPr>
        <w:rPr>
          <w:szCs w:val="22"/>
        </w:rPr>
      </w:pPr>
      <w:r w:rsidRPr="00867595">
        <w:rPr>
          <w:szCs w:val="22"/>
        </w:rPr>
        <w:t>Subscribe to ‘</w:t>
      </w:r>
      <w:hyperlink r:id="rId21" w:history="1">
        <w:r w:rsidRPr="00867595">
          <w:rPr>
            <w:rStyle w:val="Hyperlink"/>
            <w:szCs w:val="22"/>
          </w:rPr>
          <w:t>News for Health Professionals</w:t>
        </w:r>
      </w:hyperlink>
      <w:r w:rsidRPr="00867595">
        <w:rPr>
          <w:szCs w:val="22"/>
        </w:rPr>
        <w:t xml:space="preserve">’ on the Services Australia website </w:t>
      </w:r>
      <w:r w:rsidR="00E91576">
        <w:rPr>
          <w:szCs w:val="22"/>
        </w:rPr>
        <w:t>to</w:t>
      </w:r>
      <w:r w:rsidRPr="00867595">
        <w:rPr>
          <w:szCs w:val="22"/>
        </w:rPr>
        <w:t xml:space="preserve"> receive regular news highlights.</w:t>
      </w:r>
    </w:p>
    <w:p w14:paraId="01509414" w14:textId="40308C06"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2" w:name="_Hlk7773414"/>
      <w:r w:rsidRPr="00867595">
        <w:rPr>
          <w:szCs w:val="22"/>
        </w:rPr>
        <w:t xml:space="preserve">go to the Health Professionals page on the Services Australia website or </w:t>
      </w:r>
      <w:bookmarkEnd w:id="2"/>
      <w:r w:rsidRPr="00867595">
        <w:rPr>
          <w:szCs w:val="22"/>
        </w:rPr>
        <w:t xml:space="preserve">contact Services Australia on the Provider Enquiry Line – 13 21 50. </w:t>
      </w:r>
    </w:p>
    <w:p w14:paraId="0B4D7CE4" w14:textId="76AA08BF" w:rsidR="00064168" w:rsidRDefault="00064168" w:rsidP="00064168">
      <w:pPr>
        <w:rPr>
          <w:szCs w:val="22"/>
        </w:rPr>
      </w:pPr>
      <w:r w:rsidRPr="00867595">
        <w:rPr>
          <w:szCs w:val="22"/>
        </w:rPr>
        <w:t xml:space="preserve">The data file for software vendors when available can be accessed via the </w:t>
      </w:r>
      <w:hyperlink r:id="rId22" w:history="1">
        <w:r w:rsidR="00C02732" w:rsidRPr="00C02732">
          <w:rPr>
            <w:rStyle w:val="Hyperlink"/>
            <w:szCs w:val="22"/>
          </w:rPr>
          <w:t>Downloads</w:t>
        </w:r>
      </w:hyperlink>
      <w:r w:rsidRPr="00867595">
        <w:rPr>
          <w:szCs w:val="22"/>
        </w:rPr>
        <w:t xml:space="preserve"> page.</w:t>
      </w:r>
    </w:p>
    <w:p w14:paraId="78E8569B" w14:textId="77777777" w:rsidR="0000144C" w:rsidRDefault="0000144C" w:rsidP="00CF21FE">
      <w:pPr>
        <w:rPr>
          <w:rFonts w:cs="Arial"/>
          <w:b/>
          <w:bCs/>
          <w:iCs/>
          <w:color w:val="358189"/>
          <w:sz w:val="36"/>
          <w:szCs w:val="28"/>
        </w:rPr>
      </w:pPr>
      <w:r>
        <w:br w:type="page"/>
      </w:r>
    </w:p>
    <w:p w14:paraId="6D6EB19D" w14:textId="2244E8EE" w:rsidR="00BE3ED5" w:rsidRDefault="003D71E9" w:rsidP="00BE3ED5">
      <w:pPr>
        <w:pStyle w:val="Heading2"/>
      </w:pPr>
      <w:r>
        <w:lastRenderedPageBreak/>
        <w:t xml:space="preserve">New </w:t>
      </w:r>
      <w:r w:rsidR="00BE3ED5">
        <w:t>item descriptor</w:t>
      </w:r>
      <w:r w:rsidR="00093CF8">
        <w:t>s</w:t>
      </w:r>
      <w:r w:rsidR="00BE3ED5">
        <w:t xml:space="preserve"> (to take effect </w:t>
      </w:r>
      <w:r w:rsidR="00BB3BCE">
        <w:t>1 July 2026</w:t>
      </w:r>
      <w:r w:rsidR="00BE3ED5">
        <w:t>)</w:t>
      </w:r>
    </w:p>
    <w:tbl>
      <w:tblPr>
        <w:tblStyle w:val="GridTable4-Accent2"/>
        <w:tblW w:w="0" w:type="auto"/>
        <w:tblLook w:val="04A0" w:firstRow="1" w:lastRow="0" w:firstColumn="1" w:lastColumn="0" w:noHBand="0" w:noVBand="1"/>
      </w:tblPr>
      <w:tblGrid>
        <w:gridCol w:w="9060"/>
      </w:tblGrid>
      <w:tr w:rsidR="00C6326B" w:rsidRPr="00C6326B" w14:paraId="70AB0A39"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AA9D707" w14:textId="0A5D197F" w:rsidR="00C6326B" w:rsidRPr="00C6326B" w:rsidRDefault="00C6326B" w:rsidP="00C6326B">
            <w:r w:rsidRPr="00C6326B">
              <w:t xml:space="preserve">Category </w:t>
            </w:r>
            <w:r w:rsidR="003D71E9">
              <w:t xml:space="preserve">6 </w:t>
            </w:r>
            <w:r w:rsidRPr="00C6326B">
              <w:t>– Pathology Services</w:t>
            </w:r>
          </w:p>
        </w:tc>
      </w:tr>
      <w:tr w:rsidR="003D71E9" w:rsidRPr="00C6326B" w14:paraId="0CF04CB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tcPr>
          <w:p w14:paraId="51CBA7C7" w14:textId="5BBAB2BD" w:rsidR="003D71E9" w:rsidRPr="00C6326B" w:rsidRDefault="003D71E9" w:rsidP="00C6326B">
            <w:pPr>
              <w:rPr>
                <w:b w:val="0"/>
                <w:bCs w:val="0"/>
              </w:rPr>
            </w:pPr>
            <w:r w:rsidRPr="00C6326B">
              <w:t xml:space="preserve">Group </w:t>
            </w:r>
            <w:r>
              <w:t>P7</w:t>
            </w:r>
            <w:r w:rsidRPr="00C6326B">
              <w:t xml:space="preserve"> − </w:t>
            </w:r>
            <w:r>
              <w:t>Genetics</w:t>
            </w:r>
          </w:p>
        </w:tc>
      </w:tr>
      <w:tr w:rsidR="003D71E9" w:rsidRPr="00C6326B" w14:paraId="37478293" w14:textId="77777777" w:rsidTr="00CF21FE">
        <w:trPr>
          <w:trHeight w:val="3263"/>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tcPr>
          <w:p w14:paraId="6BADED9D" w14:textId="425110DE" w:rsidR="00BB3BCE" w:rsidRPr="002322D9" w:rsidRDefault="00BB3BCE" w:rsidP="003D71E9">
            <w:pPr>
              <w:rPr>
                <w:color w:val="auto"/>
              </w:rPr>
            </w:pPr>
            <w:r w:rsidRPr="002322D9">
              <w:rPr>
                <w:color w:val="auto"/>
              </w:rPr>
              <w:t>73400</w:t>
            </w:r>
          </w:p>
          <w:p w14:paraId="35A42500" w14:textId="077341BF" w:rsidR="003D71E9" w:rsidRPr="00D51F6D" w:rsidRDefault="003D71E9" w:rsidP="003D71E9">
            <w:pPr>
              <w:rPr>
                <w:b w:val="0"/>
                <w:bCs w:val="0"/>
                <w:color w:val="C00000"/>
              </w:rPr>
            </w:pPr>
            <w:r w:rsidRPr="000E69AC">
              <w:rPr>
                <w:b w:val="0"/>
                <w:bCs w:val="0"/>
                <w:color w:val="C00000"/>
              </w:rPr>
              <w:t xml:space="preserve">Genetic testing for at least 2 </w:t>
            </w:r>
            <w:r w:rsidRPr="000E69AC">
              <w:rPr>
                <w:b w:val="0"/>
                <w:bCs w:val="0"/>
                <w:i/>
                <w:iCs/>
                <w:color w:val="C00000"/>
              </w:rPr>
              <w:t>HLA</w:t>
            </w:r>
            <w:r w:rsidRPr="000E69AC">
              <w:rPr>
                <w:b w:val="0"/>
                <w:bCs w:val="0"/>
                <w:color w:val="C00000"/>
              </w:rPr>
              <w:t xml:space="preserve"> variants to predict the patient’s risk of a severe drug hypersensitivity reaction to carbamazepine or oxcarbazepine, if the service is conducted before or during the initiation of treatment with carbamazepine or oxcarbazepine</w:t>
            </w:r>
          </w:p>
          <w:p w14:paraId="020062FB" w14:textId="77777777" w:rsidR="003D71E9" w:rsidRPr="00D51F6D" w:rsidRDefault="003D71E9" w:rsidP="003D71E9">
            <w:pPr>
              <w:rPr>
                <w:b w:val="0"/>
                <w:bCs w:val="0"/>
                <w:color w:val="C00000"/>
              </w:rPr>
            </w:pPr>
            <w:r w:rsidRPr="000E69AC">
              <w:rPr>
                <w:b w:val="0"/>
                <w:bCs w:val="0"/>
                <w:color w:val="C00000"/>
              </w:rPr>
              <w:t>Applicable once per lifetime</w:t>
            </w:r>
          </w:p>
          <w:p w14:paraId="705BF591" w14:textId="77777777" w:rsidR="003D71E9" w:rsidRPr="00D51F6D" w:rsidRDefault="003D71E9" w:rsidP="003D71E9">
            <w:pPr>
              <w:rPr>
                <w:rFonts w:cs="Arial"/>
                <w:b w:val="0"/>
                <w:bCs w:val="0"/>
                <w:color w:val="C00000"/>
                <w:szCs w:val="22"/>
              </w:rPr>
            </w:pPr>
            <w:r w:rsidRPr="000E69AC">
              <w:rPr>
                <w:rFonts w:cs="Arial"/>
                <w:b w:val="0"/>
                <w:bCs w:val="0"/>
                <w:color w:val="C00000"/>
                <w:szCs w:val="22"/>
              </w:rPr>
              <w:t>Fee: $139.00    Benefit: 75% = $104.</w:t>
            </w:r>
            <w:r w:rsidR="00BB3BCE" w:rsidRPr="000E69AC">
              <w:rPr>
                <w:rFonts w:cs="Arial"/>
                <w:b w:val="0"/>
                <w:bCs w:val="0"/>
                <w:color w:val="C00000"/>
                <w:szCs w:val="22"/>
              </w:rPr>
              <w:t>25</w:t>
            </w:r>
            <w:r w:rsidRPr="000E69AC">
              <w:rPr>
                <w:rFonts w:cs="Arial"/>
                <w:b w:val="0"/>
                <w:bCs w:val="0"/>
                <w:color w:val="C00000"/>
                <w:szCs w:val="22"/>
              </w:rPr>
              <w:t xml:space="preserve">   85% = $118.15</w:t>
            </w:r>
          </w:p>
          <w:p w14:paraId="06B05F5F" w14:textId="5A4F7FAE" w:rsidR="008375C0" w:rsidRPr="008375C0" w:rsidRDefault="008375C0" w:rsidP="008375C0">
            <w:pPr>
              <w:rPr>
                <w:b w:val="0"/>
                <w:bCs w:val="0"/>
                <w:szCs w:val="22"/>
              </w:rPr>
            </w:pPr>
            <w:r w:rsidRPr="000E69AC">
              <w:rPr>
                <w:b w:val="0"/>
                <w:bCs w:val="0"/>
                <w:color w:val="C00000"/>
              </w:rPr>
              <w:t xml:space="preserve">(See </w:t>
            </w:r>
            <w:r w:rsidRPr="000E69AC">
              <w:rPr>
                <w:b w:val="0"/>
                <w:bCs w:val="0"/>
                <w:color w:val="C00000"/>
                <w:szCs w:val="22"/>
              </w:rPr>
              <w:t>PN.</w:t>
            </w:r>
            <w:r w:rsidRPr="000E69AC">
              <w:rPr>
                <w:b w:val="0"/>
                <w:bCs w:val="0"/>
                <w:color w:val="C00000"/>
              </w:rPr>
              <w:t>7.23 of explanatory notes to this Category</w:t>
            </w:r>
            <w:r w:rsidRPr="000E69AC">
              <w:rPr>
                <w:b w:val="0"/>
                <w:bCs w:val="0"/>
                <w:color w:val="C00000"/>
                <w:szCs w:val="22"/>
              </w:rPr>
              <w:t>).</w:t>
            </w:r>
          </w:p>
        </w:tc>
      </w:tr>
      <w:tr w:rsidR="002322D9" w:rsidRPr="00C6326B" w14:paraId="794874CD" w14:textId="77777777" w:rsidTr="002322D9">
        <w:trPr>
          <w:cnfStyle w:val="000000100000" w:firstRow="0" w:lastRow="0" w:firstColumn="0" w:lastColumn="0" w:oddVBand="0" w:evenVBand="0" w:oddHBand="1" w:evenHBand="0" w:firstRowFirstColumn="0" w:firstRowLastColumn="0" w:lastRowFirstColumn="0" w:lastRowLastColumn="0"/>
          <w:trHeight w:val="1206"/>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shd w:val="clear" w:color="auto" w:fill="auto"/>
          </w:tcPr>
          <w:p w14:paraId="740D49B5" w14:textId="77777777" w:rsidR="002322D9" w:rsidRPr="002322D9" w:rsidRDefault="002322D9" w:rsidP="002322D9">
            <w:pPr>
              <w:rPr>
                <w:color w:val="auto"/>
              </w:rPr>
            </w:pPr>
            <w:r w:rsidRPr="002322D9">
              <w:rPr>
                <w:color w:val="auto"/>
              </w:rPr>
              <w:t>73329</w:t>
            </w:r>
          </w:p>
          <w:p w14:paraId="5BDBF317" w14:textId="77777777" w:rsidR="002322D9" w:rsidRPr="000E69AC" w:rsidRDefault="002322D9" w:rsidP="002322D9">
            <w:pPr>
              <w:rPr>
                <w:b w:val="0"/>
                <w:bCs w:val="0"/>
                <w:color w:val="C00000"/>
              </w:rPr>
            </w:pPr>
            <w:r w:rsidRPr="000E69AC">
              <w:rPr>
                <w:b w:val="0"/>
                <w:bCs w:val="0"/>
                <w:color w:val="C00000"/>
              </w:rPr>
              <w:t>A nucleic acid-based multi-gene panel test of tumour tissue from a patient with cholangiocarcinoma requested by, or on behalf of, a specialist or consultant physician, if the test is to:</w:t>
            </w:r>
          </w:p>
          <w:p w14:paraId="2009954B" w14:textId="3E5FDB01" w:rsidR="002322D9" w:rsidRPr="000E69AC" w:rsidRDefault="002322D9" w:rsidP="002322D9">
            <w:pPr>
              <w:ind w:left="720"/>
              <w:rPr>
                <w:b w:val="0"/>
                <w:bCs w:val="0"/>
                <w:color w:val="C00000"/>
              </w:rPr>
            </w:pPr>
            <w:r w:rsidRPr="000E69AC">
              <w:rPr>
                <w:b w:val="0"/>
                <w:bCs w:val="0"/>
                <w:color w:val="C00000"/>
              </w:rPr>
              <w:t xml:space="preserve">(a) detect at least </w:t>
            </w:r>
            <w:r w:rsidRPr="000E69AC">
              <w:rPr>
                <w:b w:val="0"/>
                <w:bCs w:val="0"/>
                <w:i/>
                <w:iCs/>
                <w:color w:val="C00000"/>
              </w:rPr>
              <w:t xml:space="preserve">IDH1 </w:t>
            </w:r>
            <w:r w:rsidRPr="000E69AC">
              <w:rPr>
                <w:b w:val="0"/>
                <w:bCs w:val="0"/>
                <w:color w:val="C00000"/>
              </w:rPr>
              <w:t>variant status, and</w:t>
            </w:r>
          </w:p>
          <w:p w14:paraId="2AB13337" w14:textId="07BC56A5" w:rsidR="002322D9" w:rsidRPr="000E69AC" w:rsidRDefault="002322D9" w:rsidP="002322D9">
            <w:pPr>
              <w:ind w:left="720"/>
              <w:rPr>
                <w:b w:val="0"/>
                <w:bCs w:val="0"/>
                <w:color w:val="C00000"/>
              </w:rPr>
            </w:pPr>
            <w:r w:rsidRPr="000E69AC">
              <w:rPr>
                <w:b w:val="0"/>
                <w:bCs w:val="0"/>
                <w:color w:val="C00000"/>
              </w:rPr>
              <w:t xml:space="preserve">(b) detect the fusion or rearrangement status of at least </w:t>
            </w:r>
            <w:r w:rsidRPr="000E69AC">
              <w:rPr>
                <w:b w:val="0"/>
                <w:bCs w:val="0"/>
                <w:i/>
                <w:iCs/>
                <w:color w:val="C00000"/>
              </w:rPr>
              <w:t>FGFR2</w:t>
            </w:r>
            <w:r w:rsidRPr="000E69AC">
              <w:rPr>
                <w:b w:val="0"/>
                <w:bCs w:val="0"/>
                <w:color w:val="C00000"/>
              </w:rPr>
              <w:t>; and</w:t>
            </w:r>
          </w:p>
          <w:p w14:paraId="6B069E11" w14:textId="0F2C3019" w:rsidR="002322D9" w:rsidRPr="000E69AC" w:rsidRDefault="002322D9" w:rsidP="002322D9">
            <w:pPr>
              <w:ind w:left="720"/>
              <w:rPr>
                <w:b w:val="0"/>
                <w:bCs w:val="0"/>
                <w:color w:val="C00000"/>
              </w:rPr>
            </w:pPr>
            <w:r w:rsidRPr="000E69AC">
              <w:rPr>
                <w:b w:val="0"/>
                <w:bCs w:val="0"/>
                <w:color w:val="C00000"/>
              </w:rPr>
              <w:t>(c) determine eligibility for a relevant treatment under the Pharmaceutical Benefits Scheme</w:t>
            </w:r>
          </w:p>
          <w:p w14:paraId="77EAF140" w14:textId="77777777" w:rsidR="002322D9" w:rsidRPr="000E69AC" w:rsidRDefault="002322D9" w:rsidP="002322D9">
            <w:pPr>
              <w:rPr>
                <w:b w:val="0"/>
                <w:bCs w:val="0"/>
                <w:color w:val="C00000"/>
              </w:rPr>
            </w:pPr>
            <w:r w:rsidRPr="000E69AC">
              <w:rPr>
                <w:b w:val="0"/>
                <w:bCs w:val="0"/>
                <w:color w:val="C00000"/>
              </w:rPr>
              <w:t>including a service described in item 73319.</w:t>
            </w:r>
          </w:p>
          <w:p w14:paraId="68B2B6C1" w14:textId="77777777" w:rsidR="002322D9" w:rsidRPr="000E69AC" w:rsidRDefault="002322D9" w:rsidP="002322D9">
            <w:pPr>
              <w:rPr>
                <w:b w:val="0"/>
                <w:bCs w:val="0"/>
                <w:color w:val="C00000"/>
              </w:rPr>
            </w:pPr>
            <w:r w:rsidRPr="000E69AC">
              <w:rPr>
                <w:b w:val="0"/>
                <w:bCs w:val="0"/>
                <w:color w:val="C00000"/>
              </w:rPr>
              <w:t>Applicable once per lifetime</w:t>
            </w:r>
          </w:p>
          <w:p w14:paraId="0DC5EEC5" w14:textId="5A4E66A5" w:rsidR="002322D9" w:rsidRPr="000E69AC" w:rsidRDefault="002322D9" w:rsidP="002322D9">
            <w:pPr>
              <w:rPr>
                <w:b w:val="0"/>
                <w:bCs w:val="0"/>
                <w:color w:val="C00000"/>
              </w:rPr>
            </w:pPr>
            <w:r w:rsidRPr="000E69AC">
              <w:rPr>
                <w:b w:val="0"/>
                <w:bCs w:val="0"/>
                <w:color w:val="C00000"/>
              </w:rPr>
              <w:t>Fee: $800.00</w:t>
            </w:r>
            <w:r w:rsidRPr="000E69AC">
              <w:rPr>
                <w:rFonts w:cs="Arial"/>
                <w:b w:val="0"/>
                <w:bCs w:val="0"/>
                <w:color w:val="C00000"/>
                <w:szCs w:val="22"/>
              </w:rPr>
              <w:t xml:space="preserve">    </w:t>
            </w:r>
            <w:r w:rsidRPr="000E69AC">
              <w:rPr>
                <w:b w:val="0"/>
                <w:bCs w:val="0"/>
                <w:color w:val="C00000"/>
              </w:rPr>
              <w:t>Benefit: 75% = $600.00</w:t>
            </w:r>
            <w:r w:rsidRPr="000E69AC">
              <w:rPr>
                <w:rFonts w:cs="Arial"/>
                <w:b w:val="0"/>
                <w:bCs w:val="0"/>
                <w:color w:val="C00000"/>
                <w:szCs w:val="22"/>
              </w:rPr>
              <w:t xml:space="preserve">   </w:t>
            </w:r>
            <w:r w:rsidRPr="000E69AC">
              <w:rPr>
                <w:b w:val="0"/>
                <w:bCs w:val="0"/>
                <w:color w:val="C00000"/>
              </w:rPr>
              <w:t>85% = $695.50</w:t>
            </w:r>
          </w:p>
          <w:p w14:paraId="44688879" w14:textId="51553C93" w:rsidR="00955C67" w:rsidRPr="002322D9" w:rsidRDefault="002322D9" w:rsidP="002322D9">
            <w:pPr>
              <w:rPr>
                <w:color w:val="auto"/>
              </w:rPr>
            </w:pPr>
            <w:r w:rsidRPr="000E69AC">
              <w:rPr>
                <w:b w:val="0"/>
                <w:bCs w:val="0"/>
                <w:color w:val="C00000"/>
              </w:rPr>
              <w:t>(See PN.1.2 of explanatory notes to this Category)</w:t>
            </w:r>
          </w:p>
        </w:tc>
      </w:tr>
    </w:tbl>
    <w:p w14:paraId="5BE7ED41" w14:textId="77777777" w:rsidR="002322D9" w:rsidRDefault="002322D9" w:rsidP="00C26EA0">
      <w:pPr>
        <w:pStyle w:val="Heading2"/>
      </w:pPr>
    </w:p>
    <w:p w14:paraId="73D763DB" w14:textId="77777777" w:rsidR="002322D9" w:rsidRDefault="002322D9">
      <w:pPr>
        <w:spacing w:before="0" w:after="0" w:line="240" w:lineRule="auto"/>
        <w:rPr>
          <w:rFonts w:cs="Arial"/>
          <w:b/>
          <w:bCs/>
          <w:iCs/>
          <w:color w:val="358189"/>
          <w:sz w:val="36"/>
          <w:szCs w:val="28"/>
        </w:rPr>
      </w:pPr>
      <w:r>
        <w:br w:type="page"/>
      </w:r>
    </w:p>
    <w:p w14:paraId="501AAE01" w14:textId="34FD489C" w:rsidR="00C26EA0" w:rsidRDefault="00C26EA0" w:rsidP="00C26EA0">
      <w:pPr>
        <w:pStyle w:val="Heading2"/>
      </w:pPr>
      <w:r>
        <w:lastRenderedPageBreak/>
        <w:t>Amended item descriptors (to take effect 1 July 2026)</w:t>
      </w:r>
    </w:p>
    <w:p w14:paraId="1A0ECB39" w14:textId="77777777" w:rsidR="00C26EA0" w:rsidRDefault="00C26EA0" w:rsidP="00BB3BCE">
      <w:pPr>
        <w:spacing w:before="0" w:after="0" w:line="240" w:lineRule="auto"/>
      </w:pPr>
    </w:p>
    <w:tbl>
      <w:tblPr>
        <w:tblStyle w:val="GridTable4-Accent2"/>
        <w:tblW w:w="0" w:type="auto"/>
        <w:tblLook w:val="04A0" w:firstRow="1" w:lastRow="0" w:firstColumn="1" w:lastColumn="0" w:noHBand="0" w:noVBand="1"/>
      </w:tblPr>
      <w:tblGrid>
        <w:gridCol w:w="9060"/>
      </w:tblGrid>
      <w:tr w:rsidR="00BB3BCE" w:rsidRPr="00C6326B" w14:paraId="093DA21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tcPr>
          <w:p w14:paraId="24206133" w14:textId="3DC7C01B" w:rsidR="00BB3BCE" w:rsidRPr="00C6326B" w:rsidRDefault="00BB3BCE" w:rsidP="00C6326B">
            <w:pPr>
              <w:rPr>
                <w:b w:val="0"/>
                <w:bCs w:val="0"/>
              </w:rPr>
            </w:pPr>
            <w:r w:rsidRPr="00C6326B">
              <w:t xml:space="preserve">Category </w:t>
            </w:r>
            <w:r>
              <w:t xml:space="preserve">6 </w:t>
            </w:r>
            <w:r w:rsidRPr="00C6326B">
              <w:t>– Pathology Services</w:t>
            </w:r>
          </w:p>
        </w:tc>
      </w:tr>
      <w:tr w:rsidR="00C6326B" w:rsidRPr="00C6326B" w14:paraId="52B0CBE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hideMark/>
          </w:tcPr>
          <w:p w14:paraId="6CB40F03" w14:textId="41F5C502" w:rsidR="00C6326B" w:rsidRPr="00C6326B" w:rsidRDefault="00C6326B" w:rsidP="00C6326B">
            <w:r w:rsidRPr="00C6326B">
              <w:t xml:space="preserve">Group </w:t>
            </w:r>
            <w:r w:rsidR="003D71E9">
              <w:t>P</w:t>
            </w:r>
            <w:r w:rsidRPr="00C6326B">
              <w:t>3 − Microbiology</w:t>
            </w:r>
          </w:p>
        </w:tc>
      </w:tr>
      <w:tr w:rsidR="00C6326B" w:rsidRPr="00C6326B" w14:paraId="01BCD6BA" w14:textId="77777777">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tcPr>
          <w:p w14:paraId="638BCA84" w14:textId="77B6479E" w:rsidR="00C6326B" w:rsidRPr="00C6326B" w:rsidRDefault="00C6326B" w:rsidP="00C6326B">
            <w:r w:rsidRPr="00C6326B">
              <w:t>69499</w:t>
            </w:r>
          </w:p>
          <w:p w14:paraId="272E8A9F" w14:textId="77777777" w:rsidR="00C6326B" w:rsidRPr="00BB3BCE" w:rsidRDefault="00C6326B" w:rsidP="00BB3BCE">
            <w:pPr>
              <w:rPr>
                <w:b w:val="0"/>
                <w:bCs w:val="0"/>
              </w:rPr>
            </w:pPr>
            <w:r w:rsidRPr="00BB3BCE">
              <w:rPr>
                <w:b w:val="0"/>
                <w:bCs w:val="0"/>
              </w:rPr>
              <w:t>Detection of hepatitis C viral RNA if:</w:t>
            </w:r>
          </w:p>
          <w:p w14:paraId="0CF89AFD" w14:textId="5B12D3A7" w:rsidR="00A05C5B" w:rsidRPr="00D51F6D" w:rsidRDefault="00C6326B" w:rsidP="008C6749">
            <w:pPr>
              <w:ind w:left="720"/>
              <w:rPr>
                <w:b w:val="0"/>
                <w:bCs w:val="0"/>
                <w:strike/>
                <w:color w:val="C00000"/>
              </w:rPr>
            </w:pPr>
            <w:r w:rsidRPr="000E69AC">
              <w:rPr>
                <w:b w:val="0"/>
                <w:bCs w:val="0"/>
                <w:strike/>
                <w:color w:val="C00000"/>
              </w:rPr>
              <w:t xml:space="preserve">(a) </w:t>
            </w:r>
            <w:r w:rsidR="00A05C5B" w:rsidRPr="000E69AC">
              <w:rPr>
                <w:b w:val="0"/>
                <w:bCs w:val="0"/>
                <w:strike/>
                <w:color w:val="C00000"/>
              </w:rPr>
              <w:t xml:space="preserve">2 different assays of Hepatitis C antibodies in the patient are positive or </w:t>
            </w:r>
            <w:proofErr w:type="gramStart"/>
            <w:r w:rsidR="00A05C5B" w:rsidRPr="000E69AC">
              <w:rPr>
                <w:b w:val="0"/>
                <w:bCs w:val="0"/>
                <w:strike/>
                <w:color w:val="C00000"/>
              </w:rPr>
              <w:t>inconclusive;</w:t>
            </w:r>
            <w:proofErr w:type="gramEnd"/>
            <w:r w:rsidR="00A05C5B" w:rsidRPr="000E69AC">
              <w:rPr>
                <w:b w:val="0"/>
                <w:bCs w:val="0"/>
                <w:strike/>
                <w:color w:val="C00000"/>
              </w:rPr>
              <w:t xml:space="preserve"> or </w:t>
            </w:r>
          </w:p>
          <w:p w14:paraId="3F88BB12" w14:textId="1F17098C" w:rsidR="00C6326B" w:rsidRPr="00D51F6D" w:rsidRDefault="00A05C5B" w:rsidP="008C6749">
            <w:pPr>
              <w:ind w:left="720"/>
              <w:rPr>
                <w:b w:val="0"/>
                <w:bCs w:val="0"/>
                <w:color w:val="C00000"/>
              </w:rPr>
            </w:pPr>
            <w:r w:rsidRPr="000E69AC">
              <w:rPr>
                <w:b w:val="0"/>
                <w:bCs w:val="0"/>
                <w:color w:val="C00000"/>
              </w:rPr>
              <w:t xml:space="preserve">(a) </w:t>
            </w:r>
            <w:r w:rsidR="00C6326B" w:rsidRPr="000E69AC">
              <w:rPr>
                <w:b w:val="0"/>
                <w:bCs w:val="0"/>
                <w:color w:val="C00000"/>
              </w:rPr>
              <w:t>the patient is hepatitis C seropositive; or</w:t>
            </w:r>
          </w:p>
          <w:p w14:paraId="7B7D7C0D" w14:textId="77777777" w:rsidR="00C6326B" w:rsidRPr="00D51F6D" w:rsidRDefault="00C6326B" w:rsidP="008C6749">
            <w:pPr>
              <w:ind w:left="720"/>
              <w:rPr>
                <w:b w:val="0"/>
                <w:bCs w:val="0"/>
                <w:color w:val="C00000"/>
              </w:rPr>
            </w:pPr>
            <w:r w:rsidRPr="000E69AC">
              <w:rPr>
                <w:b w:val="0"/>
                <w:bCs w:val="0"/>
                <w:color w:val="C00000"/>
              </w:rPr>
              <w:t>(aa) the patient’s hepatitis C serological status is uncertain after an inconclusive serology test result; or</w:t>
            </w:r>
          </w:p>
          <w:p w14:paraId="180CE8C0" w14:textId="77777777" w:rsidR="00C6326B" w:rsidRPr="00BB3BCE" w:rsidRDefault="00C6326B" w:rsidP="008C6749">
            <w:pPr>
              <w:ind w:left="720"/>
              <w:rPr>
                <w:b w:val="0"/>
                <w:bCs w:val="0"/>
              </w:rPr>
            </w:pPr>
            <w:r w:rsidRPr="00BB3BCE">
              <w:rPr>
                <w:b w:val="0"/>
                <w:bCs w:val="0"/>
              </w:rPr>
              <w:t>(b) the test is performed for the purpose of:</w:t>
            </w:r>
          </w:p>
          <w:p w14:paraId="4249C220" w14:textId="77777777" w:rsidR="00C6326B" w:rsidRPr="00BB3BCE" w:rsidRDefault="00C6326B" w:rsidP="008C6749">
            <w:pPr>
              <w:ind w:left="1440"/>
              <w:rPr>
                <w:b w:val="0"/>
                <w:bCs w:val="0"/>
              </w:rPr>
            </w:pPr>
            <w:r w:rsidRPr="00BB3BCE">
              <w:rPr>
                <w:b w:val="0"/>
                <w:bCs w:val="0"/>
              </w:rPr>
              <w:t>(i) determining the hepatitis C status of an immunosuppressed or immunocompromised patient; or</w:t>
            </w:r>
          </w:p>
          <w:p w14:paraId="4CF80C1A" w14:textId="3520A7DE" w:rsidR="00C6326B" w:rsidRPr="00BB3BCE" w:rsidRDefault="00C6326B" w:rsidP="008C6749">
            <w:pPr>
              <w:ind w:left="1440"/>
              <w:rPr>
                <w:b w:val="0"/>
                <w:bCs w:val="0"/>
              </w:rPr>
            </w:pPr>
            <w:r w:rsidRPr="00BB3BCE">
              <w:rPr>
                <w:b w:val="0"/>
                <w:bCs w:val="0"/>
              </w:rPr>
              <w:t>(ii) the detection of acute hepatitis C prior to seroconversion if considered necessary for the clinical management of the patient</w:t>
            </w:r>
          </w:p>
          <w:p w14:paraId="62F5142A" w14:textId="779D1A48" w:rsidR="00C6326B" w:rsidRPr="00BB3BCE" w:rsidRDefault="00C6326B" w:rsidP="00BB3BCE">
            <w:pPr>
              <w:rPr>
                <w:b w:val="0"/>
                <w:bCs w:val="0"/>
              </w:rPr>
            </w:pPr>
            <w:r w:rsidRPr="00BB3BCE">
              <w:rPr>
                <w:b w:val="0"/>
                <w:bCs w:val="0"/>
              </w:rPr>
              <w:t>(Item is subject to rule 25 –</w:t>
            </w:r>
            <w:r w:rsidR="007E0C5A">
              <w:rPr>
                <w:b w:val="0"/>
                <w:bCs w:val="0"/>
              </w:rPr>
              <w:t xml:space="preserve"> not more than once </w:t>
            </w:r>
            <w:r w:rsidRPr="00BB3BCE">
              <w:rPr>
                <w:b w:val="0"/>
                <w:bCs w:val="0"/>
              </w:rPr>
              <w:t>in a 12-month period</w:t>
            </w:r>
            <w:r w:rsidR="007E0C5A">
              <w:rPr>
                <w:b w:val="0"/>
                <w:bCs w:val="0"/>
              </w:rPr>
              <w:t xml:space="preserve"> </w:t>
            </w:r>
            <w:r w:rsidR="00F86B99">
              <w:rPr>
                <w:b w:val="0"/>
                <w:bCs w:val="0"/>
              </w:rPr>
              <w:t xml:space="preserve">in total </w:t>
            </w:r>
            <w:r w:rsidR="007E0C5A">
              <w:rPr>
                <w:b w:val="0"/>
                <w:bCs w:val="0"/>
              </w:rPr>
              <w:t>for both items 69499 and 69500</w:t>
            </w:r>
            <w:r w:rsidRPr="00BB3BCE">
              <w:rPr>
                <w:b w:val="0"/>
                <w:bCs w:val="0"/>
              </w:rPr>
              <w:t>)</w:t>
            </w:r>
          </w:p>
          <w:p w14:paraId="36DAC4CE" w14:textId="57C762AF" w:rsidR="00C6326B" w:rsidRPr="00C6326B" w:rsidRDefault="00C6326B" w:rsidP="00BB3BCE">
            <w:pPr>
              <w:rPr>
                <w:rFonts w:cs="Arial"/>
                <w:b w:val="0"/>
                <w:bCs w:val="0"/>
                <w:szCs w:val="22"/>
              </w:rPr>
            </w:pPr>
            <w:r w:rsidRPr="00BB3BCE">
              <w:rPr>
                <w:b w:val="0"/>
                <w:bCs w:val="0"/>
              </w:rPr>
              <w:t>Fee: $92.20    Benefit: 75% = $69.15   85% = $78.40</w:t>
            </w:r>
          </w:p>
        </w:tc>
      </w:tr>
      <w:tr w:rsidR="004956EF" w14:paraId="7A0B68DA" w14:textId="77777777" w:rsidTr="00EE79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79818D01" w14:textId="77777777" w:rsidR="004956EF" w:rsidRPr="00E43DFC" w:rsidRDefault="004956EF" w:rsidP="00EE79B1">
            <w:pPr>
              <w:rPr>
                <w:b w:val="0"/>
                <w:bCs w:val="0"/>
                <w:color w:val="auto"/>
                <w:lang w:eastAsia="en-AU"/>
              </w:rPr>
            </w:pPr>
            <w:bookmarkStart w:id="3" w:name="_Hlk118987208"/>
            <w:r w:rsidRPr="00E43DFC">
              <w:rPr>
                <w:color w:val="auto"/>
                <w:lang w:eastAsia="en-AU"/>
              </w:rPr>
              <w:t>Group</w:t>
            </w:r>
            <w:r w:rsidRPr="00E43DFC">
              <w:rPr>
                <w:color w:val="auto"/>
              </w:rPr>
              <w:t xml:space="preserve"> </w:t>
            </w:r>
            <w:r w:rsidRPr="00E43DFC">
              <w:rPr>
                <w:color w:val="auto"/>
                <w:lang w:eastAsia="en-AU"/>
              </w:rPr>
              <w:t>P1 - Haematology</w:t>
            </w:r>
          </w:p>
        </w:tc>
      </w:tr>
      <w:tr w:rsidR="004956EF" w14:paraId="15157A37" w14:textId="77777777" w:rsidTr="00EE79B1">
        <w:tc>
          <w:tcPr>
            <w:cnfStyle w:val="001000000000" w:firstRow="0" w:lastRow="0" w:firstColumn="1" w:lastColumn="0" w:oddVBand="0" w:evenVBand="0" w:oddHBand="0" w:evenHBand="0" w:firstRowFirstColumn="0" w:firstRowLastColumn="0" w:lastRowFirstColumn="0" w:lastRowLastColumn="0"/>
            <w:tcW w:w="9060" w:type="dxa"/>
          </w:tcPr>
          <w:p w14:paraId="22C27F63" w14:textId="4DDAD9B8" w:rsidR="004956EF" w:rsidRPr="00501566" w:rsidRDefault="004956EF" w:rsidP="00EE79B1">
            <w:pPr>
              <w:rPr>
                <w:color w:val="auto"/>
              </w:rPr>
            </w:pPr>
            <w:r w:rsidRPr="00501566">
              <w:rPr>
                <w:color w:val="auto"/>
              </w:rPr>
              <w:t xml:space="preserve">65150 </w:t>
            </w:r>
          </w:p>
          <w:p w14:paraId="6EFD372A" w14:textId="5D51C017" w:rsidR="00FC4B5E" w:rsidRPr="00AA7EE3" w:rsidRDefault="00FC4B5E" w:rsidP="00EE79B1">
            <w:pPr>
              <w:rPr>
                <w:b w:val="0"/>
                <w:bCs w:val="0"/>
                <w:strike/>
                <w:color w:val="C00000"/>
              </w:rPr>
            </w:pPr>
            <w:r w:rsidRPr="000E69AC">
              <w:rPr>
                <w:b w:val="0"/>
                <w:bCs w:val="0"/>
                <w:strike/>
                <w:color w:val="C00000"/>
              </w:rPr>
              <w:t>Quantitation of von Willebrand factor antigen, von Willebrand factor activity (ristocetin cofactor assay), von Willebrand factor collagen binding activity, factor II, factor V, factor VII, factor VIII, factor IX, factor X, factor XI, factor XII, factor XIII, Fletcher factor, Fitzgerald factor, circulating coagulation factor inhibitors other than by Bethesda assay—one test</w:t>
            </w:r>
          </w:p>
          <w:p w14:paraId="1A9DCD1D" w14:textId="73B1C93E" w:rsidR="004956EF" w:rsidRPr="00AA7EE3" w:rsidRDefault="004956EF" w:rsidP="00EE79B1">
            <w:pPr>
              <w:rPr>
                <w:rFonts w:cs="Arial"/>
                <w:b w:val="0"/>
                <w:bCs w:val="0"/>
                <w:color w:val="C00000"/>
                <w:szCs w:val="22"/>
              </w:rPr>
            </w:pPr>
            <w:r w:rsidRPr="000E69AC">
              <w:rPr>
                <w:rFonts w:cs="Arial"/>
                <w:b w:val="0"/>
                <w:bCs w:val="0"/>
                <w:color w:val="C00000"/>
                <w:szCs w:val="22"/>
              </w:rPr>
              <w:t xml:space="preserve">Assessment of von Willebrand factor, factor II, factor V, factor VII, factor VIII, factor IX, factor X, factor XI, factor XII, factor XIII, </w:t>
            </w:r>
            <w:r w:rsidR="00D14DD4" w:rsidRPr="000E69AC">
              <w:rPr>
                <w:rFonts w:cs="Arial"/>
                <w:b w:val="0"/>
                <w:bCs w:val="0"/>
                <w:color w:val="C00000"/>
                <w:szCs w:val="22"/>
              </w:rPr>
              <w:t>prekallikrein</w:t>
            </w:r>
            <w:r w:rsidRPr="000E69AC">
              <w:rPr>
                <w:rFonts w:cs="Arial"/>
                <w:b w:val="0"/>
                <w:bCs w:val="0"/>
                <w:color w:val="C00000"/>
                <w:szCs w:val="22"/>
              </w:rPr>
              <w:t xml:space="preserve">, </w:t>
            </w:r>
            <w:r w:rsidR="00D14DD4" w:rsidRPr="000E69AC">
              <w:rPr>
                <w:rFonts w:cs="Arial"/>
                <w:b w:val="0"/>
                <w:bCs w:val="0"/>
                <w:color w:val="C00000"/>
                <w:szCs w:val="22"/>
              </w:rPr>
              <w:t>high-molecular-weight kininogen</w:t>
            </w:r>
            <w:r w:rsidRPr="000E69AC">
              <w:rPr>
                <w:rFonts w:cs="Arial"/>
                <w:b w:val="0"/>
                <w:bCs w:val="0"/>
                <w:color w:val="C00000"/>
                <w:szCs w:val="22"/>
              </w:rPr>
              <w:t>, circulating coagulation factor inhibitors other than by Bethesda assay</w:t>
            </w:r>
            <w:r w:rsidR="00E9497D" w:rsidRPr="000E69AC">
              <w:rPr>
                <w:rFonts w:cs="Arial"/>
                <w:b w:val="0"/>
                <w:bCs w:val="0"/>
                <w:color w:val="C00000"/>
                <w:szCs w:val="22"/>
              </w:rPr>
              <w:t>—one test</w:t>
            </w:r>
          </w:p>
          <w:p w14:paraId="32D28456" w14:textId="77777777" w:rsidR="004956EF" w:rsidRPr="00E43DFC" w:rsidRDefault="004956EF" w:rsidP="00EE79B1">
            <w:pPr>
              <w:rPr>
                <w:b w:val="0"/>
                <w:bCs w:val="0"/>
                <w:color w:val="auto"/>
              </w:rPr>
            </w:pPr>
            <w:r w:rsidRPr="00E43DFC">
              <w:rPr>
                <w:b w:val="0"/>
                <w:bCs w:val="0"/>
                <w:color w:val="auto"/>
              </w:rPr>
              <w:t>(Item is subject to rule 6)</w:t>
            </w:r>
          </w:p>
          <w:p w14:paraId="512BB6ED" w14:textId="1CAA6E2B" w:rsidR="004956EF" w:rsidRPr="00E43DFC" w:rsidRDefault="00460001" w:rsidP="00EE79B1">
            <w:pPr>
              <w:pStyle w:val="ListBullet"/>
              <w:numPr>
                <w:ilvl w:val="0"/>
                <w:numId w:val="0"/>
              </w:numPr>
              <w:ind w:left="360" w:hanging="360"/>
              <w:rPr>
                <w:color w:val="auto"/>
                <w:lang w:eastAsia="en-AU"/>
              </w:rPr>
            </w:pPr>
            <w:r>
              <w:rPr>
                <w:b w:val="0"/>
                <w:bCs w:val="0"/>
                <w:color w:val="auto"/>
              </w:rPr>
              <w:t>*</w:t>
            </w:r>
            <w:r w:rsidR="00E9497D" w:rsidRPr="00E9497D">
              <w:rPr>
                <w:b w:val="0"/>
                <w:bCs w:val="0"/>
                <w:color w:val="auto"/>
              </w:rPr>
              <w:t xml:space="preserve">Fee: $74.50   </w:t>
            </w:r>
            <w:r w:rsidR="005B7B08">
              <w:rPr>
                <w:b w:val="0"/>
                <w:bCs w:val="0"/>
                <w:color w:val="auto"/>
              </w:rPr>
              <w:t xml:space="preserve">  </w:t>
            </w:r>
            <w:r w:rsidR="004956EF" w:rsidRPr="00E43DFC">
              <w:rPr>
                <w:b w:val="0"/>
                <w:bCs w:val="0"/>
                <w:color w:val="auto"/>
              </w:rPr>
              <w:t>Benefit: 75% = $</w:t>
            </w:r>
            <w:r w:rsidR="00B0215A">
              <w:rPr>
                <w:b w:val="0"/>
                <w:bCs w:val="0"/>
                <w:color w:val="auto"/>
              </w:rPr>
              <w:t>55.90</w:t>
            </w:r>
            <w:r w:rsidR="004956EF" w:rsidRPr="00E43DFC">
              <w:rPr>
                <w:b w:val="0"/>
                <w:bCs w:val="0"/>
                <w:color w:val="auto"/>
              </w:rPr>
              <w:t xml:space="preserve"> </w:t>
            </w:r>
            <w:r w:rsidR="005B7B08">
              <w:rPr>
                <w:b w:val="0"/>
                <w:bCs w:val="0"/>
                <w:color w:val="auto"/>
              </w:rPr>
              <w:t xml:space="preserve">  </w:t>
            </w:r>
            <w:r w:rsidR="004956EF" w:rsidRPr="00E43DFC">
              <w:rPr>
                <w:b w:val="0"/>
                <w:bCs w:val="0"/>
                <w:color w:val="auto"/>
              </w:rPr>
              <w:t>85% = $6</w:t>
            </w:r>
            <w:r w:rsidR="00B0215A">
              <w:rPr>
                <w:b w:val="0"/>
                <w:bCs w:val="0"/>
                <w:color w:val="auto"/>
              </w:rPr>
              <w:t>3.35</w:t>
            </w:r>
          </w:p>
        </w:tc>
      </w:tr>
    </w:tbl>
    <w:bookmarkEnd w:id="3"/>
    <w:p w14:paraId="1BB5B0BE" w14:textId="5B2F9087" w:rsidR="001B0DD5" w:rsidRDefault="00460001" w:rsidP="00BE3ED5">
      <w:r>
        <w:t>*</w:t>
      </w:r>
      <w:r w:rsidR="001B0DD5" w:rsidRPr="001B0DD5">
        <w:t>This fee include</w:t>
      </w:r>
      <w:r w:rsidR="00CF21FE">
        <w:t>s</w:t>
      </w:r>
      <w:r w:rsidR="001B0DD5" w:rsidRPr="001B0DD5">
        <w:t xml:space="preserve"> indexation that applies to </w:t>
      </w:r>
      <w:r w:rsidR="008A4C82">
        <w:t xml:space="preserve">relevant </w:t>
      </w:r>
      <w:r w:rsidR="001B0DD5" w:rsidRPr="001B0DD5">
        <w:t>MBS item</w:t>
      </w:r>
      <w:r w:rsidR="008A4C82">
        <w:t>s from</w:t>
      </w:r>
      <w:r w:rsidR="001B0DD5" w:rsidRPr="001B0DD5">
        <w:t xml:space="preserve"> </w:t>
      </w:r>
      <w:r w:rsidR="001B0DD5" w:rsidRPr="00CF21FE">
        <w:rPr>
          <w:b/>
          <w:bCs/>
        </w:rPr>
        <w:t>1 July 2026</w:t>
      </w:r>
      <w:r w:rsidR="001B0DD5" w:rsidRPr="001B0DD5">
        <w:t>.</w:t>
      </w:r>
    </w:p>
    <w:p w14:paraId="54533B9E" w14:textId="77777777" w:rsidR="00AD69D0" w:rsidRDefault="00AD69D0" w:rsidP="00BE3ED5"/>
    <w:p w14:paraId="7A410FAE" w14:textId="77777777" w:rsidR="007C31DD" w:rsidRDefault="007C31DD" w:rsidP="007C31DD">
      <w:pPr>
        <w:pStyle w:val="Disclaimer"/>
      </w:pPr>
      <w:r w:rsidRPr="0029176A">
        <w:lastRenderedPageBreak/>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7EF35705" w:rsidR="007C31DD" w:rsidRDefault="007C31DD" w:rsidP="007C31DD">
      <w:pPr>
        <w:pStyle w:val="Disclaimer"/>
      </w:pPr>
      <w:r w:rsidRPr="0029176A">
        <w:t xml:space="preserve">This </w:t>
      </w:r>
      <w:r w:rsidR="004E5226">
        <w:t>fact</w:t>
      </w:r>
      <w:r w:rsidRPr="0029176A">
        <w:t xml:space="preserve">sheet is current as of the </w:t>
      </w:r>
      <w:r w:rsidR="008A0017">
        <w:t>‘</w:t>
      </w:r>
      <w:r>
        <w:t>L</w:t>
      </w:r>
      <w:r w:rsidRPr="0029176A">
        <w:t>ast updated</w:t>
      </w:r>
      <w:r w:rsidR="008A0017">
        <w:t>’</w:t>
      </w:r>
      <w:r w:rsidRPr="0029176A">
        <w:t xml:space="preserve">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headerReference w:type="even" r:id="rId23"/>
      <w:footerReference w:type="even" r:id="rId24"/>
      <w:footerReference w:type="default" r:id="rId25"/>
      <w:headerReference w:type="first" r:id="rId26"/>
      <w:footerReference w:type="first" r:id="rId27"/>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E4125" w14:textId="77777777" w:rsidR="00C61348" w:rsidRDefault="00C61348" w:rsidP="006B56BB">
      <w:r>
        <w:separator/>
      </w:r>
    </w:p>
    <w:p w14:paraId="20A5F64B" w14:textId="77777777" w:rsidR="00C61348" w:rsidRDefault="00C61348"/>
  </w:endnote>
  <w:endnote w:type="continuationSeparator" w:id="0">
    <w:p w14:paraId="379150E6" w14:textId="77777777" w:rsidR="00C61348" w:rsidRDefault="00C61348" w:rsidP="006B56BB">
      <w:r>
        <w:continuationSeparator/>
      </w:r>
    </w:p>
    <w:p w14:paraId="5CD96690" w14:textId="77777777" w:rsidR="00C61348" w:rsidRDefault="00C61348"/>
  </w:endnote>
  <w:endnote w:type="continuationNotice" w:id="1">
    <w:p w14:paraId="15BF20A2" w14:textId="77777777" w:rsidR="00C61348" w:rsidRDefault="00C613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C1436" w14:textId="789054DC" w:rsidR="00EE5FEB" w:rsidRDefault="00781DF0">
    <w:pPr>
      <w:pStyle w:val="Footer"/>
    </w:pPr>
    <w:r>
      <w:rPr>
        <w:noProof/>
      </w:rPr>
      <mc:AlternateContent>
        <mc:Choice Requires="wps">
          <w:drawing>
            <wp:anchor distT="0" distB="0" distL="0" distR="0" simplePos="0" relativeHeight="251673600" behindDoc="0" locked="0" layoutInCell="1" allowOverlap="1" wp14:anchorId="54148304" wp14:editId="71D8A209">
              <wp:simplePos x="635" y="635"/>
              <wp:positionH relativeFrom="page">
                <wp:align>center</wp:align>
              </wp:positionH>
              <wp:positionV relativeFrom="page">
                <wp:align>bottom</wp:align>
              </wp:positionV>
              <wp:extent cx="622300" cy="480695"/>
              <wp:effectExtent l="0" t="0" r="6350" b="0"/>
              <wp:wrapNone/>
              <wp:docPr id="43234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56BE8FCF" w14:textId="679FE4C5" w:rsidR="00781DF0" w:rsidRPr="00781DF0" w:rsidRDefault="00781DF0" w:rsidP="00781DF0">
                          <w:pPr>
                            <w:spacing w:after="0"/>
                            <w:rPr>
                              <w:rFonts w:ascii="Aptos" w:eastAsia="Aptos" w:hAnsi="Aptos" w:cs="Aptos"/>
                              <w:noProof/>
                              <w:color w:val="FF0000"/>
                              <w:sz w:val="24"/>
                            </w:rPr>
                          </w:pPr>
                          <w:r w:rsidRPr="00781DF0">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148304" id="_x0000_t202" coordsize="21600,21600" o:spt="202" path="m,l,21600r21600,l21600,xe">
              <v:stroke joinstyle="miter"/>
              <v:path gradientshapeok="t" o:connecttype="rect"/>
            </v:shapetype>
            <v:shape id="Text Box 5" o:spid="_x0000_s1027" type="#_x0000_t202" alt="OFFICIAL" style="position:absolute;left:0;text-align:left;margin-left:0;margin-top:0;width:49pt;height:37.8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rXsf3gwCAAAcBAAA&#10;DgAAAAAAAAAAAAAAAAAuAgAAZHJzL2Uyb0RvYy54bWxQSwECLQAUAAYACAAAACEAHblB0doAAAAD&#10;AQAADwAAAAAAAAAAAAAAAABmBAAAZHJzL2Rvd25yZXYueG1sUEsFBgAAAAAEAAQA8wAAAG0FAAAA&#10;AA==&#10;" filled="f" stroked="f">
              <v:fill o:detectmouseclick="t"/>
              <v:textbox style="mso-fit-shape-to-text:t" inset="0,0,0,15pt">
                <w:txbxContent>
                  <w:p w14:paraId="56BE8FCF" w14:textId="679FE4C5" w:rsidR="00781DF0" w:rsidRPr="00781DF0" w:rsidRDefault="00781DF0" w:rsidP="00781DF0">
                    <w:pPr>
                      <w:spacing w:after="0"/>
                      <w:rPr>
                        <w:rFonts w:ascii="Aptos" w:eastAsia="Aptos" w:hAnsi="Aptos" w:cs="Aptos"/>
                        <w:noProof/>
                        <w:color w:val="FF0000"/>
                        <w:sz w:val="24"/>
                      </w:rPr>
                    </w:pPr>
                    <w:r w:rsidRPr="00781DF0">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E362" w14:textId="6D16715B" w:rsidR="00F51321" w:rsidRPr="00BD1D77" w:rsidRDefault="00000000" w:rsidP="00F51321">
    <w:pPr>
      <w:pStyle w:val="Footer"/>
      <w:jc w:val="left"/>
      <w:rPr>
        <w:szCs w:val="20"/>
      </w:rPr>
    </w:pPr>
    <w:r>
      <w:rPr>
        <w:rStyle w:val="BookTitle"/>
        <w:rFonts w:eastAsiaTheme="minorEastAsia"/>
        <w:noProof/>
      </w:rPr>
      <w:pict w14:anchorId="79578A0C">
        <v:rect id="_x0000_i1025" style="width:523.3pt;height:1.9pt" o:hralign="center" o:hrstd="t" o:hr="t" fillcolor="#a0a0a0" stroked="f"/>
      </w:pict>
    </w:r>
    <w:r w:rsidR="00F51321" w:rsidRPr="00BD1D77">
      <w:rPr>
        <w:szCs w:val="20"/>
      </w:rPr>
      <w:t>Medicare Benefits Schedule</w:t>
    </w:r>
  </w:p>
  <w:p w14:paraId="1EBE15CC" w14:textId="60782781" w:rsidR="00F51321" w:rsidRPr="00BD1D77" w:rsidRDefault="00BB3BCE" w:rsidP="00F51321">
    <w:pPr>
      <w:pStyle w:val="Footer"/>
      <w:tabs>
        <w:tab w:val="clear" w:pos="9026"/>
        <w:tab w:val="right" w:pos="10466"/>
      </w:tabs>
      <w:rPr>
        <w:szCs w:val="20"/>
      </w:rPr>
    </w:pPr>
    <w:r w:rsidRPr="00A73184">
      <w:rPr>
        <w:b/>
        <w:szCs w:val="20"/>
      </w:rPr>
      <w:t>1 July 2026 Pathology Services Changes</w:t>
    </w:r>
    <w:r>
      <w:rPr>
        <w:szCs w:val="20"/>
      </w:rPr>
      <w:t xml:space="preserve"> </w:t>
    </w:r>
    <w:sdt>
      <w:sdtPr>
        <w:rPr>
          <w:szCs w:val="20"/>
        </w:rPr>
        <w:id w:val="-1817632189"/>
        <w:docPartObj>
          <w:docPartGallery w:val="Page Numbers (Bottom of Page)"/>
          <w:docPartUnique/>
        </w:docPartObj>
      </w:sdtPr>
      <w:sdtEndPr>
        <w:rPr>
          <w:noProof/>
        </w:rPr>
      </w:sdtEndPr>
      <w:sdtContent>
        <w:r w:rsidR="00F51321" w:rsidRPr="00BD1D77">
          <w:rPr>
            <w:szCs w:val="20"/>
          </w:rPr>
          <w:tab/>
        </w:r>
        <w:sdt>
          <w:sdtPr>
            <w:rPr>
              <w:szCs w:val="20"/>
            </w:rPr>
            <w:id w:val="-1127629339"/>
            <w:docPartObj>
              <w:docPartGallery w:val="Page Numbers (Bottom of Page)"/>
              <w:docPartUnique/>
            </w:docPartObj>
          </w:sdtPr>
          <w:sdtContent>
            <w:sdt>
              <w:sdtPr>
                <w:rPr>
                  <w:szCs w:val="20"/>
                </w:rPr>
                <w:id w:val="1762873439"/>
                <w:docPartObj>
                  <w:docPartGallery w:val="Page Numbers (Top of Page)"/>
                  <w:docPartUnique/>
                </w:docPartObj>
              </w:sdtPr>
              <w:sdtContent>
                <w:r w:rsidR="00F51321" w:rsidRPr="00BD1D77">
                  <w:rPr>
                    <w:szCs w:val="20"/>
                  </w:rPr>
                  <w:t xml:space="preserve">Page </w:t>
                </w:r>
                <w:r w:rsidR="00F51321" w:rsidRPr="00292535">
                  <w:rPr>
                    <w:bCs/>
                    <w:szCs w:val="20"/>
                  </w:rPr>
                  <w:fldChar w:fldCharType="begin"/>
                </w:r>
                <w:r w:rsidR="00F51321" w:rsidRPr="00BD1D77">
                  <w:rPr>
                    <w:bCs/>
                    <w:szCs w:val="20"/>
                  </w:rPr>
                  <w:instrText xml:space="preserve"> PAGE </w:instrText>
                </w:r>
                <w:r w:rsidR="00F51321" w:rsidRPr="00292535">
                  <w:rPr>
                    <w:bCs/>
                    <w:szCs w:val="20"/>
                  </w:rPr>
                  <w:fldChar w:fldCharType="separate"/>
                </w:r>
                <w:r w:rsidR="00F51321" w:rsidRPr="00292535">
                  <w:rPr>
                    <w:bCs/>
                    <w:szCs w:val="20"/>
                  </w:rPr>
                  <w:t>1</w:t>
                </w:r>
                <w:r w:rsidR="00F51321" w:rsidRPr="00292535">
                  <w:rPr>
                    <w:bCs/>
                    <w:szCs w:val="20"/>
                  </w:rPr>
                  <w:fldChar w:fldCharType="end"/>
                </w:r>
                <w:r w:rsidR="00F51321" w:rsidRPr="00BD1D77">
                  <w:rPr>
                    <w:szCs w:val="20"/>
                  </w:rPr>
                  <w:t xml:space="preserve"> of </w:t>
                </w:r>
                <w:r w:rsidR="00F51321" w:rsidRPr="00292535">
                  <w:rPr>
                    <w:bCs/>
                    <w:szCs w:val="20"/>
                  </w:rPr>
                  <w:fldChar w:fldCharType="begin"/>
                </w:r>
                <w:r w:rsidR="00F51321" w:rsidRPr="00BD1D77">
                  <w:rPr>
                    <w:bCs/>
                    <w:szCs w:val="20"/>
                  </w:rPr>
                  <w:instrText xml:space="preserve"> NUMPAGES  </w:instrText>
                </w:r>
                <w:r w:rsidR="00F51321" w:rsidRPr="00292535">
                  <w:rPr>
                    <w:bCs/>
                    <w:szCs w:val="20"/>
                  </w:rPr>
                  <w:fldChar w:fldCharType="separate"/>
                </w:r>
                <w:r w:rsidR="00F51321" w:rsidRPr="00292535">
                  <w:rPr>
                    <w:bCs/>
                    <w:szCs w:val="20"/>
                  </w:rPr>
                  <w:t>1</w:t>
                </w:r>
                <w:r w:rsidR="00F51321" w:rsidRPr="00292535">
                  <w:rPr>
                    <w:bCs/>
                    <w:szCs w:val="20"/>
                  </w:rPr>
                  <w:fldChar w:fldCharType="end"/>
                </w:r>
              </w:sdtContent>
            </w:sdt>
          </w:sdtContent>
        </w:sdt>
        <w:r w:rsidR="00F51321" w:rsidRPr="00BD1D77">
          <w:rPr>
            <w:szCs w:val="20"/>
          </w:rPr>
          <w:t xml:space="preserve"> </w:t>
        </w:r>
      </w:sdtContent>
    </w:sdt>
  </w:p>
  <w:p w14:paraId="7D56FBDD" w14:textId="71DD0E4E" w:rsidR="00F51321" w:rsidRPr="00BD1D77" w:rsidRDefault="009F5046" w:rsidP="00F51321">
    <w:pPr>
      <w:pStyle w:val="Footer"/>
      <w:jc w:val="left"/>
      <w:rPr>
        <w:rStyle w:val="Hyperlink"/>
        <w:szCs w:val="20"/>
      </w:rPr>
    </w:pPr>
    <w:hyperlink r:id="rId1" w:history="1">
      <w:r w:rsidRPr="00BD1D77">
        <w:rPr>
          <w:rStyle w:val="Hyperlink"/>
          <w:szCs w:val="20"/>
        </w:rPr>
        <w:t>MBS Online</w:t>
      </w:r>
    </w:hyperlink>
  </w:p>
  <w:p w14:paraId="78B91981" w14:textId="1117574D" w:rsidR="00CB03B8" w:rsidRPr="00F51321" w:rsidRDefault="00F51321" w:rsidP="00292535">
    <w:pPr>
      <w:pStyle w:val="Footer"/>
      <w:jc w:val="left"/>
    </w:pPr>
    <w:r w:rsidRPr="00BD1D77">
      <w:rPr>
        <w:szCs w:val="20"/>
      </w:rPr>
      <w:t xml:space="preserve">Last updated – </w:t>
    </w:r>
    <w:r w:rsidR="009460E5" w:rsidRPr="00C16861">
      <w:rPr>
        <w:szCs w:val="20"/>
      </w:rPr>
      <w:t>2</w:t>
    </w:r>
    <w:r w:rsidR="00567333">
      <w:rPr>
        <w:szCs w:val="20"/>
      </w:rPr>
      <w:t xml:space="preserve"> June</w:t>
    </w:r>
    <w:r w:rsidR="007B1A65" w:rsidRPr="007B1A65">
      <w:rPr>
        <w:szCs w:val="20"/>
      </w:rPr>
      <w:t xml:space="preserve"> </w:t>
    </w:r>
    <w:r w:rsidR="003B13D6" w:rsidRPr="007B1A65">
      <w:rPr>
        <w:szCs w:val="20"/>
      </w:rPr>
      <w:t>202</w:t>
    </w:r>
    <w:r w:rsidR="007B1A65" w:rsidRPr="007B1A65">
      <w:rPr>
        <w:szCs w:val="2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33E9C08B" w:rsidR="00064168" w:rsidRPr="00BD1D77" w:rsidRDefault="00000000" w:rsidP="00064168">
    <w:pPr>
      <w:pStyle w:val="Footer"/>
      <w:jc w:val="left"/>
      <w:rPr>
        <w:szCs w:val="20"/>
      </w:rPr>
    </w:pPr>
    <w:r>
      <w:rPr>
        <w:rStyle w:val="BookTitle"/>
        <w:rFonts w:eastAsiaTheme="minorEastAsia"/>
        <w:noProof/>
      </w:rPr>
      <w:pict w14:anchorId="1DB3991B">
        <v:rect id="_x0000_i1026" style="width:523.3pt;height:1.9pt" o:hralign="center" o:hrstd="t" o:hr="t" fillcolor="#a0a0a0" stroked="f"/>
      </w:pict>
    </w:r>
    <w:r w:rsidR="00064168" w:rsidRPr="00BD1D77">
      <w:rPr>
        <w:szCs w:val="20"/>
      </w:rPr>
      <w:t>Medicare Benefits Schedule</w:t>
    </w:r>
  </w:p>
  <w:p w14:paraId="7DCCE2B2" w14:textId="733FFC3C" w:rsidR="00064168" w:rsidRPr="00BD1D77" w:rsidRDefault="00A73184" w:rsidP="00064168">
    <w:pPr>
      <w:pStyle w:val="Footer"/>
      <w:tabs>
        <w:tab w:val="clear" w:pos="9026"/>
        <w:tab w:val="right" w:pos="10466"/>
      </w:tabs>
      <w:rPr>
        <w:szCs w:val="20"/>
      </w:rPr>
    </w:pPr>
    <w:r w:rsidRPr="00A73184">
      <w:rPr>
        <w:b/>
        <w:szCs w:val="20"/>
      </w:rPr>
      <w:t>1 July 2026 Pathology Services Changes</w:t>
    </w:r>
    <w:sdt>
      <w:sdtPr>
        <w:rPr>
          <w:szCs w:val="20"/>
        </w:rPr>
        <w:id w:val="960607005"/>
        <w:docPartObj>
          <w:docPartGallery w:val="Page Numbers (Bottom of Page)"/>
          <w:docPartUnique/>
        </w:docPartObj>
      </w:sdtPr>
      <w:sdtEndPr>
        <w:rPr>
          <w:noProof/>
        </w:rPr>
      </w:sdtEndPr>
      <w:sdtContent>
        <w:r w:rsidR="00064168" w:rsidRPr="00BD1D77">
          <w:rPr>
            <w:szCs w:val="20"/>
          </w:rPr>
          <w:tab/>
        </w:r>
        <w:sdt>
          <w:sdtPr>
            <w:rPr>
              <w:szCs w:val="20"/>
            </w:rPr>
            <w:id w:val="-720741692"/>
            <w:docPartObj>
              <w:docPartGallery w:val="Page Numbers (Bottom of Page)"/>
              <w:docPartUnique/>
            </w:docPartObj>
          </w:sdtPr>
          <w:sdtContent>
            <w:sdt>
              <w:sdtPr>
                <w:rPr>
                  <w:szCs w:val="20"/>
                </w:rPr>
                <w:id w:val="1701501531"/>
                <w:docPartObj>
                  <w:docPartGallery w:val="Page Numbers (Top of Page)"/>
                  <w:docPartUnique/>
                </w:docPartObj>
              </w:sdtPr>
              <w:sdtContent>
                <w:r w:rsidR="00064168" w:rsidRPr="00BD1D77">
                  <w:rPr>
                    <w:szCs w:val="20"/>
                  </w:rPr>
                  <w:t xml:space="preserve">Page </w:t>
                </w:r>
                <w:r w:rsidR="00064168" w:rsidRPr="00292535">
                  <w:rPr>
                    <w:bCs/>
                    <w:szCs w:val="20"/>
                  </w:rPr>
                  <w:fldChar w:fldCharType="begin"/>
                </w:r>
                <w:r w:rsidR="00064168" w:rsidRPr="00BD1D77">
                  <w:rPr>
                    <w:bCs/>
                    <w:szCs w:val="20"/>
                  </w:rPr>
                  <w:instrText xml:space="preserve"> PAGE </w:instrText>
                </w:r>
                <w:r w:rsidR="00064168" w:rsidRPr="00292535">
                  <w:rPr>
                    <w:bCs/>
                    <w:szCs w:val="20"/>
                  </w:rPr>
                  <w:fldChar w:fldCharType="separate"/>
                </w:r>
                <w:r w:rsidR="00064168" w:rsidRPr="00292535">
                  <w:rPr>
                    <w:bCs/>
                    <w:szCs w:val="20"/>
                  </w:rPr>
                  <w:t>1</w:t>
                </w:r>
                <w:r w:rsidR="00064168" w:rsidRPr="00292535">
                  <w:rPr>
                    <w:bCs/>
                    <w:szCs w:val="20"/>
                  </w:rPr>
                  <w:fldChar w:fldCharType="end"/>
                </w:r>
                <w:r w:rsidR="00064168" w:rsidRPr="00BD1D77">
                  <w:rPr>
                    <w:szCs w:val="20"/>
                  </w:rPr>
                  <w:t xml:space="preserve"> of </w:t>
                </w:r>
                <w:r w:rsidR="00064168" w:rsidRPr="00292535">
                  <w:rPr>
                    <w:bCs/>
                    <w:szCs w:val="20"/>
                  </w:rPr>
                  <w:fldChar w:fldCharType="begin"/>
                </w:r>
                <w:r w:rsidR="00064168" w:rsidRPr="00BD1D77">
                  <w:rPr>
                    <w:bCs/>
                    <w:szCs w:val="20"/>
                  </w:rPr>
                  <w:instrText xml:space="preserve"> NUMPAGES  </w:instrText>
                </w:r>
                <w:r w:rsidR="00064168" w:rsidRPr="00292535">
                  <w:rPr>
                    <w:bCs/>
                    <w:szCs w:val="20"/>
                  </w:rPr>
                  <w:fldChar w:fldCharType="separate"/>
                </w:r>
                <w:r w:rsidR="00064168" w:rsidRPr="00292535">
                  <w:rPr>
                    <w:bCs/>
                    <w:szCs w:val="20"/>
                  </w:rPr>
                  <w:t>1</w:t>
                </w:r>
                <w:r w:rsidR="00064168" w:rsidRPr="00292535">
                  <w:rPr>
                    <w:bCs/>
                    <w:szCs w:val="20"/>
                  </w:rPr>
                  <w:fldChar w:fldCharType="end"/>
                </w:r>
              </w:sdtContent>
            </w:sdt>
          </w:sdtContent>
        </w:sdt>
        <w:r w:rsidR="00064168" w:rsidRPr="00BD1D77">
          <w:rPr>
            <w:szCs w:val="20"/>
          </w:rPr>
          <w:t xml:space="preserve"> </w:t>
        </w:r>
      </w:sdtContent>
    </w:sdt>
  </w:p>
  <w:p w14:paraId="3821CA3D" w14:textId="57B3B071" w:rsidR="00064168" w:rsidRPr="00BD1D77" w:rsidRDefault="009F5046" w:rsidP="00064168">
    <w:pPr>
      <w:pStyle w:val="Footer"/>
      <w:jc w:val="left"/>
      <w:rPr>
        <w:rStyle w:val="Hyperlink"/>
        <w:szCs w:val="20"/>
      </w:rPr>
    </w:pPr>
    <w:hyperlink r:id="rId1" w:history="1">
      <w:r w:rsidRPr="00BD1D77">
        <w:rPr>
          <w:rStyle w:val="Hyperlink"/>
          <w:szCs w:val="20"/>
        </w:rPr>
        <w:t>MBS Online</w:t>
      </w:r>
    </w:hyperlink>
  </w:p>
  <w:p w14:paraId="2964AB57" w14:textId="1CA7F885" w:rsidR="00CB03B8" w:rsidRPr="00064168" w:rsidRDefault="00064168" w:rsidP="00D50699">
    <w:pPr>
      <w:pStyle w:val="Footer"/>
      <w:jc w:val="left"/>
    </w:pPr>
    <w:r w:rsidRPr="00BD1D77">
      <w:rPr>
        <w:szCs w:val="20"/>
      </w:rPr>
      <w:t xml:space="preserve">Last updated – </w:t>
    </w:r>
    <w:r w:rsidR="009460E5">
      <w:rPr>
        <w:szCs w:val="20"/>
      </w:rPr>
      <w:t>2</w:t>
    </w:r>
    <w:r w:rsidR="00567333">
      <w:rPr>
        <w:szCs w:val="20"/>
      </w:rPr>
      <w:t xml:space="preserve"> June</w:t>
    </w:r>
    <w:r w:rsidR="007B1A65">
      <w:rPr>
        <w:szCs w:val="20"/>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03C14" w14:textId="77777777" w:rsidR="00C61348" w:rsidRDefault="00C61348" w:rsidP="006B56BB">
      <w:r>
        <w:separator/>
      </w:r>
    </w:p>
    <w:p w14:paraId="6D0DA76D" w14:textId="77777777" w:rsidR="00C61348" w:rsidRDefault="00C61348"/>
  </w:footnote>
  <w:footnote w:type="continuationSeparator" w:id="0">
    <w:p w14:paraId="191BF0C3" w14:textId="77777777" w:rsidR="00C61348" w:rsidRDefault="00C61348" w:rsidP="006B56BB">
      <w:r>
        <w:continuationSeparator/>
      </w:r>
    </w:p>
    <w:p w14:paraId="5FF02348" w14:textId="77777777" w:rsidR="00C61348" w:rsidRDefault="00C61348"/>
  </w:footnote>
  <w:footnote w:type="continuationNotice" w:id="1">
    <w:p w14:paraId="33460D4E" w14:textId="77777777" w:rsidR="00C61348" w:rsidRDefault="00C613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0C5FA" w14:textId="1DEF9E6E" w:rsidR="00EE5FEB" w:rsidRDefault="00781DF0">
    <w:pPr>
      <w:pStyle w:val="Header"/>
    </w:pPr>
    <w:r>
      <w:rPr>
        <w:noProof/>
      </w:rPr>
      <mc:AlternateContent>
        <mc:Choice Requires="wps">
          <w:drawing>
            <wp:anchor distT="0" distB="0" distL="0" distR="0" simplePos="0" relativeHeight="251670528" behindDoc="0" locked="0" layoutInCell="1" allowOverlap="1" wp14:anchorId="0C9DA3C0" wp14:editId="27EE4DF3">
              <wp:simplePos x="635" y="635"/>
              <wp:positionH relativeFrom="page">
                <wp:align>center</wp:align>
              </wp:positionH>
              <wp:positionV relativeFrom="page">
                <wp:align>top</wp:align>
              </wp:positionV>
              <wp:extent cx="622300" cy="480695"/>
              <wp:effectExtent l="0" t="0" r="6350" b="14605"/>
              <wp:wrapNone/>
              <wp:docPr id="184451317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13407D85" w14:textId="2C1C0E9D" w:rsidR="00781DF0" w:rsidRPr="00781DF0" w:rsidRDefault="00781DF0" w:rsidP="00781DF0">
                          <w:pPr>
                            <w:spacing w:after="0"/>
                            <w:rPr>
                              <w:rFonts w:ascii="Aptos" w:eastAsia="Aptos" w:hAnsi="Aptos" w:cs="Aptos"/>
                              <w:noProof/>
                              <w:color w:val="FF0000"/>
                              <w:sz w:val="24"/>
                            </w:rPr>
                          </w:pPr>
                          <w:r w:rsidRPr="00781DF0">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9DA3C0"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fill o:detectmouseclick="t"/>
              <v:textbox style="mso-fit-shape-to-text:t" inset="0,15pt,0,0">
                <w:txbxContent>
                  <w:p w14:paraId="13407D85" w14:textId="2C1C0E9D" w:rsidR="00781DF0" w:rsidRPr="00781DF0" w:rsidRDefault="00781DF0" w:rsidP="00781DF0">
                    <w:pPr>
                      <w:spacing w:after="0"/>
                      <w:rPr>
                        <w:rFonts w:ascii="Aptos" w:eastAsia="Aptos" w:hAnsi="Aptos" w:cs="Aptos"/>
                        <w:noProof/>
                        <w:color w:val="FF0000"/>
                        <w:sz w:val="24"/>
                      </w:rPr>
                    </w:pPr>
                    <w:r w:rsidRPr="00781DF0">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027DB5A8" w:rsidR="00B53987" w:rsidRDefault="00696A32">
    <w:pPr>
      <w:pStyle w:val="Header"/>
    </w:pPr>
    <w:r>
      <w:rPr>
        <w:noProof/>
        <w:lang w:eastAsia="en-AU"/>
      </w:rPr>
      <w:drawing>
        <wp:inline distT="0" distB="0" distL="0" distR="0" wp14:anchorId="0B073610" wp14:editId="2BAEAF38">
          <wp:extent cx="3343275" cy="533400"/>
          <wp:effectExtent l="0" t="0" r="9525" b="0"/>
          <wp:docPr id="1207914144" name="Picture 1" descr="Australian Government Department of Health, Disability and Ageing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914144" name="Picture 1" descr="Australian Government Department of Health, Disability and Ageing lo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E358CE"/>
    <w:multiLevelType w:val="hybridMultilevel"/>
    <w:tmpl w:val="1C4AA386"/>
    <w:lvl w:ilvl="0" w:tplc="EF88F862">
      <w:start w:val="1"/>
      <w:numFmt w:val="bullet"/>
      <w:lvlText w:val=""/>
      <w:lvlJc w:val="left"/>
      <w:pPr>
        <w:ind w:left="720" w:hanging="360"/>
      </w:pPr>
      <w:rPr>
        <w:rFonts w:ascii="Symbol" w:hAnsi="Symbol"/>
      </w:rPr>
    </w:lvl>
    <w:lvl w:ilvl="1" w:tplc="4B7EB9B2">
      <w:start w:val="1"/>
      <w:numFmt w:val="bullet"/>
      <w:lvlText w:val=""/>
      <w:lvlJc w:val="left"/>
      <w:pPr>
        <w:ind w:left="720" w:hanging="360"/>
      </w:pPr>
      <w:rPr>
        <w:rFonts w:ascii="Symbol" w:hAnsi="Symbol"/>
      </w:rPr>
    </w:lvl>
    <w:lvl w:ilvl="2" w:tplc="96B40524">
      <w:start w:val="1"/>
      <w:numFmt w:val="bullet"/>
      <w:lvlText w:val=""/>
      <w:lvlJc w:val="left"/>
      <w:pPr>
        <w:ind w:left="720" w:hanging="360"/>
      </w:pPr>
      <w:rPr>
        <w:rFonts w:ascii="Symbol" w:hAnsi="Symbol"/>
      </w:rPr>
    </w:lvl>
    <w:lvl w:ilvl="3" w:tplc="A91AF784">
      <w:start w:val="1"/>
      <w:numFmt w:val="bullet"/>
      <w:lvlText w:val=""/>
      <w:lvlJc w:val="left"/>
      <w:pPr>
        <w:ind w:left="720" w:hanging="360"/>
      </w:pPr>
      <w:rPr>
        <w:rFonts w:ascii="Symbol" w:hAnsi="Symbol"/>
      </w:rPr>
    </w:lvl>
    <w:lvl w:ilvl="4" w:tplc="2C227CE0">
      <w:start w:val="1"/>
      <w:numFmt w:val="bullet"/>
      <w:lvlText w:val=""/>
      <w:lvlJc w:val="left"/>
      <w:pPr>
        <w:ind w:left="720" w:hanging="360"/>
      </w:pPr>
      <w:rPr>
        <w:rFonts w:ascii="Symbol" w:hAnsi="Symbol"/>
      </w:rPr>
    </w:lvl>
    <w:lvl w:ilvl="5" w:tplc="1238416A">
      <w:start w:val="1"/>
      <w:numFmt w:val="bullet"/>
      <w:lvlText w:val=""/>
      <w:lvlJc w:val="left"/>
      <w:pPr>
        <w:ind w:left="720" w:hanging="360"/>
      </w:pPr>
      <w:rPr>
        <w:rFonts w:ascii="Symbol" w:hAnsi="Symbol"/>
      </w:rPr>
    </w:lvl>
    <w:lvl w:ilvl="6" w:tplc="F82C62BC">
      <w:start w:val="1"/>
      <w:numFmt w:val="bullet"/>
      <w:lvlText w:val=""/>
      <w:lvlJc w:val="left"/>
      <w:pPr>
        <w:ind w:left="720" w:hanging="360"/>
      </w:pPr>
      <w:rPr>
        <w:rFonts w:ascii="Symbol" w:hAnsi="Symbol"/>
      </w:rPr>
    </w:lvl>
    <w:lvl w:ilvl="7" w:tplc="1F348346">
      <w:start w:val="1"/>
      <w:numFmt w:val="bullet"/>
      <w:lvlText w:val=""/>
      <w:lvlJc w:val="left"/>
      <w:pPr>
        <w:ind w:left="720" w:hanging="360"/>
      </w:pPr>
      <w:rPr>
        <w:rFonts w:ascii="Symbol" w:hAnsi="Symbol"/>
      </w:rPr>
    </w:lvl>
    <w:lvl w:ilvl="8" w:tplc="7ADE336C">
      <w:start w:val="1"/>
      <w:numFmt w:val="bullet"/>
      <w:lvlText w:val=""/>
      <w:lvlJc w:val="left"/>
      <w:pPr>
        <w:ind w:left="720" w:hanging="360"/>
      </w:pPr>
      <w:rPr>
        <w:rFonts w:ascii="Symbol" w:hAnsi="Symbol"/>
      </w:rPr>
    </w:lvl>
  </w:abstractNum>
  <w:abstractNum w:abstractNumId="2" w15:restartNumberingAfterBreak="0">
    <w:nsid w:val="0D506A1B"/>
    <w:multiLevelType w:val="hybridMultilevel"/>
    <w:tmpl w:val="9F3ADFF6"/>
    <w:lvl w:ilvl="0" w:tplc="70DC0C2E">
      <w:start w:val="1"/>
      <w:numFmt w:val="bullet"/>
      <w:lvlText w:val=""/>
      <w:lvlJc w:val="left"/>
      <w:pPr>
        <w:ind w:left="720" w:hanging="360"/>
      </w:pPr>
      <w:rPr>
        <w:rFonts w:ascii="Symbol" w:hAnsi="Symbol"/>
      </w:rPr>
    </w:lvl>
    <w:lvl w:ilvl="1" w:tplc="BE7C1012">
      <w:start w:val="1"/>
      <w:numFmt w:val="bullet"/>
      <w:lvlText w:val=""/>
      <w:lvlJc w:val="left"/>
      <w:pPr>
        <w:ind w:left="720" w:hanging="360"/>
      </w:pPr>
      <w:rPr>
        <w:rFonts w:ascii="Symbol" w:hAnsi="Symbol"/>
      </w:rPr>
    </w:lvl>
    <w:lvl w:ilvl="2" w:tplc="E22AFC34">
      <w:start w:val="1"/>
      <w:numFmt w:val="bullet"/>
      <w:lvlText w:val=""/>
      <w:lvlJc w:val="left"/>
      <w:pPr>
        <w:ind w:left="720" w:hanging="360"/>
      </w:pPr>
      <w:rPr>
        <w:rFonts w:ascii="Symbol" w:hAnsi="Symbol"/>
      </w:rPr>
    </w:lvl>
    <w:lvl w:ilvl="3" w:tplc="E4C29F0E">
      <w:start w:val="1"/>
      <w:numFmt w:val="bullet"/>
      <w:lvlText w:val=""/>
      <w:lvlJc w:val="left"/>
      <w:pPr>
        <w:ind w:left="720" w:hanging="360"/>
      </w:pPr>
      <w:rPr>
        <w:rFonts w:ascii="Symbol" w:hAnsi="Symbol"/>
      </w:rPr>
    </w:lvl>
    <w:lvl w:ilvl="4" w:tplc="5322B328">
      <w:start w:val="1"/>
      <w:numFmt w:val="bullet"/>
      <w:lvlText w:val=""/>
      <w:lvlJc w:val="left"/>
      <w:pPr>
        <w:ind w:left="720" w:hanging="360"/>
      </w:pPr>
      <w:rPr>
        <w:rFonts w:ascii="Symbol" w:hAnsi="Symbol"/>
      </w:rPr>
    </w:lvl>
    <w:lvl w:ilvl="5" w:tplc="8A52CC98">
      <w:start w:val="1"/>
      <w:numFmt w:val="bullet"/>
      <w:lvlText w:val=""/>
      <w:lvlJc w:val="left"/>
      <w:pPr>
        <w:ind w:left="720" w:hanging="360"/>
      </w:pPr>
      <w:rPr>
        <w:rFonts w:ascii="Symbol" w:hAnsi="Symbol"/>
      </w:rPr>
    </w:lvl>
    <w:lvl w:ilvl="6" w:tplc="73A4C3BC">
      <w:start w:val="1"/>
      <w:numFmt w:val="bullet"/>
      <w:lvlText w:val=""/>
      <w:lvlJc w:val="left"/>
      <w:pPr>
        <w:ind w:left="720" w:hanging="360"/>
      </w:pPr>
      <w:rPr>
        <w:rFonts w:ascii="Symbol" w:hAnsi="Symbol"/>
      </w:rPr>
    </w:lvl>
    <w:lvl w:ilvl="7" w:tplc="BE4C08B8">
      <w:start w:val="1"/>
      <w:numFmt w:val="bullet"/>
      <w:lvlText w:val=""/>
      <w:lvlJc w:val="left"/>
      <w:pPr>
        <w:ind w:left="720" w:hanging="360"/>
      </w:pPr>
      <w:rPr>
        <w:rFonts w:ascii="Symbol" w:hAnsi="Symbol"/>
      </w:rPr>
    </w:lvl>
    <w:lvl w:ilvl="8" w:tplc="DE88A5C8">
      <w:start w:val="1"/>
      <w:numFmt w:val="bullet"/>
      <w:lvlText w:val=""/>
      <w:lvlJc w:val="left"/>
      <w:pPr>
        <w:ind w:left="720" w:hanging="360"/>
      </w:pPr>
      <w:rPr>
        <w:rFonts w:ascii="Symbol" w:hAnsi="Symbol"/>
      </w:rPr>
    </w:lvl>
  </w:abstractNum>
  <w:abstractNum w:abstractNumId="3" w15:restartNumberingAfterBreak="0">
    <w:nsid w:val="14BF29BD"/>
    <w:multiLevelType w:val="hybridMultilevel"/>
    <w:tmpl w:val="C7FEEBAA"/>
    <w:lvl w:ilvl="0" w:tplc="8F8A2EB4">
      <w:start w:val="1"/>
      <w:numFmt w:val="bullet"/>
      <w:lvlText w:val=""/>
      <w:lvlJc w:val="left"/>
      <w:pPr>
        <w:ind w:left="720" w:hanging="360"/>
      </w:pPr>
      <w:rPr>
        <w:rFonts w:ascii="Symbol" w:hAnsi="Symbol"/>
      </w:rPr>
    </w:lvl>
    <w:lvl w:ilvl="1" w:tplc="3DD0CE5C">
      <w:start w:val="1"/>
      <w:numFmt w:val="bullet"/>
      <w:lvlText w:val=""/>
      <w:lvlJc w:val="left"/>
      <w:pPr>
        <w:ind w:left="720" w:hanging="360"/>
      </w:pPr>
      <w:rPr>
        <w:rFonts w:ascii="Symbol" w:hAnsi="Symbol"/>
      </w:rPr>
    </w:lvl>
    <w:lvl w:ilvl="2" w:tplc="15CEE920">
      <w:start w:val="1"/>
      <w:numFmt w:val="bullet"/>
      <w:lvlText w:val=""/>
      <w:lvlJc w:val="left"/>
      <w:pPr>
        <w:ind w:left="720" w:hanging="360"/>
      </w:pPr>
      <w:rPr>
        <w:rFonts w:ascii="Symbol" w:hAnsi="Symbol"/>
      </w:rPr>
    </w:lvl>
    <w:lvl w:ilvl="3" w:tplc="3468E5EA">
      <w:start w:val="1"/>
      <w:numFmt w:val="bullet"/>
      <w:lvlText w:val=""/>
      <w:lvlJc w:val="left"/>
      <w:pPr>
        <w:ind w:left="720" w:hanging="360"/>
      </w:pPr>
      <w:rPr>
        <w:rFonts w:ascii="Symbol" w:hAnsi="Symbol"/>
      </w:rPr>
    </w:lvl>
    <w:lvl w:ilvl="4" w:tplc="CC544756">
      <w:start w:val="1"/>
      <w:numFmt w:val="bullet"/>
      <w:lvlText w:val=""/>
      <w:lvlJc w:val="left"/>
      <w:pPr>
        <w:ind w:left="720" w:hanging="360"/>
      </w:pPr>
      <w:rPr>
        <w:rFonts w:ascii="Symbol" w:hAnsi="Symbol"/>
      </w:rPr>
    </w:lvl>
    <w:lvl w:ilvl="5" w:tplc="015A5BFA">
      <w:start w:val="1"/>
      <w:numFmt w:val="bullet"/>
      <w:lvlText w:val=""/>
      <w:lvlJc w:val="left"/>
      <w:pPr>
        <w:ind w:left="720" w:hanging="360"/>
      </w:pPr>
      <w:rPr>
        <w:rFonts w:ascii="Symbol" w:hAnsi="Symbol"/>
      </w:rPr>
    </w:lvl>
    <w:lvl w:ilvl="6" w:tplc="013CC0B6">
      <w:start w:val="1"/>
      <w:numFmt w:val="bullet"/>
      <w:lvlText w:val=""/>
      <w:lvlJc w:val="left"/>
      <w:pPr>
        <w:ind w:left="720" w:hanging="360"/>
      </w:pPr>
      <w:rPr>
        <w:rFonts w:ascii="Symbol" w:hAnsi="Symbol"/>
      </w:rPr>
    </w:lvl>
    <w:lvl w:ilvl="7" w:tplc="83500288">
      <w:start w:val="1"/>
      <w:numFmt w:val="bullet"/>
      <w:lvlText w:val=""/>
      <w:lvlJc w:val="left"/>
      <w:pPr>
        <w:ind w:left="720" w:hanging="360"/>
      </w:pPr>
      <w:rPr>
        <w:rFonts w:ascii="Symbol" w:hAnsi="Symbol"/>
      </w:rPr>
    </w:lvl>
    <w:lvl w:ilvl="8" w:tplc="5308D4D8">
      <w:start w:val="1"/>
      <w:numFmt w:val="bullet"/>
      <w:lvlText w:val=""/>
      <w:lvlJc w:val="left"/>
      <w:pPr>
        <w:ind w:left="720" w:hanging="360"/>
      </w:pPr>
      <w:rPr>
        <w:rFonts w:ascii="Symbol" w:hAnsi="Symbol"/>
      </w:rPr>
    </w:lvl>
  </w:abstractNum>
  <w:abstractNum w:abstractNumId="4" w15:restartNumberingAfterBreak="0">
    <w:nsid w:val="18355E04"/>
    <w:multiLevelType w:val="hybridMultilevel"/>
    <w:tmpl w:val="229E823A"/>
    <w:lvl w:ilvl="0" w:tplc="7F568270">
      <w:start w:val="1"/>
      <w:numFmt w:val="bullet"/>
      <w:lvlText w:val=""/>
      <w:lvlJc w:val="left"/>
      <w:pPr>
        <w:ind w:left="720" w:hanging="360"/>
      </w:pPr>
      <w:rPr>
        <w:rFonts w:ascii="Symbol" w:hAnsi="Symbol"/>
      </w:rPr>
    </w:lvl>
    <w:lvl w:ilvl="1" w:tplc="97E0D008">
      <w:start w:val="1"/>
      <w:numFmt w:val="bullet"/>
      <w:lvlText w:val=""/>
      <w:lvlJc w:val="left"/>
      <w:pPr>
        <w:ind w:left="720" w:hanging="360"/>
      </w:pPr>
      <w:rPr>
        <w:rFonts w:ascii="Symbol" w:hAnsi="Symbol"/>
      </w:rPr>
    </w:lvl>
    <w:lvl w:ilvl="2" w:tplc="3C1080E6">
      <w:start w:val="1"/>
      <w:numFmt w:val="bullet"/>
      <w:lvlText w:val=""/>
      <w:lvlJc w:val="left"/>
      <w:pPr>
        <w:ind w:left="720" w:hanging="360"/>
      </w:pPr>
      <w:rPr>
        <w:rFonts w:ascii="Symbol" w:hAnsi="Symbol"/>
      </w:rPr>
    </w:lvl>
    <w:lvl w:ilvl="3" w:tplc="77264776">
      <w:start w:val="1"/>
      <w:numFmt w:val="bullet"/>
      <w:lvlText w:val=""/>
      <w:lvlJc w:val="left"/>
      <w:pPr>
        <w:ind w:left="720" w:hanging="360"/>
      </w:pPr>
      <w:rPr>
        <w:rFonts w:ascii="Symbol" w:hAnsi="Symbol"/>
      </w:rPr>
    </w:lvl>
    <w:lvl w:ilvl="4" w:tplc="0E24DC50">
      <w:start w:val="1"/>
      <w:numFmt w:val="bullet"/>
      <w:lvlText w:val=""/>
      <w:lvlJc w:val="left"/>
      <w:pPr>
        <w:ind w:left="720" w:hanging="360"/>
      </w:pPr>
      <w:rPr>
        <w:rFonts w:ascii="Symbol" w:hAnsi="Symbol"/>
      </w:rPr>
    </w:lvl>
    <w:lvl w:ilvl="5" w:tplc="75141332">
      <w:start w:val="1"/>
      <w:numFmt w:val="bullet"/>
      <w:lvlText w:val=""/>
      <w:lvlJc w:val="left"/>
      <w:pPr>
        <w:ind w:left="720" w:hanging="360"/>
      </w:pPr>
      <w:rPr>
        <w:rFonts w:ascii="Symbol" w:hAnsi="Symbol"/>
      </w:rPr>
    </w:lvl>
    <w:lvl w:ilvl="6" w:tplc="A52AEE28">
      <w:start w:val="1"/>
      <w:numFmt w:val="bullet"/>
      <w:lvlText w:val=""/>
      <w:lvlJc w:val="left"/>
      <w:pPr>
        <w:ind w:left="720" w:hanging="360"/>
      </w:pPr>
      <w:rPr>
        <w:rFonts w:ascii="Symbol" w:hAnsi="Symbol"/>
      </w:rPr>
    </w:lvl>
    <w:lvl w:ilvl="7" w:tplc="00507194">
      <w:start w:val="1"/>
      <w:numFmt w:val="bullet"/>
      <w:lvlText w:val=""/>
      <w:lvlJc w:val="left"/>
      <w:pPr>
        <w:ind w:left="720" w:hanging="360"/>
      </w:pPr>
      <w:rPr>
        <w:rFonts w:ascii="Symbol" w:hAnsi="Symbol"/>
      </w:rPr>
    </w:lvl>
    <w:lvl w:ilvl="8" w:tplc="C4B88330">
      <w:start w:val="1"/>
      <w:numFmt w:val="bullet"/>
      <w:lvlText w:val=""/>
      <w:lvlJc w:val="left"/>
      <w:pPr>
        <w:ind w:left="720" w:hanging="360"/>
      </w:pPr>
      <w:rPr>
        <w:rFonts w:ascii="Symbol" w:hAnsi="Symbol"/>
      </w:rPr>
    </w:lvl>
  </w:abstractNum>
  <w:abstractNum w:abstractNumId="5"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FFF4245"/>
    <w:multiLevelType w:val="hybridMultilevel"/>
    <w:tmpl w:val="428094E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2E45535B"/>
    <w:multiLevelType w:val="hybridMultilevel"/>
    <w:tmpl w:val="05444A66"/>
    <w:lvl w:ilvl="0" w:tplc="9A74E6AE">
      <w:start w:val="1"/>
      <w:numFmt w:val="bullet"/>
      <w:lvlText w:val=""/>
      <w:lvlJc w:val="left"/>
      <w:pPr>
        <w:ind w:left="720" w:hanging="360"/>
      </w:pPr>
      <w:rPr>
        <w:rFonts w:ascii="Symbol" w:hAnsi="Symbol"/>
      </w:rPr>
    </w:lvl>
    <w:lvl w:ilvl="1" w:tplc="4E1C11CE">
      <w:start w:val="1"/>
      <w:numFmt w:val="bullet"/>
      <w:lvlText w:val=""/>
      <w:lvlJc w:val="left"/>
      <w:pPr>
        <w:ind w:left="720" w:hanging="360"/>
      </w:pPr>
      <w:rPr>
        <w:rFonts w:ascii="Symbol" w:hAnsi="Symbol"/>
      </w:rPr>
    </w:lvl>
    <w:lvl w:ilvl="2" w:tplc="683C54D6">
      <w:start w:val="1"/>
      <w:numFmt w:val="bullet"/>
      <w:lvlText w:val=""/>
      <w:lvlJc w:val="left"/>
      <w:pPr>
        <w:ind w:left="720" w:hanging="360"/>
      </w:pPr>
      <w:rPr>
        <w:rFonts w:ascii="Symbol" w:hAnsi="Symbol"/>
      </w:rPr>
    </w:lvl>
    <w:lvl w:ilvl="3" w:tplc="24B0C776">
      <w:start w:val="1"/>
      <w:numFmt w:val="bullet"/>
      <w:lvlText w:val=""/>
      <w:lvlJc w:val="left"/>
      <w:pPr>
        <w:ind w:left="720" w:hanging="360"/>
      </w:pPr>
      <w:rPr>
        <w:rFonts w:ascii="Symbol" w:hAnsi="Symbol"/>
      </w:rPr>
    </w:lvl>
    <w:lvl w:ilvl="4" w:tplc="81120DC2">
      <w:start w:val="1"/>
      <w:numFmt w:val="bullet"/>
      <w:lvlText w:val=""/>
      <w:lvlJc w:val="left"/>
      <w:pPr>
        <w:ind w:left="720" w:hanging="360"/>
      </w:pPr>
      <w:rPr>
        <w:rFonts w:ascii="Symbol" w:hAnsi="Symbol"/>
      </w:rPr>
    </w:lvl>
    <w:lvl w:ilvl="5" w:tplc="1938CF86">
      <w:start w:val="1"/>
      <w:numFmt w:val="bullet"/>
      <w:lvlText w:val=""/>
      <w:lvlJc w:val="left"/>
      <w:pPr>
        <w:ind w:left="720" w:hanging="360"/>
      </w:pPr>
      <w:rPr>
        <w:rFonts w:ascii="Symbol" w:hAnsi="Symbol"/>
      </w:rPr>
    </w:lvl>
    <w:lvl w:ilvl="6" w:tplc="FCB09A92">
      <w:start w:val="1"/>
      <w:numFmt w:val="bullet"/>
      <w:lvlText w:val=""/>
      <w:lvlJc w:val="left"/>
      <w:pPr>
        <w:ind w:left="720" w:hanging="360"/>
      </w:pPr>
      <w:rPr>
        <w:rFonts w:ascii="Symbol" w:hAnsi="Symbol"/>
      </w:rPr>
    </w:lvl>
    <w:lvl w:ilvl="7" w:tplc="65D8AED0">
      <w:start w:val="1"/>
      <w:numFmt w:val="bullet"/>
      <w:lvlText w:val=""/>
      <w:lvlJc w:val="left"/>
      <w:pPr>
        <w:ind w:left="720" w:hanging="360"/>
      </w:pPr>
      <w:rPr>
        <w:rFonts w:ascii="Symbol" w:hAnsi="Symbol"/>
      </w:rPr>
    </w:lvl>
    <w:lvl w:ilvl="8" w:tplc="114029E6">
      <w:start w:val="1"/>
      <w:numFmt w:val="bullet"/>
      <w:lvlText w:val=""/>
      <w:lvlJc w:val="left"/>
      <w:pPr>
        <w:ind w:left="720" w:hanging="360"/>
      </w:pPr>
      <w:rPr>
        <w:rFonts w:ascii="Symbol" w:hAnsi="Symbol"/>
      </w:rPr>
    </w:lvl>
  </w:abstractNum>
  <w:abstractNum w:abstractNumId="8"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3D8C767C"/>
    <w:multiLevelType w:val="hybridMultilevel"/>
    <w:tmpl w:val="77F0A6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47F6C15"/>
    <w:multiLevelType w:val="hybridMultilevel"/>
    <w:tmpl w:val="758C05FC"/>
    <w:lvl w:ilvl="0" w:tplc="CE960898">
      <w:start w:val="1"/>
      <w:numFmt w:val="bullet"/>
      <w:lvlText w:val=""/>
      <w:lvlJc w:val="left"/>
      <w:pPr>
        <w:ind w:left="720" w:hanging="360"/>
      </w:pPr>
      <w:rPr>
        <w:rFonts w:ascii="Symbol" w:hAnsi="Symbol"/>
      </w:rPr>
    </w:lvl>
    <w:lvl w:ilvl="1" w:tplc="181686B4">
      <w:start w:val="1"/>
      <w:numFmt w:val="bullet"/>
      <w:lvlText w:val=""/>
      <w:lvlJc w:val="left"/>
      <w:pPr>
        <w:ind w:left="720" w:hanging="360"/>
      </w:pPr>
      <w:rPr>
        <w:rFonts w:ascii="Symbol" w:hAnsi="Symbol"/>
      </w:rPr>
    </w:lvl>
    <w:lvl w:ilvl="2" w:tplc="0D34D158">
      <w:start w:val="1"/>
      <w:numFmt w:val="bullet"/>
      <w:lvlText w:val=""/>
      <w:lvlJc w:val="left"/>
      <w:pPr>
        <w:ind w:left="720" w:hanging="360"/>
      </w:pPr>
      <w:rPr>
        <w:rFonts w:ascii="Symbol" w:hAnsi="Symbol"/>
      </w:rPr>
    </w:lvl>
    <w:lvl w:ilvl="3" w:tplc="C116D99E">
      <w:start w:val="1"/>
      <w:numFmt w:val="bullet"/>
      <w:lvlText w:val=""/>
      <w:lvlJc w:val="left"/>
      <w:pPr>
        <w:ind w:left="720" w:hanging="360"/>
      </w:pPr>
      <w:rPr>
        <w:rFonts w:ascii="Symbol" w:hAnsi="Symbol"/>
      </w:rPr>
    </w:lvl>
    <w:lvl w:ilvl="4" w:tplc="31BA2256">
      <w:start w:val="1"/>
      <w:numFmt w:val="bullet"/>
      <w:lvlText w:val=""/>
      <w:lvlJc w:val="left"/>
      <w:pPr>
        <w:ind w:left="720" w:hanging="360"/>
      </w:pPr>
      <w:rPr>
        <w:rFonts w:ascii="Symbol" w:hAnsi="Symbol"/>
      </w:rPr>
    </w:lvl>
    <w:lvl w:ilvl="5" w:tplc="92ECD8A4">
      <w:start w:val="1"/>
      <w:numFmt w:val="bullet"/>
      <w:lvlText w:val=""/>
      <w:lvlJc w:val="left"/>
      <w:pPr>
        <w:ind w:left="720" w:hanging="360"/>
      </w:pPr>
      <w:rPr>
        <w:rFonts w:ascii="Symbol" w:hAnsi="Symbol"/>
      </w:rPr>
    </w:lvl>
    <w:lvl w:ilvl="6" w:tplc="B04AA150">
      <w:start w:val="1"/>
      <w:numFmt w:val="bullet"/>
      <w:lvlText w:val=""/>
      <w:lvlJc w:val="left"/>
      <w:pPr>
        <w:ind w:left="720" w:hanging="360"/>
      </w:pPr>
      <w:rPr>
        <w:rFonts w:ascii="Symbol" w:hAnsi="Symbol"/>
      </w:rPr>
    </w:lvl>
    <w:lvl w:ilvl="7" w:tplc="03B82CC4">
      <w:start w:val="1"/>
      <w:numFmt w:val="bullet"/>
      <w:lvlText w:val=""/>
      <w:lvlJc w:val="left"/>
      <w:pPr>
        <w:ind w:left="720" w:hanging="360"/>
      </w:pPr>
      <w:rPr>
        <w:rFonts w:ascii="Symbol" w:hAnsi="Symbol"/>
      </w:rPr>
    </w:lvl>
    <w:lvl w:ilvl="8" w:tplc="B6E049A4">
      <w:start w:val="1"/>
      <w:numFmt w:val="bullet"/>
      <w:lvlText w:val=""/>
      <w:lvlJc w:val="left"/>
      <w:pPr>
        <w:ind w:left="720" w:hanging="360"/>
      </w:pPr>
      <w:rPr>
        <w:rFonts w:ascii="Symbol" w:hAnsi="Symbol"/>
      </w:rPr>
    </w:lvl>
  </w:abstractNum>
  <w:abstractNum w:abstractNumId="11"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2391238"/>
    <w:multiLevelType w:val="hybridMultilevel"/>
    <w:tmpl w:val="55C8494E"/>
    <w:lvl w:ilvl="0" w:tplc="8AC41EFE">
      <w:start w:val="1"/>
      <w:numFmt w:val="bullet"/>
      <w:lvlText w:val=""/>
      <w:lvlJc w:val="left"/>
      <w:pPr>
        <w:ind w:left="720" w:hanging="360"/>
      </w:pPr>
      <w:rPr>
        <w:rFonts w:ascii="Symbol" w:hAnsi="Symbol"/>
      </w:rPr>
    </w:lvl>
    <w:lvl w:ilvl="1" w:tplc="428EA41A">
      <w:start w:val="1"/>
      <w:numFmt w:val="bullet"/>
      <w:lvlText w:val=""/>
      <w:lvlJc w:val="left"/>
      <w:pPr>
        <w:ind w:left="720" w:hanging="360"/>
      </w:pPr>
      <w:rPr>
        <w:rFonts w:ascii="Symbol" w:hAnsi="Symbol"/>
      </w:rPr>
    </w:lvl>
    <w:lvl w:ilvl="2" w:tplc="239EB4D6">
      <w:start w:val="1"/>
      <w:numFmt w:val="bullet"/>
      <w:lvlText w:val=""/>
      <w:lvlJc w:val="left"/>
      <w:pPr>
        <w:ind w:left="720" w:hanging="360"/>
      </w:pPr>
      <w:rPr>
        <w:rFonts w:ascii="Symbol" w:hAnsi="Symbol"/>
      </w:rPr>
    </w:lvl>
    <w:lvl w:ilvl="3" w:tplc="2B08451C">
      <w:start w:val="1"/>
      <w:numFmt w:val="bullet"/>
      <w:lvlText w:val=""/>
      <w:lvlJc w:val="left"/>
      <w:pPr>
        <w:ind w:left="720" w:hanging="360"/>
      </w:pPr>
      <w:rPr>
        <w:rFonts w:ascii="Symbol" w:hAnsi="Symbol"/>
      </w:rPr>
    </w:lvl>
    <w:lvl w:ilvl="4" w:tplc="A2481816">
      <w:start w:val="1"/>
      <w:numFmt w:val="bullet"/>
      <w:lvlText w:val=""/>
      <w:lvlJc w:val="left"/>
      <w:pPr>
        <w:ind w:left="720" w:hanging="360"/>
      </w:pPr>
      <w:rPr>
        <w:rFonts w:ascii="Symbol" w:hAnsi="Symbol"/>
      </w:rPr>
    </w:lvl>
    <w:lvl w:ilvl="5" w:tplc="71868E8C">
      <w:start w:val="1"/>
      <w:numFmt w:val="bullet"/>
      <w:lvlText w:val=""/>
      <w:lvlJc w:val="left"/>
      <w:pPr>
        <w:ind w:left="720" w:hanging="360"/>
      </w:pPr>
      <w:rPr>
        <w:rFonts w:ascii="Symbol" w:hAnsi="Symbol"/>
      </w:rPr>
    </w:lvl>
    <w:lvl w:ilvl="6" w:tplc="35BE17E8">
      <w:start w:val="1"/>
      <w:numFmt w:val="bullet"/>
      <w:lvlText w:val=""/>
      <w:lvlJc w:val="left"/>
      <w:pPr>
        <w:ind w:left="720" w:hanging="360"/>
      </w:pPr>
      <w:rPr>
        <w:rFonts w:ascii="Symbol" w:hAnsi="Symbol"/>
      </w:rPr>
    </w:lvl>
    <w:lvl w:ilvl="7" w:tplc="96EC4B04">
      <w:start w:val="1"/>
      <w:numFmt w:val="bullet"/>
      <w:lvlText w:val=""/>
      <w:lvlJc w:val="left"/>
      <w:pPr>
        <w:ind w:left="720" w:hanging="360"/>
      </w:pPr>
      <w:rPr>
        <w:rFonts w:ascii="Symbol" w:hAnsi="Symbol"/>
      </w:rPr>
    </w:lvl>
    <w:lvl w:ilvl="8" w:tplc="31388600">
      <w:start w:val="1"/>
      <w:numFmt w:val="bullet"/>
      <w:lvlText w:val=""/>
      <w:lvlJc w:val="left"/>
      <w:pPr>
        <w:ind w:left="720" w:hanging="360"/>
      </w:pPr>
      <w:rPr>
        <w:rFonts w:ascii="Symbol" w:hAnsi="Symbol"/>
      </w:rPr>
    </w:lvl>
  </w:abstractNum>
  <w:abstractNum w:abstractNumId="13" w15:restartNumberingAfterBreak="0">
    <w:nsid w:val="5E1A4E3C"/>
    <w:multiLevelType w:val="hybridMultilevel"/>
    <w:tmpl w:val="19E2351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6AB90A4A"/>
    <w:multiLevelType w:val="hybridMultilevel"/>
    <w:tmpl w:val="C5FE5810"/>
    <w:lvl w:ilvl="0" w:tplc="D9564AE2">
      <w:start w:val="1"/>
      <w:numFmt w:val="bullet"/>
      <w:lvlText w:val=""/>
      <w:lvlJc w:val="left"/>
      <w:pPr>
        <w:ind w:left="720" w:hanging="360"/>
      </w:pPr>
      <w:rPr>
        <w:rFonts w:ascii="Symbol" w:hAnsi="Symbol"/>
      </w:rPr>
    </w:lvl>
    <w:lvl w:ilvl="1" w:tplc="2CCE3504">
      <w:start w:val="1"/>
      <w:numFmt w:val="bullet"/>
      <w:lvlText w:val=""/>
      <w:lvlJc w:val="left"/>
      <w:pPr>
        <w:ind w:left="720" w:hanging="360"/>
      </w:pPr>
      <w:rPr>
        <w:rFonts w:ascii="Symbol" w:hAnsi="Symbol"/>
      </w:rPr>
    </w:lvl>
    <w:lvl w:ilvl="2" w:tplc="4F74A57E">
      <w:start w:val="1"/>
      <w:numFmt w:val="bullet"/>
      <w:lvlText w:val=""/>
      <w:lvlJc w:val="left"/>
      <w:pPr>
        <w:ind w:left="720" w:hanging="360"/>
      </w:pPr>
      <w:rPr>
        <w:rFonts w:ascii="Symbol" w:hAnsi="Symbol"/>
      </w:rPr>
    </w:lvl>
    <w:lvl w:ilvl="3" w:tplc="70003086">
      <w:start w:val="1"/>
      <w:numFmt w:val="bullet"/>
      <w:lvlText w:val=""/>
      <w:lvlJc w:val="left"/>
      <w:pPr>
        <w:ind w:left="720" w:hanging="360"/>
      </w:pPr>
      <w:rPr>
        <w:rFonts w:ascii="Symbol" w:hAnsi="Symbol"/>
      </w:rPr>
    </w:lvl>
    <w:lvl w:ilvl="4" w:tplc="D1D45298">
      <w:start w:val="1"/>
      <w:numFmt w:val="bullet"/>
      <w:lvlText w:val=""/>
      <w:lvlJc w:val="left"/>
      <w:pPr>
        <w:ind w:left="720" w:hanging="360"/>
      </w:pPr>
      <w:rPr>
        <w:rFonts w:ascii="Symbol" w:hAnsi="Symbol"/>
      </w:rPr>
    </w:lvl>
    <w:lvl w:ilvl="5" w:tplc="0344A7EE">
      <w:start w:val="1"/>
      <w:numFmt w:val="bullet"/>
      <w:lvlText w:val=""/>
      <w:lvlJc w:val="left"/>
      <w:pPr>
        <w:ind w:left="720" w:hanging="360"/>
      </w:pPr>
      <w:rPr>
        <w:rFonts w:ascii="Symbol" w:hAnsi="Symbol"/>
      </w:rPr>
    </w:lvl>
    <w:lvl w:ilvl="6" w:tplc="E02E026A">
      <w:start w:val="1"/>
      <w:numFmt w:val="bullet"/>
      <w:lvlText w:val=""/>
      <w:lvlJc w:val="left"/>
      <w:pPr>
        <w:ind w:left="720" w:hanging="360"/>
      </w:pPr>
      <w:rPr>
        <w:rFonts w:ascii="Symbol" w:hAnsi="Symbol"/>
      </w:rPr>
    </w:lvl>
    <w:lvl w:ilvl="7" w:tplc="DA6C110E">
      <w:start w:val="1"/>
      <w:numFmt w:val="bullet"/>
      <w:lvlText w:val=""/>
      <w:lvlJc w:val="left"/>
      <w:pPr>
        <w:ind w:left="720" w:hanging="360"/>
      </w:pPr>
      <w:rPr>
        <w:rFonts w:ascii="Symbol" w:hAnsi="Symbol"/>
      </w:rPr>
    </w:lvl>
    <w:lvl w:ilvl="8" w:tplc="AC78F5C8">
      <w:start w:val="1"/>
      <w:numFmt w:val="bullet"/>
      <w:lvlText w:val=""/>
      <w:lvlJc w:val="left"/>
      <w:pPr>
        <w:ind w:left="720" w:hanging="360"/>
      </w:pPr>
      <w:rPr>
        <w:rFonts w:ascii="Symbol" w:hAnsi="Symbol"/>
      </w:rPr>
    </w:lvl>
  </w:abstractNum>
  <w:abstractNum w:abstractNumId="15"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EC66C18"/>
    <w:multiLevelType w:val="hybridMultilevel"/>
    <w:tmpl w:val="5DDADD7E"/>
    <w:lvl w:ilvl="0" w:tplc="D940EBD0">
      <w:start w:val="1"/>
      <w:numFmt w:val="bullet"/>
      <w:lvlText w:val=""/>
      <w:lvlJc w:val="left"/>
      <w:pPr>
        <w:ind w:left="720" w:hanging="360"/>
      </w:pPr>
      <w:rPr>
        <w:rFonts w:ascii="Symbol" w:hAnsi="Symbol"/>
      </w:rPr>
    </w:lvl>
    <w:lvl w:ilvl="1" w:tplc="098C97AE">
      <w:start w:val="1"/>
      <w:numFmt w:val="bullet"/>
      <w:lvlText w:val=""/>
      <w:lvlJc w:val="left"/>
      <w:pPr>
        <w:ind w:left="720" w:hanging="360"/>
      </w:pPr>
      <w:rPr>
        <w:rFonts w:ascii="Symbol" w:hAnsi="Symbol"/>
      </w:rPr>
    </w:lvl>
    <w:lvl w:ilvl="2" w:tplc="9AC64B1A">
      <w:start w:val="1"/>
      <w:numFmt w:val="bullet"/>
      <w:lvlText w:val=""/>
      <w:lvlJc w:val="left"/>
      <w:pPr>
        <w:ind w:left="720" w:hanging="360"/>
      </w:pPr>
      <w:rPr>
        <w:rFonts w:ascii="Symbol" w:hAnsi="Symbol"/>
      </w:rPr>
    </w:lvl>
    <w:lvl w:ilvl="3" w:tplc="BDAE514C">
      <w:start w:val="1"/>
      <w:numFmt w:val="bullet"/>
      <w:lvlText w:val=""/>
      <w:lvlJc w:val="left"/>
      <w:pPr>
        <w:ind w:left="720" w:hanging="360"/>
      </w:pPr>
      <w:rPr>
        <w:rFonts w:ascii="Symbol" w:hAnsi="Symbol"/>
      </w:rPr>
    </w:lvl>
    <w:lvl w:ilvl="4" w:tplc="3C26C7D2">
      <w:start w:val="1"/>
      <w:numFmt w:val="bullet"/>
      <w:lvlText w:val=""/>
      <w:lvlJc w:val="left"/>
      <w:pPr>
        <w:ind w:left="720" w:hanging="360"/>
      </w:pPr>
      <w:rPr>
        <w:rFonts w:ascii="Symbol" w:hAnsi="Symbol"/>
      </w:rPr>
    </w:lvl>
    <w:lvl w:ilvl="5" w:tplc="6B1200AE">
      <w:start w:val="1"/>
      <w:numFmt w:val="bullet"/>
      <w:lvlText w:val=""/>
      <w:lvlJc w:val="left"/>
      <w:pPr>
        <w:ind w:left="720" w:hanging="360"/>
      </w:pPr>
      <w:rPr>
        <w:rFonts w:ascii="Symbol" w:hAnsi="Symbol"/>
      </w:rPr>
    </w:lvl>
    <w:lvl w:ilvl="6" w:tplc="5C406EAA">
      <w:start w:val="1"/>
      <w:numFmt w:val="bullet"/>
      <w:lvlText w:val=""/>
      <w:lvlJc w:val="left"/>
      <w:pPr>
        <w:ind w:left="720" w:hanging="360"/>
      </w:pPr>
      <w:rPr>
        <w:rFonts w:ascii="Symbol" w:hAnsi="Symbol"/>
      </w:rPr>
    </w:lvl>
    <w:lvl w:ilvl="7" w:tplc="03E819EE">
      <w:start w:val="1"/>
      <w:numFmt w:val="bullet"/>
      <w:lvlText w:val=""/>
      <w:lvlJc w:val="left"/>
      <w:pPr>
        <w:ind w:left="720" w:hanging="360"/>
      </w:pPr>
      <w:rPr>
        <w:rFonts w:ascii="Symbol" w:hAnsi="Symbol"/>
      </w:rPr>
    </w:lvl>
    <w:lvl w:ilvl="8" w:tplc="09D0C6C2">
      <w:start w:val="1"/>
      <w:numFmt w:val="bullet"/>
      <w:lvlText w:val=""/>
      <w:lvlJc w:val="left"/>
      <w:pPr>
        <w:ind w:left="720" w:hanging="360"/>
      </w:pPr>
      <w:rPr>
        <w:rFonts w:ascii="Symbol" w:hAnsi="Symbol"/>
      </w:rPr>
    </w:lvl>
  </w:abstractNum>
  <w:abstractNum w:abstractNumId="17" w15:restartNumberingAfterBreak="0">
    <w:nsid w:val="7C3E3C34"/>
    <w:multiLevelType w:val="hybridMultilevel"/>
    <w:tmpl w:val="8E525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20997448">
    <w:abstractNumId w:val="8"/>
  </w:num>
  <w:num w:numId="2" w16cid:durableId="1088427743">
    <w:abstractNumId w:val="18"/>
  </w:num>
  <w:num w:numId="3" w16cid:durableId="111368400">
    <w:abstractNumId w:val="11"/>
  </w:num>
  <w:num w:numId="4" w16cid:durableId="815339056">
    <w:abstractNumId w:val="15"/>
  </w:num>
  <w:num w:numId="5" w16cid:durableId="743180995">
    <w:abstractNumId w:val="0"/>
  </w:num>
  <w:num w:numId="6" w16cid:durableId="508569404">
    <w:abstractNumId w:val="5"/>
  </w:num>
  <w:num w:numId="7" w16cid:durableId="1021853978">
    <w:abstractNumId w:val="9"/>
  </w:num>
  <w:num w:numId="8" w16cid:durableId="2140604889">
    <w:abstractNumId w:val="17"/>
  </w:num>
  <w:num w:numId="9" w16cid:durableId="2061901438">
    <w:abstractNumId w:val="6"/>
  </w:num>
  <w:num w:numId="10" w16cid:durableId="1569413256">
    <w:abstractNumId w:val="5"/>
  </w:num>
  <w:num w:numId="11" w16cid:durableId="516163005">
    <w:abstractNumId w:val="5"/>
  </w:num>
  <w:num w:numId="12" w16cid:durableId="759986533">
    <w:abstractNumId w:val="5"/>
  </w:num>
  <w:num w:numId="13" w16cid:durableId="1608850431">
    <w:abstractNumId w:val="5"/>
  </w:num>
  <w:num w:numId="14" w16cid:durableId="1061826780">
    <w:abstractNumId w:val="5"/>
  </w:num>
  <w:num w:numId="15" w16cid:durableId="1474906265">
    <w:abstractNumId w:val="8"/>
  </w:num>
  <w:num w:numId="16" w16cid:durableId="3794032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7219710">
    <w:abstractNumId w:val="12"/>
  </w:num>
  <w:num w:numId="18" w16cid:durableId="1423912919">
    <w:abstractNumId w:val="14"/>
  </w:num>
  <w:num w:numId="19" w16cid:durableId="1310985681">
    <w:abstractNumId w:val="16"/>
  </w:num>
  <w:num w:numId="20" w16cid:durableId="1920286773">
    <w:abstractNumId w:val="3"/>
  </w:num>
  <w:num w:numId="21" w16cid:durableId="1634409043">
    <w:abstractNumId w:val="7"/>
  </w:num>
  <w:num w:numId="22" w16cid:durableId="738402328">
    <w:abstractNumId w:val="4"/>
  </w:num>
  <w:num w:numId="23" w16cid:durableId="523713803">
    <w:abstractNumId w:val="1"/>
  </w:num>
  <w:num w:numId="24" w16cid:durableId="964307925">
    <w:abstractNumId w:val="2"/>
  </w:num>
  <w:num w:numId="25" w16cid:durableId="131183476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144C"/>
    <w:rsid w:val="00003743"/>
    <w:rsid w:val="0000438E"/>
    <w:rsid w:val="000047B4"/>
    <w:rsid w:val="00005712"/>
    <w:rsid w:val="00007FD8"/>
    <w:rsid w:val="000117F8"/>
    <w:rsid w:val="0001460F"/>
    <w:rsid w:val="00020AD1"/>
    <w:rsid w:val="00022629"/>
    <w:rsid w:val="00022E1C"/>
    <w:rsid w:val="00024DFE"/>
    <w:rsid w:val="00026139"/>
    <w:rsid w:val="0002707F"/>
    <w:rsid w:val="00027601"/>
    <w:rsid w:val="00033321"/>
    <w:rsid w:val="000338E5"/>
    <w:rsid w:val="00033ECC"/>
    <w:rsid w:val="0003422F"/>
    <w:rsid w:val="00036DF7"/>
    <w:rsid w:val="0004023C"/>
    <w:rsid w:val="00044C16"/>
    <w:rsid w:val="00046FF0"/>
    <w:rsid w:val="00050176"/>
    <w:rsid w:val="00050342"/>
    <w:rsid w:val="00050BE3"/>
    <w:rsid w:val="00056A81"/>
    <w:rsid w:val="00061395"/>
    <w:rsid w:val="00064168"/>
    <w:rsid w:val="00065E42"/>
    <w:rsid w:val="00067456"/>
    <w:rsid w:val="00071506"/>
    <w:rsid w:val="0007154F"/>
    <w:rsid w:val="00073953"/>
    <w:rsid w:val="00074D59"/>
    <w:rsid w:val="00080BAC"/>
    <w:rsid w:val="00081AB1"/>
    <w:rsid w:val="00086BC8"/>
    <w:rsid w:val="00090316"/>
    <w:rsid w:val="00093981"/>
    <w:rsid w:val="00093CF8"/>
    <w:rsid w:val="0009766A"/>
    <w:rsid w:val="000A36FB"/>
    <w:rsid w:val="000A68A4"/>
    <w:rsid w:val="000A6D21"/>
    <w:rsid w:val="000B067A"/>
    <w:rsid w:val="000B1540"/>
    <w:rsid w:val="000B1E53"/>
    <w:rsid w:val="000B2849"/>
    <w:rsid w:val="000B33FD"/>
    <w:rsid w:val="000B4ABA"/>
    <w:rsid w:val="000B7029"/>
    <w:rsid w:val="000C0475"/>
    <w:rsid w:val="000C4B16"/>
    <w:rsid w:val="000C50C3"/>
    <w:rsid w:val="000C5E14"/>
    <w:rsid w:val="000D21F6"/>
    <w:rsid w:val="000D3EEC"/>
    <w:rsid w:val="000D4500"/>
    <w:rsid w:val="000D7AEA"/>
    <w:rsid w:val="000D7BDD"/>
    <w:rsid w:val="000E2B2B"/>
    <w:rsid w:val="000E2C66"/>
    <w:rsid w:val="000E59BD"/>
    <w:rsid w:val="000E69AC"/>
    <w:rsid w:val="000F123C"/>
    <w:rsid w:val="000F2FED"/>
    <w:rsid w:val="0010616D"/>
    <w:rsid w:val="00107176"/>
    <w:rsid w:val="00110478"/>
    <w:rsid w:val="00111901"/>
    <w:rsid w:val="0011711B"/>
    <w:rsid w:val="00117F8A"/>
    <w:rsid w:val="001210F8"/>
    <w:rsid w:val="00121B9B"/>
    <w:rsid w:val="00122ADC"/>
    <w:rsid w:val="001245EF"/>
    <w:rsid w:val="00130F59"/>
    <w:rsid w:val="00133024"/>
    <w:rsid w:val="00133EC0"/>
    <w:rsid w:val="00141CE5"/>
    <w:rsid w:val="00141E1D"/>
    <w:rsid w:val="001427CD"/>
    <w:rsid w:val="00144908"/>
    <w:rsid w:val="00144D26"/>
    <w:rsid w:val="00156D96"/>
    <w:rsid w:val="001571C7"/>
    <w:rsid w:val="00161094"/>
    <w:rsid w:val="0017665C"/>
    <w:rsid w:val="0017709E"/>
    <w:rsid w:val="00177AD2"/>
    <w:rsid w:val="0018065D"/>
    <w:rsid w:val="001815A8"/>
    <w:rsid w:val="001840FA"/>
    <w:rsid w:val="001873B1"/>
    <w:rsid w:val="00190079"/>
    <w:rsid w:val="00192280"/>
    <w:rsid w:val="00192FE9"/>
    <w:rsid w:val="0019622E"/>
    <w:rsid w:val="00196620"/>
    <w:rsid w:val="001966A7"/>
    <w:rsid w:val="0019761F"/>
    <w:rsid w:val="001A2646"/>
    <w:rsid w:val="001A2E06"/>
    <w:rsid w:val="001A4627"/>
    <w:rsid w:val="001A4979"/>
    <w:rsid w:val="001B0DD5"/>
    <w:rsid w:val="001B15D3"/>
    <w:rsid w:val="001B3443"/>
    <w:rsid w:val="001B4130"/>
    <w:rsid w:val="001C0326"/>
    <w:rsid w:val="001C1618"/>
    <w:rsid w:val="001C192F"/>
    <w:rsid w:val="001C3276"/>
    <w:rsid w:val="001C3C42"/>
    <w:rsid w:val="001D2236"/>
    <w:rsid w:val="001D2C7A"/>
    <w:rsid w:val="001D6F1F"/>
    <w:rsid w:val="001D7869"/>
    <w:rsid w:val="001E230B"/>
    <w:rsid w:val="001F38B4"/>
    <w:rsid w:val="001F3920"/>
    <w:rsid w:val="001F5E42"/>
    <w:rsid w:val="001F76C6"/>
    <w:rsid w:val="002026CD"/>
    <w:rsid w:val="002033FC"/>
    <w:rsid w:val="002044BB"/>
    <w:rsid w:val="00207646"/>
    <w:rsid w:val="00210B09"/>
    <w:rsid w:val="00210C9E"/>
    <w:rsid w:val="00211840"/>
    <w:rsid w:val="00216B71"/>
    <w:rsid w:val="00220E5F"/>
    <w:rsid w:val="002212B5"/>
    <w:rsid w:val="00226668"/>
    <w:rsid w:val="00231093"/>
    <w:rsid w:val="002322D9"/>
    <w:rsid w:val="00233809"/>
    <w:rsid w:val="002360BF"/>
    <w:rsid w:val="00237A42"/>
    <w:rsid w:val="00240046"/>
    <w:rsid w:val="00240453"/>
    <w:rsid w:val="00242D68"/>
    <w:rsid w:val="00245355"/>
    <w:rsid w:val="0024650C"/>
    <w:rsid w:val="0024797F"/>
    <w:rsid w:val="0025119E"/>
    <w:rsid w:val="00251269"/>
    <w:rsid w:val="002535C0"/>
    <w:rsid w:val="00253642"/>
    <w:rsid w:val="002579FE"/>
    <w:rsid w:val="00260552"/>
    <w:rsid w:val="002609BD"/>
    <w:rsid w:val="00262512"/>
    <w:rsid w:val="0026311C"/>
    <w:rsid w:val="002652ED"/>
    <w:rsid w:val="0026668C"/>
    <w:rsid w:val="00266AC1"/>
    <w:rsid w:val="002673AD"/>
    <w:rsid w:val="0027101B"/>
    <w:rsid w:val="0027178C"/>
    <w:rsid w:val="00271954"/>
    <w:rsid w:val="002719FA"/>
    <w:rsid w:val="00272668"/>
    <w:rsid w:val="0027330B"/>
    <w:rsid w:val="00276010"/>
    <w:rsid w:val="002765BC"/>
    <w:rsid w:val="00276CB4"/>
    <w:rsid w:val="00276EA3"/>
    <w:rsid w:val="002803AD"/>
    <w:rsid w:val="00282052"/>
    <w:rsid w:val="00282EAC"/>
    <w:rsid w:val="002831A3"/>
    <w:rsid w:val="0028519E"/>
    <w:rsid w:val="002856A5"/>
    <w:rsid w:val="002872ED"/>
    <w:rsid w:val="00290019"/>
    <w:rsid w:val="002905C2"/>
    <w:rsid w:val="00291F13"/>
    <w:rsid w:val="00292535"/>
    <w:rsid w:val="00295AF2"/>
    <w:rsid w:val="00295C91"/>
    <w:rsid w:val="00297151"/>
    <w:rsid w:val="002B1AE8"/>
    <w:rsid w:val="002B20E6"/>
    <w:rsid w:val="002B31F1"/>
    <w:rsid w:val="002B42A3"/>
    <w:rsid w:val="002C0CDD"/>
    <w:rsid w:val="002C38C4"/>
    <w:rsid w:val="002C46AA"/>
    <w:rsid w:val="002D65A2"/>
    <w:rsid w:val="002E1A1D"/>
    <w:rsid w:val="002E4081"/>
    <w:rsid w:val="002E5B78"/>
    <w:rsid w:val="002E5F38"/>
    <w:rsid w:val="002F2007"/>
    <w:rsid w:val="002F3AE3"/>
    <w:rsid w:val="002F4532"/>
    <w:rsid w:val="003021F7"/>
    <w:rsid w:val="0030464B"/>
    <w:rsid w:val="0030786C"/>
    <w:rsid w:val="003142E8"/>
    <w:rsid w:val="00317B29"/>
    <w:rsid w:val="003233DE"/>
    <w:rsid w:val="0032466B"/>
    <w:rsid w:val="00324BED"/>
    <w:rsid w:val="00326D78"/>
    <w:rsid w:val="003330EB"/>
    <w:rsid w:val="00333C73"/>
    <w:rsid w:val="00336C34"/>
    <w:rsid w:val="003415FD"/>
    <w:rsid w:val="003429F0"/>
    <w:rsid w:val="00345A82"/>
    <w:rsid w:val="003469AC"/>
    <w:rsid w:val="0035097A"/>
    <w:rsid w:val="00353C8E"/>
    <w:rsid w:val="003540A4"/>
    <w:rsid w:val="0035563C"/>
    <w:rsid w:val="00357BCC"/>
    <w:rsid w:val="00360E4E"/>
    <w:rsid w:val="003628BA"/>
    <w:rsid w:val="00370AAA"/>
    <w:rsid w:val="00375A36"/>
    <w:rsid w:val="00375F77"/>
    <w:rsid w:val="00381BBE"/>
    <w:rsid w:val="00382903"/>
    <w:rsid w:val="003832F8"/>
    <w:rsid w:val="003846FF"/>
    <w:rsid w:val="003857D4"/>
    <w:rsid w:val="00385AD4"/>
    <w:rsid w:val="00385C01"/>
    <w:rsid w:val="00387924"/>
    <w:rsid w:val="003923D3"/>
    <w:rsid w:val="0039384D"/>
    <w:rsid w:val="0039496F"/>
    <w:rsid w:val="00395C23"/>
    <w:rsid w:val="003A0C13"/>
    <w:rsid w:val="003A2E4F"/>
    <w:rsid w:val="003A4438"/>
    <w:rsid w:val="003A5013"/>
    <w:rsid w:val="003A5078"/>
    <w:rsid w:val="003A62DD"/>
    <w:rsid w:val="003A65EA"/>
    <w:rsid w:val="003A775A"/>
    <w:rsid w:val="003B13D6"/>
    <w:rsid w:val="003B1C1A"/>
    <w:rsid w:val="003B213A"/>
    <w:rsid w:val="003B2E5D"/>
    <w:rsid w:val="003B43AD"/>
    <w:rsid w:val="003B6ABE"/>
    <w:rsid w:val="003B7079"/>
    <w:rsid w:val="003C0FEC"/>
    <w:rsid w:val="003C2AC8"/>
    <w:rsid w:val="003C7A1C"/>
    <w:rsid w:val="003D033A"/>
    <w:rsid w:val="003D17F9"/>
    <w:rsid w:val="003D2D88"/>
    <w:rsid w:val="003D419D"/>
    <w:rsid w:val="003D41EA"/>
    <w:rsid w:val="003D479C"/>
    <w:rsid w:val="003D4850"/>
    <w:rsid w:val="003D535A"/>
    <w:rsid w:val="003D5A64"/>
    <w:rsid w:val="003D71E9"/>
    <w:rsid w:val="003D7B09"/>
    <w:rsid w:val="003E5265"/>
    <w:rsid w:val="003F08F4"/>
    <w:rsid w:val="003F0955"/>
    <w:rsid w:val="003F0F91"/>
    <w:rsid w:val="003F5F4D"/>
    <w:rsid w:val="003F646F"/>
    <w:rsid w:val="00400F00"/>
    <w:rsid w:val="004040B6"/>
    <w:rsid w:val="00404F8B"/>
    <w:rsid w:val="00405256"/>
    <w:rsid w:val="00405ADD"/>
    <w:rsid w:val="00410031"/>
    <w:rsid w:val="00415C81"/>
    <w:rsid w:val="004178CD"/>
    <w:rsid w:val="00427779"/>
    <w:rsid w:val="00427F08"/>
    <w:rsid w:val="00432378"/>
    <w:rsid w:val="00440D65"/>
    <w:rsid w:val="00442EFF"/>
    <w:rsid w:val="004435E6"/>
    <w:rsid w:val="00445265"/>
    <w:rsid w:val="00447E31"/>
    <w:rsid w:val="00453923"/>
    <w:rsid w:val="0045467A"/>
    <w:rsid w:val="00454B9B"/>
    <w:rsid w:val="00455781"/>
    <w:rsid w:val="00457858"/>
    <w:rsid w:val="00460001"/>
    <w:rsid w:val="0046045D"/>
    <w:rsid w:val="00460B0B"/>
    <w:rsid w:val="00461023"/>
    <w:rsid w:val="00462FAC"/>
    <w:rsid w:val="00464631"/>
    <w:rsid w:val="00464B79"/>
    <w:rsid w:val="0046644F"/>
    <w:rsid w:val="00467BBF"/>
    <w:rsid w:val="00473109"/>
    <w:rsid w:val="0048593C"/>
    <w:rsid w:val="004867E2"/>
    <w:rsid w:val="00490FFF"/>
    <w:rsid w:val="004929A9"/>
    <w:rsid w:val="00493814"/>
    <w:rsid w:val="004956EF"/>
    <w:rsid w:val="004A36DF"/>
    <w:rsid w:val="004A3C2E"/>
    <w:rsid w:val="004A78D9"/>
    <w:rsid w:val="004C1BCD"/>
    <w:rsid w:val="004C6BCF"/>
    <w:rsid w:val="004C6EBF"/>
    <w:rsid w:val="004D58BF"/>
    <w:rsid w:val="004D5E3F"/>
    <w:rsid w:val="004E293A"/>
    <w:rsid w:val="004E4335"/>
    <w:rsid w:val="004E5226"/>
    <w:rsid w:val="004F0462"/>
    <w:rsid w:val="004F1186"/>
    <w:rsid w:val="004F13EE"/>
    <w:rsid w:val="004F2022"/>
    <w:rsid w:val="004F2146"/>
    <w:rsid w:val="004F75D9"/>
    <w:rsid w:val="004F7C05"/>
    <w:rsid w:val="00501566"/>
    <w:rsid w:val="0050158E"/>
    <w:rsid w:val="00501C94"/>
    <w:rsid w:val="00506432"/>
    <w:rsid w:val="00506E82"/>
    <w:rsid w:val="0052051D"/>
    <w:rsid w:val="005223FE"/>
    <w:rsid w:val="0052438C"/>
    <w:rsid w:val="00525479"/>
    <w:rsid w:val="00543A92"/>
    <w:rsid w:val="00545EE6"/>
    <w:rsid w:val="005550E7"/>
    <w:rsid w:val="005564FB"/>
    <w:rsid w:val="0055706A"/>
    <w:rsid w:val="005572C7"/>
    <w:rsid w:val="00557DA5"/>
    <w:rsid w:val="00560440"/>
    <w:rsid w:val="00564721"/>
    <w:rsid w:val="005650ED"/>
    <w:rsid w:val="00566B81"/>
    <w:rsid w:val="00567333"/>
    <w:rsid w:val="00573A49"/>
    <w:rsid w:val="00575754"/>
    <w:rsid w:val="00581FBA"/>
    <w:rsid w:val="005858A4"/>
    <w:rsid w:val="0058628D"/>
    <w:rsid w:val="00591E20"/>
    <w:rsid w:val="005920E7"/>
    <w:rsid w:val="0059442F"/>
    <w:rsid w:val="00595408"/>
    <w:rsid w:val="00595E84"/>
    <w:rsid w:val="005A0C59"/>
    <w:rsid w:val="005A2E9A"/>
    <w:rsid w:val="005A48EB"/>
    <w:rsid w:val="005A6CFB"/>
    <w:rsid w:val="005B2BA8"/>
    <w:rsid w:val="005B7B08"/>
    <w:rsid w:val="005B7DD2"/>
    <w:rsid w:val="005C4B3E"/>
    <w:rsid w:val="005C5AEB"/>
    <w:rsid w:val="005C6418"/>
    <w:rsid w:val="005D5F4E"/>
    <w:rsid w:val="005D711D"/>
    <w:rsid w:val="005E0A3F"/>
    <w:rsid w:val="005E1AF9"/>
    <w:rsid w:val="005E2D76"/>
    <w:rsid w:val="005E411D"/>
    <w:rsid w:val="005E659D"/>
    <w:rsid w:val="005E6883"/>
    <w:rsid w:val="005E6D54"/>
    <w:rsid w:val="005E772F"/>
    <w:rsid w:val="005F4A3F"/>
    <w:rsid w:val="005F4ECA"/>
    <w:rsid w:val="005F76EF"/>
    <w:rsid w:val="00600385"/>
    <w:rsid w:val="006041BE"/>
    <w:rsid w:val="006043C7"/>
    <w:rsid w:val="006054AD"/>
    <w:rsid w:val="00607547"/>
    <w:rsid w:val="00611B48"/>
    <w:rsid w:val="006223C1"/>
    <w:rsid w:val="00624B52"/>
    <w:rsid w:val="00625439"/>
    <w:rsid w:val="00630794"/>
    <w:rsid w:val="00631DF4"/>
    <w:rsid w:val="00634175"/>
    <w:rsid w:val="0063574E"/>
    <w:rsid w:val="00635C70"/>
    <w:rsid w:val="006408AC"/>
    <w:rsid w:val="00641EB5"/>
    <w:rsid w:val="00642F20"/>
    <w:rsid w:val="00646453"/>
    <w:rsid w:val="006511B6"/>
    <w:rsid w:val="0065157B"/>
    <w:rsid w:val="006551B0"/>
    <w:rsid w:val="006555AC"/>
    <w:rsid w:val="00657FF8"/>
    <w:rsid w:val="0066598A"/>
    <w:rsid w:val="00670A2D"/>
    <w:rsid w:val="00670D99"/>
    <w:rsid w:val="00670E2B"/>
    <w:rsid w:val="006734BB"/>
    <w:rsid w:val="0067697A"/>
    <w:rsid w:val="00680AA1"/>
    <w:rsid w:val="00681CA9"/>
    <w:rsid w:val="006821EB"/>
    <w:rsid w:val="006900AD"/>
    <w:rsid w:val="00690A8C"/>
    <w:rsid w:val="00693A51"/>
    <w:rsid w:val="00696A32"/>
    <w:rsid w:val="00697F7C"/>
    <w:rsid w:val="006A0262"/>
    <w:rsid w:val="006B2286"/>
    <w:rsid w:val="006B4C5A"/>
    <w:rsid w:val="006B56BB"/>
    <w:rsid w:val="006B74C5"/>
    <w:rsid w:val="006C085B"/>
    <w:rsid w:val="006C0AE2"/>
    <w:rsid w:val="006C1342"/>
    <w:rsid w:val="006C77A8"/>
    <w:rsid w:val="006D22A7"/>
    <w:rsid w:val="006D3F64"/>
    <w:rsid w:val="006D4098"/>
    <w:rsid w:val="006D67F4"/>
    <w:rsid w:val="006D7681"/>
    <w:rsid w:val="006D7B2E"/>
    <w:rsid w:val="006E02EA"/>
    <w:rsid w:val="006E0968"/>
    <w:rsid w:val="006E2AF6"/>
    <w:rsid w:val="006F1107"/>
    <w:rsid w:val="006F5073"/>
    <w:rsid w:val="006F5ED9"/>
    <w:rsid w:val="0070060B"/>
    <w:rsid w:val="00700BBC"/>
    <w:rsid w:val="00701275"/>
    <w:rsid w:val="00704599"/>
    <w:rsid w:val="00707F56"/>
    <w:rsid w:val="00713558"/>
    <w:rsid w:val="007158B5"/>
    <w:rsid w:val="00720D08"/>
    <w:rsid w:val="007263B9"/>
    <w:rsid w:val="00727A34"/>
    <w:rsid w:val="007334F8"/>
    <w:rsid w:val="007339CD"/>
    <w:rsid w:val="007359D8"/>
    <w:rsid w:val="007362D4"/>
    <w:rsid w:val="00741AC2"/>
    <w:rsid w:val="0074390A"/>
    <w:rsid w:val="00744B30"/>
    <w:rsid w:val="00746C16"/>
    <w:rsid w:val="0075117E"/>
    <w:rsid w:val="0076672A"/>
    <w:rsid w:val="00767E34"/>
    <w:rsid w:val="00775E45"/>
    <w:rsid w:val="00776E74"/>
    <w:rsid w:val="00781DF0"/>
    <w:rsid w:val="00782C50"/>
    <w:rsid w:val="00783F7E"/>
    <w:rsid w:val="00785169"/>
    <w:rsid w:val="007912DB"/>
    <w:rsid w:val="00791EEF"/>
    <w:rsid w:val="007954AB"/>
    <w:rsid w:val="007A14C5"/>
    <w:rsid w:val="007A4A10"/>
    <w:rsid w:val="007A5C30"/>
    <w:rsid w:val="007B1750"/>
    <w:rsid w:val="007B1760"/>
    <w:rsid w:val="007B1A65"/>
    <w:rsid w:val="007B4E88"/>
    <w:rsid w:val="007C1FDC"/>
    <w:rsid w:val="007C31DD"/>
    <w:rsid w:val="007C32D9"/>
    <w:rsid w:val="007C343D"/>
    <w:rsid w:val="007C5833"/>
    <w:rsid w:val="007C6D9C"/>
    <w:rsid w:val="007C7DDB"/>
    <w:rsid w:val="007D2CC7"/>
    <w:rsid w:val="007D42D6"/>
    <w:rsid w:val="007D5443"/>
    <w:rsid w:val="007D673D"/>
    <w:rsid w:val="007D7B73"/>
    <w:rsid w:val="007E0068"/>
    <w:rsid w:val="007E0C5A"/>
    <w:rsid w:val="007E0FB8"/>
    <w:rsid w:val="007E261A"/>
    <w:rsid w:val="007E4D09"/>
    <w:rsid w:val="007F2220"/>
    <w:rsid w:val="007F3D86"/>
    <w:rsid w:val="007F4B3E"/>
    <w:rsid w:val="008127AF"/>
    <w:rsid w:val="00812B46"/>
    <w:rsid w:val="00815700"/>
    <w:rsid w:val="0082184B"/>
    <w:rsid w:val="00821974"/>
    <w:rsid w:val="0082246B"/>
    <w:rsid w:val="008249E0"/>
    <w:rsid w:val="008264EB"/>
    <w:rsid w:val="008265C6"/>
    <w:rsid w:val="00826B8F"/>
    <w:rsid w:val="00830F97"/>
    <w:rsid w:val="00831E8A"/>
    <w:rsid w:val="0083595B"/>
    <w:rsid w:val="00835C76"/>
    <w:rsid w:val="008375C0"/>
    <w:rsid w:val="008376E2"/>
    <w:rsid w:val="00842045"/>
    <w:rsid w:val="00843049"/>
    <w:rsid w:val="008437CA"/>
    <w:rsid w:val="00845B0A"/>
    <w:rsid w:val="0085209B"/>
    <w:rsid w:val="00854E64"/>
    <w:rsid w:val="0085558A"/>
    <w:rsid w:val="00856B66"/>
    <w:rsid w:val="008601AC"/>
    <w:rsid w:val="00861A5F"/>
    <w:rsid w:val="008644AD"/>
    <w:rsid w:val="00865735"/>
    <w:rsid w:val="00865DDB"/>
    <w:rsid w:val="00867538"/>
    <w:rsid w:val="00867E99"/>
    <w:rsid w:val="00873D90"/>
    <w:rsid w:val="00873FC8"/>
    <w:rsid w:val="008807F9"/>
    <w:rsid w:val="00884C63"/>
    <w:rsid w:val="00885908"/>
    <w:rsid w:val="008864B7"/>
    <w:rsid w:val="0089677E"/>
    <w:rsid w:val="008A0017"/>
    <w:rsid w:val="008A227B"/>
    <w:rsid w:val="008A334F"/>
    <w:rsid w:val="008A3D23"/>
    <w:rsid w:val="008A4C82"/>
    <w:rsid w:val="008A7438"/>
    <w:rsid w:val="008A7A2D"/>
    <w:rsid w:val="008B1334"/>
    <w:rsid w:val="008B25C7"/>
    <w:rsid w:val="008C0278"/>
    <w:rsid w:val="008C24E9"/>
    <w:rsid w:val="008C6749"/>
    <w:rsid w:val="008C74BA"/>
    <w:rsid w:val="008D0533"/>
    <w:rsid w:val="008D42CB"/>
    <w:rsid w:val="008D48C9"/>
    <w:rsid w:val="008D6381"/>
    <w:rsid w:val="008E007D"/>
    <w:rsid w:val="008E0C77"/>
    <w:rsid w:val="008E625F"/>
    <w:rsid w:val="008E7B8F"/>
    <w:rsid w:val="008F065D"/>
    <w:rsid w:val="008F264D"/>
    <w:rsid w:val="008F3033"/>
    <w:rsid w:val="009040E9"/>
    <w:rsid w:val="009074E1"/>
    <w:rsid w:val="00910EFA"/>
    <w:rsid w:val="009112F7"/>
    <w:rsid w:val="009122AF"/>
    <w:rsid w:val="00912D54"/>
    <w:rsid w:val="0091389F"/>
    <w:rsid w:val="009170A9"/>
    <w:rsid w:val="009208F7"/>
    <w:rsid w:val="00920EB4"/>
    <w:rsid w:val="00921649"/>
    <w:rsid w:val="00921C2D"/>
    <w:rsid w:val="00922517"/>
    <w:rsid w:val="00922722"/>
    <w:rsid w:val="009235EC"/>
    <w:rsid w:val="009261E6"/>
    <w:rsid w:val="009268E1"/>
    <w:rsid w:val="009271EE"/>
    <w:rsid w:val="0093226A"/>
    <w:rsid w:val="009344AE"/>
    <w:rsid w:val="009344DE"/>
    <w:rsid w:val="00935DA6"/>
    <w:rsid w:val="009373E4"/>
    <w:rsid w:val="00945E7F"/>
    <w:rsid w:val="009460E5"/>
    <w:rsid w:val="009518C7"/>
    <w:rsid w:val="009557C1"/>
    <w:rsid w:val="00955C67"/>
    <w:rsid w:val="00956412"/>
    <w:rsid w:val="00960D6E"/>
    <w:rsid w:val="00972D48"/>
    <w:rsid w:val="00973397"/>
    <w:rsid w:val="00974B59"/>
    <w:rsid w:val="0098166B"/>
    <w:rsid w:val="0098340B"/>
    <w:rsid w:val="009836D5"/>
    <w:rsid w:val="00986830"/>
    <w:rsid w:val="00987CCA"/>
    <w:rsid w:val="009924C3"/>
    <w:rsid w:val="00993102"/>
    <w:rsid w:val="009973F7"/>
    <w:rsid w:val="009B1570"/>
    <w:rsid w:val="009B25EC"/>
    <w:rsid w:val="009B35F2"/>
    <w:rsid w:val="009B486B"/>
    <w:rsid w:val="009B79C7"/>
    <w:rsid w:val="009C01DB"/>
    <w:rsid w:val="009C06C5"/>
    <w:rsid w:val="009C0C4F"/>
    <w:rsid w:val="009C26B8"/>
    <w:rsid w:val="009C4E26"/>
    <w:rsid w:val="009C6F10"/>
    <w:rsid w:val="009D148F"/>
    <w:rsid w:val="009D3D70"/>
    <w:rsid w:val="009E6F7E"/>
    <w:rsid w:val="009E733D"/>
    <w:rsid w:val="009E74FC"/>
    <w:rsid w:val="009E7A57"/>
    <w:rsid w:val="009F1337"/>
    <w:rsid w:val="009F4803"/>
    <w:rsid w:val="009F4F6A"/>
    <w:rsid w:val="009F5046"/>
    <w:rsid w:val="00A000E8"/>
    <w:rsid w:val="00A02810"/>
    <w:rsid w:val="00A03C1E"/>
    <w:rsid w:val="00A05C5B"/>
    <w:rsid w:val="00A126F8"/>
    <w:rsid w:val="00A1385C"/>
    <w:rsid w:val="00A13EB5"/>
    <w:rsid w:val="00A16E36"/>
    <w:rsid w:val="00A23012"/>
    <w:rsid w:val="00A23C7B"/>
    <w:rsid w:val="00A24961"/>
    <w:rsid w:val="00A24B10"/>
    <w:rsid w:val="00A277EF"/>
    <w:rsid w:val="00A30E9B"/>
    <w:rsid w:val="00A34BD0"/>
    <w:rsid w:val="00A37DE7"/>
    <w:rsid w:val="00A41C6D"/>
    <w:rsid w:val="00A44EE8"/>
    <w:rsid w:val="00A4512D"/>
    <w:rsid w:val="00A4518E"/>
    <w:rsid w:val="00A50244"/>
    <w:rsid w:val="00A53A04"/>
    <w:rsid w:val="00A627D7"/>
    <w:rsid w:val="00A656C7"/>
    <w:rsid w:val="00A705AF"/>
    <w:rsid w:val="00A7156E"/>
    <w:rsid w:val="00A719F6"/>
    <w:rsid w:val="00A72454"/>
    <w:rsid w:val="00A73184"/>
    <w:rsid w:val="00A75342"/>
    <w:rsid w:val="00A77696"/>
    <w:rsid w:val="00A80557"/>
    <w:rsid w:val="00A811B6"/>
    <w:rsid w:val="00A81D33"/>
    <w:rsid w:val="00A8341C"/>
    <w:rsid w:val="00A8695F"/>
    <w:rsid w:val="00A930AE"/>
    <w:rsid w:val="00AA0AA7"/>
    <w:rsid w:val="00AA1A95"/>
    <w:rsid w:val="00AA1E83"/>
    <w:rsid w:val="00AA260F"/>
    <w:rsid w:val="00AA7EE3"/>
    <w:rsid w:val="00AB0705"/>
    <w:rsid w:val="00AB1EE7"/>
    <w:rsid w:val="00AB2B2E"/>
    <w:rsid w:val="00AB3FDE"/>
    <w:rsid w:val="00AB4B37"/>
    <w:rsid w:val="00AB5762"/>
    <w:rsid w:val="00AC2679"/>
    <w:rsid w:val="00AC4432"/>
    <w:rsid w:val="00AC4BE4"/>
    <w:rsid w:val="00AC6513"/>
    <w:rsid w:val="00AD05E6"/>
    <w:rsid w:val="00AD0D3F"/>
    <w:rsid w:val="00AD2E7F"/>
    <w:rsid w:val="00AD69D0"/>
    <w:rsid w:val="00AE1D7D"/>
    <w:rsid w:val="00AE2A8B"/>
    <w:rsid w:val="00AE2FEC"/>
    <w:rsid w:val="00AE3F64"/>
    <w:rsid w:val="00AF2A34"/>
    <w:rsid w:val="00AF7386"/>
    <w:rsid w:val="00AF74D5"/>
    <w:rsid w:val="00AF7934"/>
    <w:rsid w:val="00B00B81"/>
    <w:rsid w:val="00B0215A"/>
    <w:rsid w:val="00B02DF1"/>
    <w:rsid w:val="00B04580"/>
    <w:rsid w:val="00B04B09"/>
    <w:rsid w:val="00B16A51"/>
    <w:rsid w:val="00B232C8"/>
    <w:rsid w:val="00B27A99"/>
    <w:rsid w:val="00B32222"/>
    <w:rsid w:val="00B32567"/>
    <w:rsid w:val="00B3618D"/>
    <w:rsid w:val="00B36233"/>
    <w:rsid w:val="00B409D8"/>
    <w:rsid w:val="00B42851"/>
    <w:rsid w:val="00B42D06"/>
    <w:rsid w:val="00B45350"/>
    <w:rsid w:val="00B45AC7"/>
    <w:rsid w:val="00B45C37"/>
    <w:rsid w:val="00B51147"/>
    <w:rsid w:val="00B5372F"/>
    <w:rsid w:val="00B53987"/>
    <w:rsid w:val="00B55BB2"/>
    <w:rsid w:val="00B61129"/>
    <w:rsid w:val="00B62374"/>
    <w:rsid w:val="00B650F9"/>
    <w:rsid w:val="00B67E7F"/>
    <w:rsid w:val="00B70C6C"/>
    <w:rsid w:val="00B76DB3"/>
    <w:rsid w:val="00B839B2"/>
    <w:rsid w:val="00B85E19"/>
    <w:rsid w:val="00B873A0"/>
    <w:rsid w:val="00B94252"/>
    <w:rsid w:val="00B9715A"/>
    <w:rsid w:val="00BA14BE"/>
    <w:rsid w:val="00BA25D5"/>
    <w:rsid w:val="00BA2732"/>
    <w:rsid w:val="00BA293D"/>
    <w:rsid w:val="00BA42F4"/>
    <w:rsid w:val="00BA49BC"/>
    <w:rsid w:val="00BA56B7"/>
    <w:rsid w:val="00BA7A1E"/>
    <w:rsid w:val="00BB2F6C"/>
    <w:rsid w:val="00BB3875"/>
    <w:rsid w:val="00BB3BCE"/>
    <w:rsid w:val="00BB4921"/>
    <w:rsid w:val="00BB5860"/>
    <w:rsid w:val="00BB6AAD"/>
    <w:rsid w:val="00BC02FA"/>
    <w:rsid w:val="00BC4A19"/>
    <w:rsid w:val="00BC4E6D"/>
    <w:rsid w:val="00BD0617"/>
    <w:rsid w:val="00BD0A9E"/>
    <w:rsid w:val="00BD1D77"/>
    <w:rsid w:val="00BD2E9B"/>
    <w:rsid w:val="00BD50C6"/>
    <w:rsid w:val="00BD7FB2"/>
    <w:rsid w:val="00BE33E1"/>
    <w:rsid w:val="00BE3ED5"/>
    <w:rsid w:val="00BE42C7"/>
    <w:rsid w:val="00BE7D2E"/>
    <w:rsid w:val="00BF6BB3"/>
    <w:rsid w:val="00C00930"/>
    <w:rsid w:val="00C0178D"/>
    <w:rsid w:val="00C02732"/>
    <w:rsid w:val="00C060AD"/>
    <w:rsid w:val="00C113BF"/>
    <w:rsid w:val="00C1281F"/>
    <w:rsid w:val="00C13576"/>
    <w:rsid w:val="00C16861"/>
    <w:rsid w:val="00C20BE2"/>
    <w:rsid w:val="00C2176E"/>
    <w:rsid w:val="00C23430"/>
    <w:rsid w:val="00C25E6F"/>
    <w:rsid w:val="00C2604D"/>
    <w:rsid w:val="00C26EA0"/>
    <w:rsid w:val="00C27D67"/>
    <w:rsid w:val="00C363E4"/>
    <w:rsid w:val="00C40652"/>
    <w:rsid w:val="00C40A0E"/>
    <w:rsid w:val="00C417DE"/>
    <w:rsid w:val="00C435AF"/>
    <w:rsid w:val="00C4631F"/>
    <w:rsid w:val="00C47CDE"/>
    <w:rsid w:val="00C50E16"/>
    <w:rsid w:val="00C55258"/>
    <w:rsid w:val="00C55AEB"/>
    <w:rsid w:val="00C61348"/>
    <w:rsid w:val="00C6326B"/>
    <w:rsid w:val="00C67A51"/>
    <w:rsid w:val="00C702EB"/>
    <w:rsid w:val="00C71A8A"/>
    <w:rsid w:val="00C75FA3"/>
    <w:rsid w:val="00C80020"/>
    <w:rsid w:val="00C82EEB"/>
    <w:rsid w:val="00C86468"/>
    <w:rsid w:val="00C971DC"/>
    <w:rsid w:val="00CA16B7"/>
    <w:rsid w:val="00CA1DED"/>
    <w:rsid w:val="00CA62AE"/>
    <w:rsid w:val="00CB03B8"/>
    <w:rsid w:val="00CB49DD"/>
    <w:rsid w:val="00CB5B1A"/>
    <w:rsid w:val="00CC02ED"/>
    <w:rsid w:val="00CC220B"/>
    <w:rsid w:val="00CC5C43"/>
    <w:rsid w:val="00CC6521"/>
    <w:rsid w:val="00CD02AE"/>
    <w:rsid w:val="00CD1F30"/>
    <w:rsid w:val="00CD21E2"/>
    <w:rsid w:val="00CD2A4F"/>
    <w:rsid w:val="00CD41E4"/>
    <w:rsid w:val="00CE03CA"/>
    <w:rsid w:val="00CE11CC"/>
    <w:rsid w:val="00CE22F1"/>
    <w:rsid w:val="00CE50F2"/>
    <w:rsid w:val="00CE5877"/>
    <w:rsid w:val="00CE5FA6"/>
    <w:rsid w:val="00CE6502"/>
    <w:rsid w:val="00CE6D3E"/>
    <w:rsid w:val="00CF0BE4"/>
    <w:rsid w:val="00CF1633"/>
    <w:rsid w:val="00CF21FE"/>
    <w:rsid w:val="00CF2E14"/>
    <w:rsid w:val="00CF7D3C"/>
    <w:rsid w:val="00D01F09"/>
    <w:rsid w:val="00D01F5A"/>
    <w:rsid w:val="00D03527"/>
    <w:rsid w:val="00D078C2"/>
    <w:rsid w:val="00D119F6"/>
    <w:rsid w:val="00D147EB"/>
    <w:rsid w:val="00D14DD4"/>
    <w:rsid w:val="00D20254"/>
    <w:rsid w:val="00D249EB"/>
    <w:rsid w:val="00D25A3C"/>
    <w:rsid w:val="00D27E71"/>
    <w:rsid w:val="00D34667"/>
    <w:rsid w:val="00D401E1"/>
    <w:rsid w:val="00D408B4"/>
    <w:rsid w:val="00D44330"/>
    <w:rsid w:val="00D50699"/>
    <w:rsid w:val="00D51F6D"/>
    <w:rsid w:val="00D524C8"/>
    <w:rsid w:val="00D636FD"/>
    <w:rsid w:val="00D70E24"/>
    <w:rsid w:val="00D72B61"/>
    <w:rsid w:val="00D778DC"/>
    <w:rsid w:val="00D82A7F"/>
    <w:rsid w:val="00D94697"/>
    <w:rsid w:val="00D97243"/>
    <w:rsid w:val="00DA3D1D"/>
    <w:rsid w:val="00DA5010"/>
    <w:rsid w:val="00DB2AE6"/>
    <w:rsid w:val="00DB5E28"/>
    <w:rsid w:val="00DB6286"/>
    <w:rsid w:val="00DB645F"/>
    <w:rsid w:val="00DB76E9"/>
    <w:rsid w:val="00DC02B6"/>
    <w:rsid w:val="00DC0A67"/>
    <w:rsid w:val="00DC1D5E"/>
    <w:rsid w:val="00DC2498"/>
    <w:rsid w:val="00DC5220"/>
    <w:rsid w:val="00DC7812"/>
    <w:rsid w:val="00DD2061"/>
    <w:rsid w:val="00DD31B6"/>
    <w:rsid w:val="00DD7DAB"/>
    <w:rsid w:val="00DE3355"/>
    <w:rsid w:val="00DE5C4D"/>
    <w:rsid w:val="00DE6FA5"/>
    <w:rsid w:val="00DF0C60"/>
    <w:rsid w:val="00DF486F"/>
    <w:rsid w:val="00DF5B5B"/>
    <w:rsid w:val="00DF7619"/>
    <w:rsid w:val="00E010E4"/>
    <w:rsid w:val="00E042D8"/>
    <w:rsid w:val="00E056AE"/>
    <w:rsid w:val="00E07EE7"/>
    <w:rsid w:val="00E10EB5"/>
    <w:rsid w:val="00E1103B"/>
    <w:rsid w:val="00E12430"/>
    <w:rsid w:val="00E13F21"/>
    <w:rsid w:val="00E17B44"/>
    <w:rsid w:val="00E17B48"/>
    <w:rsid w:val="00E20F27"/>
    <w:rsid w:val="00E20F50"/>
    <w:rsid w:val="00E22443"/>
    <w:rsid w:val="00E233CF"/>
    <w:rsid w:val="00E25B1F"/>
    <w:rsid w:val="00E27FEA"/>
    <w:rsid w:val="00E33511"/>
    <w:rsid w:val="00E35B07"/>
    <w:rsid w:val="00E37C62"/>
    <w:rsid w:val="00E4086F"/>
    <w:rsid w:val="00E416BD"/>
    <w:rsid w:val="00E437EC"/>
    <w:rsid w:val="00E43B3C"/>
    <w:rsid w:val="00E43DFC"/>
    <w:rsid w:val="00E46DB9"/>
    <w:rsid w:val="00E50188"/>
    <w:rsid w:val="00E50BB3"/>
    <w:rsid w:val="00E515CB"/>
    <w:rsid w:val="00E52260"/>
    <w:rsid w:val="00E538AE"/>
    <w:rsid w:val="00E61212"/>
    <w:rsid w:val="00E621B7"/>
    <w:rsid w:val="00E639B6"/>
    <w:rsid w:val="00E6434B"/>
    <w:rsid w:val="00E6463D"/>
    <w:rsid w:val="00E65F4D"/>
    <w:rsid w:val="00E6601D"/>
    <w:rsid w:val="00E6726E"/>
    <w:rsid w:val="00E71492"/>
    <w:rsid w:val="00E72E9B"/>
    <w:rsid w:val="00E7550F"/>
    <w:rsid w:val="00E76641"/>
    <w:rsid w:val="00E850C3"/>
    <w:rsid w:val="00E87DF2"/>
    <w:rsid w:val="00E90371"/>
    <w:rsid w:val="00E91536"/>
    <w:rsid w:val="00E91576"/>
    <w:rsid w:val="00E91E6A"/>
    <w:rsid w:val="00E9462E"/>
    <w:rsid w:val="00E9497D"/>
    <w:rsid w:val="00EA346E"/>
    <w:rsid w:val="00EA470E"/>
    <w:rsid w:val="00EA47A7"/>
    <w:rsid w:val="00EA57EB"/>
    <w:rsid w:val="00EA5AF9"/>
    <w:rsid w:val="00EB168D"/>
    <w:rsid w:val="00EB3226"/>
    <w:rsid w:val="00EC1500"/>
    <w:rsid w:val="00EC1BB1"/>
    <w:rsid w:val="00EC213A"/>
    <w:rsid w:val="00EC653B"/>
    <w:rsid w:val="00EC6B55"/>
    <w:rsid w:val="00EC7744"/>
    <w:rsid w:val="00ED09D8"/>
    <w:rsid w:val="00ED0DAD"/>
    <w:rsid w:val="00ED0F46"/>
    <w:rsid w:val="00ED2373"/>
    <w:rsid w:val="00ED24F9"/>
    <w:rsid w:val="00ED2E38"/>
    <w:rsid w:val="00ED6CD2"/>
    <w:rsid w:val="00EE3E8A"/>
    <w:rsid w:val="00EE5357"/>
    <w:rsid w:val="00EE5FEB"/>
    <w:rsid w:val="00EF2C08"/>
    <w:rsid w:val="00EF4B45"/>
    <w:rsid w:val="00EF58B8"/>
    <w:rsid w:val="00EF6ECA"/>
    <w:rsid w:val="00F01605"/>
    <w:rsid w:val="00F024E1"/>
    <w:rsid w:val="00F03D87"/>
    <w:rsid w:val="00F06C10"/>
    <w:rsid w:val="00F06DEA"/>
    <w:rsid w:val="00F1096F"/>
    <w:rsid w:val="00F12589"/>
    <w:rsid w:val="00F12595"/>
    <w:rsid w:val="00F134D9"/>
    <w:rsid w:val="00F1403D"/>
    <w:rsid w:val="00F1463F"/>
    <w:rsid w:val="00F14EA0"/>
    <w:rsid w:val="00F177E6"/>
    <w:rsid w:val="00F21302"/>
    <w:rsid w:val="00F21BEE"/>
    <w:rsid w:val="00F2430D"/>
    <w:rsid w:val="00F321DE"/>
    <w:rsid w:val="00F33777"/>
    <w:rsid w:val="00F3692D"/>
    <w:rsid w:val="00F40648"/>
    <w:rsid w:val="00F4319A"/>
    <w:rsid w:val="00F47DA2"/>
    <w:rsid w:val="00F51321"/>
    <w:rsid w:val="00F519FC"/>
    <w:rsid w:val="00F6239D"/>
    <w:rsid w:val="00F715D2"/>
    <w:rsid w:val="00F7274F"/>
    <w:rsid w:val="00F74E84"/>
    <w:rsid w:val="00F7615B"/>
    <w:rsid w:val="00F76ED3"/>
    <w:rsid w:val="00F76FA8"/>
    <w:rsid w:val="00F80779"/>
    <w:rsid w:val="00F82EA1"/>
    <w:rsid w:val="00F85AFE"/>
    <w:rsid w:val="00F86B99"/>
    <w:rsid w:val="00F87764"/>
    <w:rsid w:val="00F93F08"/>
    <w:rsid w:val="00F94CED"/>
    <w:rsid w:val="00FA02BB"/>
    <w:rsid w:val="00FA2CEE"/>
    <w:rsid w:val="00FA318C"/>
    <w:rsid w:val="00FA5CB1"/>
    <w:rsid w:val="00FB3661"/>
    <w:rsid w:val="00FB6452"/>
    <w:rsid w:val="00FB6F92"/>
    <w:rsid w:val="00FC026E"/>
    <w:rsid w:val="00FC4B5E"/>
    <w:rsid w:val="00FC5124"/>
    <w:rsid w:val="00FC6CA2"/>
    <w:rsid w:val="00FD0155"/>
    <w:rsid w:val="00FD4731"/>
    <w:rsid w:val="00FD6768"/>
    <w:rsid w:val="00FF0AB0"/>
    <w:rsid w:val="00FF28AC"/>
    <w:rsid w:val="00FF2DAD"/>
    <w:rsid w:val="00FF32F0"/>
    <w:rsid w:val="00FF5AB5"/>
    <w:rsid w:val="00FF777D"/>
    <w:rsid w:val="00FF7F62"/>
    <w:rsid w:val="06D43151"/>
    <w:rsid w:val="1ECE4356"/>
    <w:rsid w:val="37A8CB26"/>
    <w:rsid w:val="6E351CC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
      </w:numPr>
    </w:pPr>
  </w:style>
  <w:style w:type="paragraph" w:styleId="ListNumber2">
    <w:name w:val="List Number 2"/>
    <w:basedOn w:val="ListBullet"/>
    <w:qFormat/>
    <w:rsid w:val="00A719F6"/>
    <w:pPr>
      <w:numPr>
        <w:numId w:val="1"/>
      </w:numPr>
    </w:pPr>
  </w:style>
  <w:style w:type="paragraph" w:styleId="ListBullet">
    <w:name w:val="List Bullet"/>
    <w:basedOn w:val="Normal"/>
    <w:qFormat/>
    <w:rsid w:val="006F5073"/>
    <w:pPr>
      <w:numPr>
        <w:numId w:val="6"/>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4"/>
      </w:numPr>
    </w:pPr>
    <w:rPr>
      <w:szCs w:val="20"/>
    </w:rPr>
  </w:style>
  <w:style w:type="paragraph" w:customStyle="1" w:styleId="Tablelistnumber">
    <w:name w:val="Table list number"/>
    <w:basedOn w:val="Tabletextleft"/>
    <w:qFormat/>
    <w:rsid w:val="00A719F6"/>
    <w:pPr>
      <w:numPr>
        <w:numId w:val="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列"/>
    <w:basedOn w:val="Normal"/>
    <w:link w:val="ListParagraphChar"/>
    <w:uiPriority w:val="34"/>
    <w:qFormat/>
    <w:rsid w:val="005920E7"/>
    <w:pPr>
      <w:ind w:left="720"/>
      <w:contextualSpacing/>
    </w:pPr>
  </w:style>
  <w:style w:type="character" w:styleId="CommentReference">
    <w:name w:val="annotation reference"/>
    <w:basedOn w:val="DefaultParagraphFont"/>
    <w:semiHidden/>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1"/>
    <w:qFormat/>
    <w:locked/>
    <w:rsid w:val="00A73184"/>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62039">
      <w:bodyDiv w:val="1"/>
      <w:marLeft w:val="0"/>
      <w:marRight w:val="0"/>
      <w:marTop w:val="0"/>
      <w:marBottom w:val="0"/>
      <w:divBdr>
        <w:top w:val="none" w:sz="0" w:space="0" w:color="auto"/>
        <w:left w:val="none" w:sz="0" w:space="0" w:color="auto"/>
        <w:bottom w:val="none" w:sz="0" w:space="0" w:color="auto"/>
        <w:right w:val="none" w:sz="0" w:space="0" w:color="auto"/>
      </w:divBdr>
    </w:div>
    <w:div w:id="223029450">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684136281">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16852326">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97166566">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71037146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882014351">
      <w:bodyDiv w:val="1"/>
      <w:marLeft w:val="0"/>
      <w:marRight w:val="0"/>
      <w:marTop w:val="0"/>
      <w:marBottom w:val="0"/>
      <w:divBdr>
        <w:top w:val="none" w:sz="0" w:space="0" w:color="auto"/>
        <w:left w:val="none" w:sz="0" w:space="0" w:color="auto"/>
        <w:bottom w:val="none" w:sz="0" w:space="0" w:color="auto"/>
        <w:right w:val="none" w:sz="0" w:space="0" w:color="auto"/>
      </w:divBdr>
    </w:div>
    <w:div w:id="1979795198">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gov.au/medicine/item/14051M-14338P-14509P-14662Q-14666X-14671E-14673G-14680P-14681Q-1706T-1724R-2422L-2427R-5039F-5041H" TargetMode="External"/><Relationship Id="rId13" Type="http://schemas.openxmlformats.org/officeDocument/2006/relationships/hyperlink" Target="https://www.health.gov.au/topics/medicare/compliance" TargetMode="External"/><Relationship Id="rId18" Type="http://schemas.openxmlformats.org/officeDocument/2006/relationships/hyperlink" Target="https://www.health.gov.au/resources/collections/private-health-insurance-clinical-category-and-procedure-type?language=en"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servicesaustralia.gov.au/organisations/health-professionals/news/all" TargetMode="External"/><Relationship Id="rId7" Type="http://schemas.openxmlformats.org/officeDocument/2006/relationships/endnotes" Target="endnotes.xml"/><Relationship Id="rId12" Type="http://schemas.openxmlformats.org/officeDocument/2006/relationships/hyperlink" Target="https://www.legislation.gov.au/Series/F2017L01291" TargetMode="External"/><Relationship Id="rId17" Type="http://schemas.openxmlformats.org/officeDocument/2006/relationships/hyperlink" Target="https://www.privatehealth.gov.au/health_insurance/phichanges/index.ht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askMBS@health.gov.au" TargetMode="External"/><Relationship Id="rId20" Type="http://schemas.openxmlformats.org/officeDocument/2006/relationships/hyperlink" Target="mailto:PHI@health.gov.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sac.gov.au/"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9.health.gov.au/mbs/subscribe.cfm"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www.msac.gov.au/internet/msac/publishing.nsf/Content/application-page" TargetMode="External"/><Relationship Id="rId19" Type="http://schemas.openxmlformats.org/officeDocument/2006/relationships/hyperlink" Target="https://www.legislation.gov.au" TargetMode="External"/><Relationship Id="rId4" Type="http://schemas.openxmlformats.org/officeDocument/2006/relationships/settings" Target="settings.xml"/><Relationship Id="rId9" Type="http://schemas.openxmlformats.org/officeDocument/2006/relationships/hyperlink" Target="https://www.pbs.gov.au/medicine/item/13935K-8586X" TargetMode="External"/><Relationship Id="rId14" Type="http://schemas.openxmlformats.org/officeDocument/2006/relationships/hyperlink" Target="https://www.mbsonline.gov.au/" TargetMode="External"/><Relationship Id="rId22" Type="http://schemas.openxmlformats.org/officeDocument/2006/relationships/hyperlink" Target="https://www.mbsonline.gov.au/internet/mbsonline/publishing.nsf/Content/downloads" TargetMode="Externa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2036</Words>
  <Characters>11606</Characters>
  <Application>Microsoft Office Word</Application>
  <DocSecurity>0</DocSecurity>
  <Lines>96</Lines>
  <Paragraphs>27</Paragraphs>
  <ScaleCrop>false</ScaleCrop>
  <Company/>
  <LinksUpToDate>false</LinksUpToDate>
  <CharactersWithSpaces>13615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2026-06-02T05:44:00Z</dcterms:created>
  <dcterms:modified xsi:type="dcterms:W3CDTF">2026-06-02T05:44:00Z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67097472,6df10993,71d02e6d</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6391570a,698d6,2025611c</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2026-06-02T05:43:41Z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933636b4-1e88-4a87-aab7-300996172f40</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