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7FFDD64" w:rsidR="00BA2732" w:rsidRDefault="00D94E09" w:rsidP="003D033A">
      <w:pPr>
        <w:pStyle w:val="Title"/>
      </w:pPr>
      <w:r>
        <w:t xml:space="preserve">Amendments to electrocardiogram items 11707 and 11714 </w:t>
      </w:r>
    </w:p>
    <w:p w14:paraId="6EFD4B5B" w14:textId="21408489" w:rsidR="00064168" w:rsidRDefault="00064168" w:rsidP="006F5073">
      <w:bookmarkStart w:id="0" w:name="_Hlk4568006"/>
      <w:r w:rsidRPr="00867595">
        <w:t xml:space="preserve">Last updated: </w:t>
      </w:r>
      <w:r w:rsidR="00195B41">
        <w:t>2</w:t>
      </w:r>
      <w:r w:rsidR="007D65B1">
        <w:t>7</w:t>
      </w:r>
      <w:r w:rsidR="00B37458">
        <w:t xml:space="preserve"> </w:t>
      </w:r>
      <w:r w:rsidR="000D774A">
        <w:t>February</w:t>
      </w:r>
      <w:r w:rsidR="00250C4D">
        <w:t xml:space="preserve"> 2026</w:t>
      </w:r>
    </w:p>
    <w:bookmarkEnd w:id="0"/>
    <w:p w14:paraId="7F88D4DD" w14:textId="2115CC86" w:rsidR="00064168" w:rsidRPr="006F5073" w:rsidRDefault="00D42A16" w:rsidP="006F5073">
      <w:pPr>
        <w:pStyle w:val="ListBullet"/>
      </w:pPr>
      <w:r w:rsidRPr="00D42A16">
        <w:t>From</w:t>
      </w:r>
      <w:r>
        <w:rPr>
          <w:b/>
          <w:bCs/>
        </w:rPr>
        <w:t xml:space="preserve"> </w:t>
      </w:r>
      <w:r w:rsidR="657764D0" w:rsidRPr="0081067E">
        <w:rPr>
          <w:b/>
          <w:bCs/>
        </w:rPr>
        <w:t xml:space="preserve">1 </w:t>
      </w:r>
      <w:r w:rsidR="35AB368A" w:rsidRPr="0081067E">
        <w:rPr>
          <w:b/>
          <w:bCs/>
        </w:rPr>
        <w:t>March 2026</w:t>
      </w:r>
      <w:r w:rsidR="657764D0">
        <w:t xml:space="preserve"> </w:t>
      </w:r>
      <w:r w:rsidR="00A65166">
        <w:t>Medicare Benefits Schedule (</w:t>
      </w:r>
      <w:r w:rsidR="6FFC4BE1">
        <w:t>MBS</w:t>
      </w:r>
      <w:r w:rsidR="00A65166">
        <w:t>)</w:t>
      </w:r>
      <w:r w:rsidR="6FFC4BE1">
        <w:t xml:space="preserve"> items</w:t>
      </w:r>
      <w:r w:rsidR="657764D0">
        <w:t xml:space="preserve"> 11707 and </w:t>
      </w:r>
      <w:bookmarkStart w:id="1" w:name="_Hlk204675938"/>
      <w:r w:rsidR="657764D0">
        <w:t>11714</w:t>
      </w:r>
      <w:bookmarkEnd w:id="1"/>
      <w:r w:rsidR="6FFC4BE1">
        <w:t xml:space="preserve"> for </w:t>
      </w:r>
      <w:r w:rsidR="00C162CA">
        <w:t>electrocardiogram (</w:t>
      </w:r>
      <w:r w:rsidR="00000F6C">
        <w:t>ECG</w:t>
      </w:r>
      <w:r w:rsidR="00C162CA">
        <w:t>)</w:t>
      </w:r>
      <w:r w:rsidR="0023472D">
        <w:t xml:space="preserve"> </w:t>
      </w:r>
      <w:r w:rsidR="657764D0">
        <w:t>testing</w:t>
      </w:r>
      <w:r w:rsidR="6FFC4BE1">
        <w:t xml:space="preserve"> are changing to ensure patients with </w:t>
      </w:r>
      <w:r w:rsidR="657764D0">
        <w:t xml:space="preserve">heart </w:t>
      </w:r>
      <w:r w:rsidR="6FFC4BE1">
        <w:t>condition</w:t>
      </w:r>
      <w:r w:rsidR="657764D0">
        <w:t>s</w:t>
      </w:r>
      <w:r w:rsidR="6FFC4BE1">
        <w:t xml:space="preserve"> </w:t>
      </w:r>
      <w:r w:rsidR="35AB368A">
        <w:t>have</w:t>
      </w:r>
      <w:r w:rsidR="6FFC4BE1">
        <w:t xml:space="preserve"> </w:t>
      </w:r>
      <w:r w:rsidR="657764D0">
        <w:t xml:space="preserve">better </w:t>
      </w:r>
      <w:r w:rsidR="35AB368A">
        <w:t>a</w:t>
      </w:r>
      <w:r w:rsidR="657764D0">
        <w:t xml:space="preserve">ccess </w:t>
      </w:r>
      <w:r w:rsidR="35AB368A">
        <w:t xml:space="preserve">to </w:t>
      </w:r>
      <w:r w:rsidR="657764D0">
        <w:t xml:space="preserve">ECG </w:t>
      </w:r>
      <w:r w:rsidR="124F44F6">
        <w:t>services</w:t>
      </w:r>
      <w:r w:rsidR="657764D0">
        <w:t xml:space="preserve">, especially in a </w:t>
      </w:r>
      <w:r w:rsidR="35AB368A">
        <w:t>p</w:t>
      </w:r>
      <w:r w:rsidR="657764D0">
        <w:t xml:space="preserve">rimary </w:t>
      </w:r>
      <w:r w:rsidR="35AB368A">
        <w:t>c</w:t>
      </w:r>
      <w:r w:rsidR="657764D0">
        <w:t>are setting.</w:t>
      </w:r>
    </w:p>
    <w:p w14:paraId="63FE60C7" w14:textId="12D01652" w:rsidR="009B4E52" w:rsidRPr="009B4E52" w:rsidRDefault="009B4E52" w:rsidP="009B4E52">
      <w:pPr>
        <w:pStyle w:val="ListBullet"/>
      </w:pPr>
      <w:r w:rsidRPr="0081067E">
        <w:t xml:space="preserve">These changes are relevant for medical practitioners, including prescribed medical practitioners (PMPs), </w:t>
      </w:r>
      <w:r w:rsidR="003851D7">
        <w:t>general practitioners (</w:t>
      </w:r>
      <w:r w:rsidRPr="0081067E">
        <w:t>GPs</w:t>
      </w:r>
      <w:r w:rsidR="003851D7">
        <w:t>)</w:t>
      </w:r>
      <w:r w:rsidRPr="0081067E">
        <w:t xml:space="preserve">, </w:t>
      </w:r>
      <w:r w:rsidR="003D62ED">
        <w:t xml:space="preserve">and </w:t>
      </w:r>
      <w:r w:rsidRPr="0081067E">
        <w:t xml:space="preserve">specialists and cardiologists, who render ECGs. </w:t>
      </w:r>
    </w:p>
    <w:p w14:paraId="24C2D88B" w14:textId="42DD213F" w:rsidR="00064168" w:rsidRPr="00867595" w:rsidRDefault="00403AA0" w:rsidP="006F5073">
      <w:pPr>
        <w:pStyle w:val="ListBullet"/>
      </w:pPr>
      <w:r>
        <w:t xml:space="preserve">The change will </w:t>
      </w:r>
      <w:r w:rsidR="00AE0841">
        <w:t xml:space="preserve">expand the availability </w:t>
      </w:r>
      <w:r w:rsidR="00A412B4">
        <w:t xml:space="preserve">of </w:t>
      </w:r>
      <w:r w:rsidR="00AE0841">
        <w:t xml:space="preserve">ECG </w:t>
      </w:r>
      <w:r w:rsidR="00001F47">
        <w:t>services (11714)</w:t>
      </w:r>
      <w:r w:rsidR="00AE0841">
        <w:t xml:space="preserve"> </w:t>
      </w:r>
      <w:r w:rsidR="00490F0F">
        <w:t>to</w:t>
      </w:r>
      <w:r w:rsidR="00425AB9">
        <w:t xml:space="preserve"> </w:t>
      </w:r>
      <w:r w:rsidR="00811A25">
        <w:t>PMPs and GPs</w:t>
      </w:r>
      <w:r w:rsidR="00490F0F">
        <w:t>, subsequently increasing access to cardiac services for patients.</w:t>
      </w:r>
    </w:p>
    <w:p w14:paraId="44460BF5" w14:textId="29A2ED51" w:rsidR="00064168" w:rsidRPr="00867595" w:rsidRDefault="00064168" w:rsidP="00064168">
      <w:pPr>
        <w:pStyle w:val="Heading2"/>
      </w:pPr>
      <w:r w:rsidRPr="00867595">
        <w:t>What are the changes?</w:t>
      </w:r>
    </w:p>
    <w:p w14:paraId="4E459E9A" w14:textId="20B26253" w:rsidR="00064168" w:rsidRPr="00867595" w:rsidRDefault="008E285A" w:rsidP="00064168">
      <w:r>
        <w:t>From</w:t>
      </w:r>
      <w:r w:rsidR="00064168">
        <w:t xml:space="preserve"> </w:t>
      </w:r>
      <w:r w:rsidR="00C65963" w:rsidRPr="7C12E4BD">
        <w:rPr>
          <w:b/>
          <w:bCs/>
        </w:rPr>
        <w:t xml:space="preserve">1 </w:t>
      </w:r>
      <w:r w:rsidR="00490F0F" w:rsidRPr="7C12E4BD">
        <w:rPr>
          <w:b/>
          <w:bCs/>
        </w:rPr>
        <w:t>March</w:t>
      </w:r>
      <w:r w:rsidR="00C65963" w:rsidRPr="7C12E4BD">
        <w:rPr>
          <w:b/>
          <w:bCs/>
        </w:rPr>
        <w:t xml:space="preserve"> 202</w:t>
      </w:r>
      <w:r w:rsidR="00490F0F" w:rsidRPr="7C12E4BD">
        <w:rPr>
          <w:b/>
          <w:bCs/>
        </w:rPr>
        <w:t>6</w:t>
      </w:r>
      <w:r w:rsidR="00064168">
        <w:t>, the</w:t>
      </w:r>
      <w:r w:rsidR="00490F0F">
        <w:t xml:space="preserve"> </w:t>
      </w:r>
      <w:r w:rsidR="00C65963">
        <w:t>descriptor</w:t>
      </w:r>
      <w:r w:rsidR="00490F0F">
        <w:t>s</w:t>
      </w:r>
      <w:r w:rsidR="00C65963">
        <w:t xml:space="preserve"> </w:t>
      </w:r>
      <w:r w:rsidR="00064168">
        <w:t xml:space="preserve">for items </w:t>
      </w:r>
      <w:r w:rsidR="00F23FEA">
        <w:t>1</w:t>
      </w:r>
      <w:r w:rsidR="00B16E54">
        <w:t>1</w:t>
      </w:r>
      <w:r w:rsidR="00F23FEA">
        <w:t>707 and 17714</w:t>
      </w:r>
      <w:r w:rsidR="00490F0F">
        <w:t xml:space="preserve"> will be amended to specify</w:t>
      </w:r>
      <w:r w:rsidR="00064168">
        <w:t>:</w:t>
      </w:r>
    </w:p>
    <w:p w14:paraId="3CE63C8B" w14:textId="0DC5226F" w:rsidR="00064168" w:rsidRDefault="00B16E54" w:rsidP="006F5073">
      <w:pPr>
        <w:pStyle w:val="ListBullet"/>
      </w:pPr>
      <w:r>
        <w:t>I</w:t>
      </w:r>
      <w:r w:rsidR="00573292">
        <w:t xml:space="preserve">tem 11707 </w:t>
      </w:r>
      <w:r w:rsidR="00490F0F">
        <w:t>will be</w:t>
      </w:r>
      <w:r w:rsidR="001143C9">
        <w:t xml:space="preserve"> </w:t>
      </w:r>
      <w:r w:rsidR="00490F0F">
        <w:t>claimed</w:t>
      </w:r>
      <w:r w:rsidR="001143C9">
        <w:t xml:space="preserve"> </w:t>
      </w:r>
      <w:r w:rsidR="007902CA" w:rsidRPr="007902CA">
        <w:t xml:space="preserve">when a </w:t>
      </w:r>
      <w:r w:rsidR="00F47B32">
        <w:t>medical practitioner</w:t>
      </w:r>
      <w:r w:rsidR="00AA48F6">
        <w:t xml:space="preserve"> </w:t>
      </w:r>
      <w:r w:rsidR="007902CA" w:rsidRPr="007902CA">
        <w:t>has undertaken a trace for the purpose of forwarding to a specialist or consultant physician for a formal report</w:t>
      </w:r>
      <w:r w:rsidR="00647FAB">
        <w:t>.</w:t>
      </w:r>
    </w:p>
    <w:p w14:paraId="0216358E" w14:textId="080DF4BE" w:rsidR="001143C9" w:rsidRDefault="00B16E54" w:rsidP="006F5073">
      <w:pPr>
        <w:pStyle w:val="ListBullet"/>
      </w:pPr>
      <w:r>
        <w:t>I</w:t>
      </w:r>
      <w:r w:rsidR="001143C9">
        <w:t>tem 1</w:t>
      </w:r>
      <w:r w:rsidR="00D813BC">
        <w:t>1</w:t>
      </w:r>
      <w:r w:rsidR="001143C9">
        <w:t xml:space="preserve">714 </w:t>
      </w:r>
      <w:r w:rsidR="00490F0F">
        <w:t xml:space="preserve">will be </w:t>
      </w:r>
      <w:r w:rsidR="00B508DC">
        <w:t>claim</w:t>
      </w:r>
      <w:r w:rsidR="00490F0F">
        <w:t>ed</w:t>
      </w:r>
      <w:r w:rsidR="00B508DC">
        <w:t xml:space="preserve"> by </w:t>
      </w:r>
      <w:r w:rsidR="00B508DC" w:rsidRPr="00A5441A">
        <w:t>any</w:t>
      </w:r>
      <w:r w:rsidR="001143C9" w:rsidRPr="00A5441A">
        <w:t xml:space="preserve"> medical practitioner</w:t>
      </w:r>
      <w:r>
        <w:t xml:space="preserve"> including general practitioners,</w:t>
      </w:r>
      <w:r w:rsidR="001143C9">
        <w:t xml:space="preserve"> specialists and consultant physicians.</w:t>
      </w:r>
    </w:p>
    <w:p w14:paraId="361C93ED" w14:textId="7672BF0C" w:rsidR="0014223F" w:rsidRDefault="0014223F">
      <w:pPr>
        <w:pStyle w:val="ListBullet"/>
      </w:pPr>
      <w:r>
        <w:t>For private insurance purposes, clinical categories and procedure types remain the same</w:t>
      </w:r>
      <w:r w:rsidR="00234CB9">
        <w:t>.</w:t>
      </w:r>
    </w:p>
    <w:p w14:paraId="2960806A" w14:textId="77777777" w:rsidR="00D947EF" w:rsidRPr="00D947EF" w:rsidRDefault="00D947EF" w:rsidP="00B37458">
      <w:pPr>
        <w:pStyle w:val="ListBullet"/>
        <w:numPr>
          <w:ilvl w:val="0"/>
          <w:numId w:val="0"/>
        </w:numPr>
        <w:ind w:left="360" w:firstLine="360"/>
        <w:rPr>
          <w:b/>
          <w:bCs/>
        </w:rPr>
      </w:pPr>
      <w:r w:rsidRPr="00D947EF">
        <w:t>Private Health Insurance Classification:</w:t>
      </w:r>
    </w:p>
    <w:p w14:paraId="762B27D0" w14:textId="77777777" w:rsidR="00D947EF" w:rsidRPr="00D947EF" w:rsidRDefault="00D947EF" w:rsidP="00B37458">
      <w:pPr>
        <w:pStyle w:val="ListBullet"/>
        <w:numPr>
          <w:ilvl w:val="0"/>
          <w:numId w:val="0"/>
        </w:numPr>
        <w:ind w:left="720" w:firstLine="720"/>
        <w:rPr>
          <w:b/>
          <w:bCs/>
        </w:rPr>
      </w:pPr>
      <w:r w:rsidRPr="00D947EF">
        <w:t>Clinical category: N/a – Not hospital treatment</w:t>
      </w:r>
    </w:p>
    <w:p w14:paraId="2B072051" w14:textId="07234C0B" w:rsidR="00D42A16" w:rsidRDefault="00D947EF" w:rsidP="00B11A37">
      <w:pPr>
        <w:pStyle w:val="ListBullet"/>
        <w:numPr>
          <w:ilvl w:val="0"/>
          <w:numId w:val="0"/>
        </w:numPr>
        <w:ind w:left="720" w:firstLine="720"/>
        <w:rPr>
          <w:rFonts w:cs="Arial"/>
          <w:b/>
          <w:bCs/>
          <w:iCs/>
          <w:color w:val="358189"/>
          <w:sz w:val="36"/>
          <w:szCs w:val="28"/>
        </w:rPr>
      </w:pPr>
      <w:r w:rsidRPr="00D947EF">
        <w:t>Procedure type: N/a - Not hospital treatment</w:t>
      </w:r>
    </w:p>
    <w:p w14:paraId="42BD5171" w14:textId="25E05AC6" w:rsidR="00064168" w:rsidRDefault="00064168" w:rsidP="00064168">
      <w:pPr>
        <w:pStyle w:val="Heading2"/>
      </w:pPr>
      <w:r>
        <w:t>Why are the changes being made?</w:t>
      </w:r>
    </w:p>
    <w:p w14:paraId="4B7BA53A" w14:textId="0B21107D" w:rsidR="00064168" w:rsidRPr="00867595" w:rsidRDefault="6FFC4BE1" w:rsidP="00064168">
      <w:bookmarkStart w:id="2" w:name="_Hlk535386664"/>
      <w:r>
        <w:t>These changes are a result o</w:t>
      </w:r>
      <w:r w:rsidR="6CC6232E">
        <w:t>f</w:t>
      </w:r>
      <w:r>
        <w:t xml:space="preserve"> </w:t>
      </w:r>
      <w:r w:rsidR="6597A493">
        <w:t xml:space="preserve">the second MBS Review Advisory Committee post-implementation </w:t>
      </w:r>
      <w:r>
        <w:t>review</w:t>
      </w:r>
      <w:r w:rsidR="6597A493">
        <w:t xml:space="preserve"> of the 1 August 2020 changes made to the MBS items for electrocardiogram services. The review was </w:t>
      </w:r>
      <w:r>
        <w:t xml:space="preserve">informed by </w:t>
      </w:r>
      <w:r w:rsidR="3E75A0DE">
        <w:t>the</w:t>
      </w:r>
      <w:r>
        <w:t xml:space="preserve"> </w:t>
      </w:r>
      <w:r w:rsidR="3E75A0DE">
        <w:t>Electrocardiogram Working Gro</w:t>
      </w:r>
      <w:r w:rsidR="00120EF7">
        <w:t>u</w:t>
      </w:r>
      <w:r w:rsidR="3E75A0DE">
        <w:t>p</w:t>
      </w:r>
      <w:r w:rsidR="00735A81">
        <w:t xml:space="preserve"> (the Working Group)</w:t>
      </w:r>
      <w:r>
        <w:t>. More information about the</w:t>
      </w:r>
      <w:r w:rsidR="3E75A0DE">
        <w:t xml:space="preserve"> </w:t>
      </w:r>
      <w:r w:rsidR="400F35E6">
        <w:t>overarching MBS Review</w:t>
      </w:r>
      <w:r>
        <w:t xml:space="preserve"> Taskforce</w:t>
      </w:r>
      <w:r w:rsidR="00FC2371">
        <w:t xml:space="preserve"> (the ‘Taskforce’)</w:t>
      </w:r>
      <w:r>
        <w:t xml:space="preserve"> and associated Committees is available in </w:t>
      </w:r>
      <w:hyperlink r:id="rId8">
        <w:r w:rsidR="55849137" w:rsidRPr="17D98534">
          <w:rPr>
            <w:rStyle w:val="Hyperlink"/>
          </w:rPr>
          <w:t>Medicare Benefits Schedule Review</w:t>
        </w:r>
      </w:hyperlink>
      <w:r>
        <w:t xml:space="preserve"> in the consumer section of the</w:t>
      </w:r>
      <w:r w:rsidR="2926E778">
        <w:t xml:space="preserve"> </w:t>
      </w:r>
      <w:hyperlink r:id="rId9">
        <w:r w:rsidR="2926E778" w:rsidRPr="17D98534">
          <w:rPr>
            <w:rStyle w:val="Hyperlink"/>
          </w:rPr>
          <w:t>Department of</w:t>
        </w:r>
        <w:r w:rsidR="0033246C">
          <w:rPr>
            <w:rStyle w:val="Hyperlink"/>
          </w:rPr>
          <w:t xml:space="preserve"> Health, Disability and Ageing </w:t>
        </w:r>
        <w:r w:rsidR="007D1220">
          <w:rPr>
            <w:rStyle w:val="Hyperlink"/>
          </w:rPr>
          <w:t>(the department’s)</w:t>
        </w:r>
        <w:r w:rsidR="2926E778" w:rsidRPr="17D98534">
          <w:rPr>
            <w:rStyle w:val="Hyperlink"/>
          </w:rPr>
          <w:t xml:space="preserve"> website</w:t>
        </w:r>
      </w:hyperlink>
      <w:r>
        <w:t xml:space="preserve">. </w:t>
      </w:r>
    </w:p>
    <w:p w14:paraId="617E7397" w14:textId="6EC5BEA2" w:rsidR="00064168" w:rsidRPr="00867595" w:rsidRDefault="6FFC4BE1" w:rsidP="37A8CB26">
      <w:pPr>
        <w:rPr>
          <w:rStyle w:val="Hyperlink"/>
        </w:rPr>
      </w:pPr>
      <w:r>
        <w:t xml:space="preserve">A full copy of the </w:t>
      </w:r>
      <w:r w:rsidR="7F39A255">
        <w:t>Working Group</w:t>
      </w:r>
      <w:r>
        <w:t>'s final report can be found in the</w:t>
      </w:r>
      <w:r w:rsidRPr="17D98534">
        <w:rPr>
          <w:rStyle w:val="Strong"/>
        </w:rPr>
        <w:t xml:space="preserve"> </w:t>
      </w:r>
      <w:hyperlink r:id="rId10">
        <w:r w:rsidR="7F8546D0" w:rsidRPr="17D98534">
          <w:rPr>
            <w:rStyle w:val="Hyperlink"/>
          </w:rPr>
          <w:t>Final Report</w:t>
        </w:r>
      </w:hyperlink>
      <w:r w:rsidR="3EDD4CA8" w:rsidRPr="17D98534">
        <w:rPr>
          <w:rStyle w:val="Strong"/>
        </w:rPr>
        <w:t xml:space="preserve"> </w:t>
      </w:r>
      <w:r>
        <w:t xml:space="preserve">section of the </w:t>
      </w:r>
      <w:hyperlink r:id="rId11" w:history="1">
        <w:r w:rsidR="007D1220">
          <w:rPr>
            <w:rStyle w:val="Hyperlink"/>
          </w:rPr>
          <w:t>department’s website</w:t>
        </w:r>
      </w:hyperlink>
      <w:r w:rsidR="007D1220">
        <w:t xml:space="preserve">. </w:t>
      </w:r>
      <w:bookmarkEnd w:id="2"/>
    </w:p>
    <w:p w14:paraId="4B2559AC" w14:textId="065535C2" w:rsidR="00064168" w:rsidRDefault="00064168" w:rsidP="00064168">
      <w:pPr>
        <w:pStyle w:val="Heading2"/>
      </w:pPr>
      <w:r>
        <w:lastRenderedPageBreak/>
        <w:t>What does this mean for providers?</w:t>
      </w:r>
    </w:p>
    <w:p w14:paraId="0C6CF837" w14:textId="6CC42C56" w:rsidR="001E59EF" w:rsidRDefault="001E59EF" w:rsidP="0021129C">
      <w:pPr>
        <w:rPr>
          <w:szCs w:val="22"/>
        </w:rPr>
      </w:pPr>
      <w:r w:rsidRPr="001E59EF">
        <w:rPr>
          <w:szCs w:val="22"/>
        </w:rPr>
        <w:t>Specialists were claiming MBS item 11704 for trace and report</w:t>
      </w:r>
      <w:r w:rsidR="0093211A">
        <w:rPr>
          <w:szCs w:val="22"/>
        </w:rPr>
        <w:t xml:space="preserve"> (in a </w:t>
      </w:r>
      <w:r w:rsidR="00281FEB">
        <w:rPr>
          <w:szCs w:val="22"/>
        </w:rPr>
        <w:t>third-party</w:t>
      </w:r>
      <w:r w:rsidR="0093211A">
        <w:rPr>
          <w:szCs w:val="22"/>
        </w:rPr>
        <w:t xml:space="preserve"> capacity</w:t>
      </w:r>
      <w:r w:rsidR="00AB75BB">
        <w:rPr>
          <w:szCs w:val="22"/>
        </w:rPr>
        <w:t>)</w:t>
      </w:r>
      <w:r w:rsidRPr="001E59EF">
        <w:rPr>
          <w:szCs w:val="22"/>
        </w:rPr>
        <w:t>, MBS item 11705 for report only, and MBS item 11714 for trace and interpretation/clinical note</w:t>
      </w:r>
      <w:r>
        <w:rPr>
          <w:szCs w:val="22"/>
        </w:rPr>
        <w:t>.</w:t>
      </w:r>
      <w:r w:rsidRPr="001E59EF">
        <w:rPr>
          <w:szCs w:val="22"/>
        </w:rPr>
        <w:t xml:space="preserve"> GPs were only </w:t>
      </w:r>
      <w:r w:rsidR="00AB75BB">
        <w:rPr>
          <w:szCs w:val="22"/>
        </w:rPr>
        <w:t xml:space="preserve">permitted to </w:t>
      </w:r>
      <w:r w:rsidRPr="001E59EF">
        <w:rPr>
          <w:szCs w:val="22"/>
        </w:rPr>
        <w:t xml:space="preserve">access MBS item 11707 for trace (without a report), which only required a level of interpretation to direct immediate clinical decision making. </w:t>
      </w:r>
    </w:p>
    <w:p w14:paraId="3A237036" w14:textId="77777777" w:rsidR="00E96760" w:rsidRDefault="002B6497" w:rsidP="00E96760">
      <w:pPr>
        <w:rPr>
          <w:szCs w:val="22"/>
        </w:rPr>
      </w:pPr>
      <w:r w:rsidRPr="002B6497">
        <w:rPr>
          <w:szCs w:val="22"/>
        </w:rPr>
        <w:t xml:space="preserve">The </w:t>
      </w:r>
      <w:r w:rsidR="0021129C" w:rsidRPr="00F47137">
        <w:rPr>
          <w:szCs w:val="22"/>
        </w:rPr>
        <w:t xml:space="preserve">amendments to ECG items </w:t>
      </w:r>
      <w:r w:rsidR="00E96760">
        <w:rPr>
          <w:szCs w:val="22"/>
        </w:rPr>
        <w:t>specify:</w:t>
      </w:r>
    </w:p>
    <w:p w14:paraId="2C4C5893" w14:textId="741D1F3C" w:rsidR="00E96760" w:rsidRPr="00DE07FC" w:rsidRDefault="35A25A09" w:rsidP="00E96760">
      <w:pPr>
        <w:pStyle w:val="ListBullet"/>
      </w:pPr>
      <w:r>
        <w:t xml:space="preserve">Item 11707 (trace only) will only be claimed when a </w:t>
      </w:r>
      <w:r w:rsidR="00FC2371">
        <w:t>provider</w:t>
      </w:r>
      <w:r>
        <w:t xml:space="preserve"> has undertaken a trace for the purpose of forwarding to a specialist or consultant physician for a formal report.</w:t>
      </w:r>
    </w:p>
    <w:p w14:paraId="07EEBC06" w14:textId="0198AE35" w:rsidR="00E96760" w:rsidRPr="00B837D5" w:rsidRDefault="00E96760" w:rsidP="00E96760">
      <w:pPr>
        <w:pStyle w:val="ListBullet"/>
      </w:pPr>
      <w:r>
        <w:t xml:space="preserve">Item 11714 (trace and clinical note), will be claimable by any </w:t>
      </w:r>
      <w:r w:rsidR="00FC2371">
        <w:t>provider</w:t>
      </w:r>
      <w:r>
        <w:t xml:space="preserve"> to ensure the medical practitioner claiming the service: </w:t>
      </w:r>
    </w:p>
    <w:p w14:paraId="6CAFE3A1" w14:textId="41BE2FC9" w:rsidR="00E96760" w:rsidRPr="00B837D5" w:rsidRDefault="00E96760" w:rsidP="00E96760">
      <w:pPr>
        <w:pStyle w:val="ListBullet"/>
        <w:numPr>
          <w:ilvl w:val="1"/>
          <w:numId w:val="27"/>
        </w:numPr>
      </w:pPr>
      <w:r w:rsidRPr="00B837D5">
        <w:t>has used the ECG to inform clinical decision making during an attendance</w:t>
      </w:r>
      <w:r w:rsidR="005D014A">
        <w:t xml:space="preserve"> </w:t>
      </w:r>
      <w:r w:rsidR="001F09E4">
        <w:t>(</w:t>
      </w:r>
      <w:r w:rsidR="005D014A">
        <w:t>or immediat</w:t>
      </w:r>
      <w:r w:rsidR="001F09E4">
        <w:t>ely following an atte</w:t>
      </w:r>
      <w:r w:rsidR="0086531E">
        <w:t>ndance</w:t>
      </w:r>
      <w:r w:rsidR="001F09E4">
        <w:t>)</w:t>
      </w:r>
      <w:r w:rsidR="00B16E54">
        <w:t>;</w:t>
      </w:r>
      <w:r w:rsidRPr="00B837D5">
        <w:t>  </w:t>
      </w:r>
    </w:p>
    <w:p w14:paraId="32BC9332" w14:textId="77777777" w:rsidR="00E96760" w:rsidRPr="00B837D5" w:rsidRDefault="00E96760" w:rsidP="00E96760">
      <w:pPr>
        <w:pStyle w:val="ListBullet"/>
        <w:numPr>
          <w:ilvl w:val="1"/>
          <w:numId w:val="27"/>
        </w:numPr>
      </w:pPr>
      <w:r w:rsidRPr="00B837D5">
        <w:t>details the clinical indication for the service in the clinical note;  </w:t>
      </w:r>
    </w:p>
    <w:p w14:paraId="0767BAD0" w14:textId="77777777" w:rsidR="00E96760" w:rsidRPr="00B837D5" w:rsidRDefault="00E96760" w:rsidP="00E96760">
      <w:pPr>
        <w:pStyle w:val="ListBullet"/>
        <w:numPr>
          <w:ilvl w:val="1"/>
          <w:numId w:val="27"/>
        </w:numPr>
      </w:pPr>
      <w:r w:rsidRPr="00B837D5">
        <w:t>includes the interpretation in the context of the indication for the service in the clinical note; and  </w:t>
      </w:r>
    </w:p>
    <w:p w14:paraId="52654734" w14:textId="08B0A745" w:rsidR="00E96760" w:rsidRPr="00E96760" w:rsidRDefault="00E96760" w:rsidP="0021129C">
      <w:pPr>
        <w:pStyle w:val="ListBullet"/>
        <w:numPr>
          <w:ilvl w:val="1"/>
          <w:numId w:val="27"/>
        </w:numPr>
      </w:pPr>
      <w:r w:rsidRPr="00B837D5">
        <w:t>does not require a formal report.</w:t>
      </w:r>
    </w:p>
    <w:p w14:paraId="63995AF0" w14:textId="4F4BED0A" w:rsidR="0021129C" w:rsidRPr="0021129C" w:rsidRDefault="00E96760" w:rsidP="0021129C">
      <w:pPr>
        <w:rPr>
          <w:szCs w:val="22"/>
        </w:rPr>
      </w:pPr>
      <w:r>
        <w:rPr>
          <w:szCs w:val="22"/>
        </w:rPr>
        <w:t xml:space="preserve">The changes </w:t>
      </w:r>
      <w:r w:rsidR="0021129C" w:rsidRPr="00F47137">
        <w:rPr>
          <w:szCs w:val="22"/>
        </w:rPr>
        <w:t>will</w:t>
      </w:r>
      <w:r w:rsidR="002B6497" w:rsidRPr="002B6497">
        <w:rPr>
          <w:szCs w:val="22"/>
        </w:rPr>
        <w:t xml:space="preserve"> </w:t>
      </w:r>
      <w:bookmarkStart w:id="3" w:name="_Hlk204700451"/>
      <w:r w:rsidR="002B6497" w:rsidRPr="002B6497">
        <w:rPr>
          <w:szCs w:val="22"/>
        </w:rPr>
        <w:t>incentivise</w:t>
      </w:r>
      <w:bookmarkEnd w:id="3"/>
      <w:r w:rsidR="002B6497" w:rsidRPr="002B6497">
        <w:rPr>
          <w:szCs w:val="22"/>
        </w:rPr>
        <w:t xml:space="preserve"> clinical decision-making and autonomy </w:t>
      </w:r>
      <w:r w:rsidR="00DE07FC" w:rsidRPr="00F47137">
        <w:rPr>
          <w:szCs w:val="22"/>
        </w:rPr>
        <w:t>so that</w:t>
      </w:r>
      <w:r w:rsidR="002B6497" w:rsidRPr="002B6497">
        <w:rPr>
          <w:szCs w:val="22"/>
        </w:rPr>
        <w:t xml:space="preserve"> interpretation of ECG traces </w:t>
      </w:r>
      <w:r w:rsidR="00DE07FC" w:rsidRPr="00F47137">
        <w:rPr>
          <w:szCs w:val="22"/>
        </w:rPr>
        <w:t>is</w:t>
      </w:r>
      <w:r w:rsidR="002B6497" w:rsidRPr="002B6497">
        <w:rPr>
          <w:szCs w:val="22"/>
        </w:rPr>
        <w:t xml:space="preserve"> not limited by specialty. </w:t>
      </w:r>
      <w:r w:rsidR="0021129C" w:rsidRPr="0021129C">
        <w:rPr>
          <w:szCs w:val="22"/>
        </w:rPr>
        <w:t>Rather, that</w:t>
      </w:r>
      <w:r w:rsidR="00B318E1">
        <w:rPr>
          <w:szCs w:val="22"/>
        </w:rPr>
        <w:t xml:space="preserve"> an</w:t>
      </w:r>
      <w:r w:rsidR="0021129C" w:rsidRPr="0021129C">
        <w:rPr>
          <w:szCs w:val="22"/>
        </w:rPr>
        <w:t xml:space="preserve"> MBS </w:t>
      </w:r>
      <w:r w:rsidR="00B318E1">
        <w:rPr>
          <w:szCs w:val="22"/>
        </w:rPr>
        <w:t xml:space="preserve">benefit </w:t>
      </w:r>
      <w:r w:rsidR="0021129C" w:rsidRPr="0021129C">
        <w:rPr>
          <w:szCs w:val="22"/>
        </w:rPr>
        <w:t>should</w:t>
      </w:r>
      <w:r w:rsidR="004537D2">
        <w:rPr>
          <w:szCs w:val="22"/>
        </w:rPr>
        <w:t xml:space="preserve"> be </w:t>
      </w:r>
      <w:proofErr w:type="gramStart"/>
      <w:r w:rsidR="004537D2">
        <w:rPr>
          <w:szCs w:val="22"/>
        </w:rPr>
        <w:t>paid</w:t>
      </w:r>
      <w:r w:rsidR="0021129C" w:rsidRPr="0021129C">
        <w:rPr>
          <w:szCs w:val="22"/>
        </w:rPr>
        <w:t xml:space="preserve">  appropriately</w:t>
      </w:r>
      <w:proofErr w:type="gramEnd"/>
      <w:r w:rsidR="0021129C" w:rsidRPr="0021129C">
        <w:rPr>
          <w:szCs w:val="22"/>
        </w:rPr>
        <w:t xml:space="preserve"> whoever determin</w:t>
      </w:r>
      <w:r w:rsidR="00DE07FC" w:rsidRPr="00F47137">
        <w:rPr>
          <w:szCs w:val="22"/>
        </w:rPr>
        <w:t>es</w:t>
      </w:r>
      <w:r w:rsidR="0021129C" w:rsidRPr="0021129C">
        <w:rPr>
          <w:szCs w:val="22"/>
        </w:rPr>
        <w:t xml:space="preserve"> that an ECG trace </w:t>
      </w:r>
      <w:r w:rsidR="00DE07FC" w:rsidRPr="00F47137">
        <w:rPr>
          <w:szCs w:val="22"/>
        </w:rPr>
        <w:t>is</w:t>
      </w:r>
      <w:r w:rsidR="0021129C" w:rsidRPr="0021129C">
        <w:rPr>
          <w:szCs w:val="22"/>
        </w:rPr>
        <w:t xml:space="preserve"> required, with subsequent interpretation of results to direct immediate clinical care. </w:t>
      </w:r>
    </w:p>
    <w:p w14:paraId="7F7DA4F7" w14:textId="77777777" w:rsidR="00064168" w:rsidRDefault="00064168" w:rsidP="00064168">
      <w:pPr>
        <w:pStyle w:val="Heading2"/>
      </w:pPr>
      <w:r>
        <w:t>How will these changes affect patients</w:t>
      </w:r>
      <w:r w:rsidRPr="001A7FB7">
        <w:t>?</w:t>
      </w:r>
    </w:p>
    <w:p w14:paraId="7BD2AA3C" w14:textId="383BFF0C" w:rsidR="00064168" w:rsidRPr="006F5073" w:rsidRDefault="006920E9" w:rsidP="006F5073">
      <w:r>
        <w:rPr>
          <w:rFonts w:cs="Arial"/>
          <w:szCs w:val="22"/>
        </w:rPr>
        <w:t>Patients will have greater access</w:t>
      </w:r>
      <w:r w:rsidR="006D79CB">
        <w:rPr>
          <w:rFonts w:cs="Arial"/>
          <w:szCs w:val="22"/>
        </w:rPr>
        <w:t xml:space="preserve"> (with a higher benefit)</w:t>
      </w:r>
      <w:r>
        <w:rPr>
          <w:rFonts w:cs="Arial"/>
          <w:szCs w:val="22"/>
        </w:rPr>
        <w:t xml:space="preserve"> to ECGs</w:t>
      </w:r>
      <w:r w:rsidR="007829A9">
        <w:rPr>
          <w:rFonts w:cs="Arial"/>
          <w:szCs w:val="22"/>
        </w:rPr>
        <w:t xml:space="preserve"> performed by GPs,</w:t>
      </w:r>
      <w:r w:rsidR="007C5CDE">
        <w:rPr>
          <w:rFonts w:cs="Arial"/>
          <w:szCs w:val="22"/>
        </w:rPr>
        <w:t xml:space="preserve"> especially in rural and remote areas as defined by the Modified Monash Model.</w:t>
      </w:r>
      <w:r w:rsidR="007829A9">
        <w:rPr>
          <w:rFonts w:cs="Arial"/>
          <w:szCs w:val="22"/>
        </w:rPr>
        <w:t xml:space="preserve"> R</w:t>
      </w:r>
      <w:r w:rsidR="00E10FD8">
        <w:rPr>
          <w:rFonts w:cs="Arial"/>
          <w:szCs w:val="22"/>
        </w:rPr>
        <w:t xml:space="preserve">ural practitioners </w:t>
      </w:r>
      <w:r w:rsidR="00B16E54">
        <w:rPr>
          <w:rFonts w:cs="Arial"/>
          <w:szCs w:val="22"/>
        </w:rPr>
        <w:t>may</w:t>
      </w:r>
      <w:r w:rsidR="007829A9">
        <w:rPr>
          <w:rFonts w:cs="Arial"/>
          <w:szCs w:val="22"/>
        </w:rPr>
        <w:t xml:space="preserve"> not need </w:t>
      </w:r>
      <w:r w:rsidR="00E10FD8">
        <w:rPr>
          <w:rFonts w:cs="Arial"/>
          <w:szCs w:val="22"/>
        </w:rPr>
        <w:t>to refer patients on to other specialists</w:t>
      </w:r>
      <w:r w:rsidR="007829A9">
        <w:rPr>
          <w:rFonts w:cs="Arial"/>
          <w:szCs w:val="22"/>
        </w:rPr>
        <w:t>,</w:t>
      </w:r>
      <w:r w:rsidR="0086150A">
        <w:rPr>
          <w:rFonts w:cs="Arial"/>
          <w:szCs w:val="22"/>
        </w:rPr>
        <w:t xml:space="preserve"> thereby</w:t>
      </w:r>
      <w:r w:rsidR="007829A9">
        <w:rPr>
          <w:rFonts w:cs="Arial"/>
          <w:szCs w:val="22"/>
        </w:rPr>
        <w:t xml:space="preserve"> saving patients’ time and additional medical fees.</w:t>
      </w:r>
    </w:p>
    <w:p w14:paraId="5BD9BE80" w14:textId="77777777" w:rsidR="00064168" w:rsidRDefault="00064168" w:rsidP="00064168">
      <w:pPr>
        <w:pStyle w:val="Heading2"/>
      </w:pPr>
      <w:r w:rsidRPr="001A7FB7">
        <w:t>Who was consulted on the changes?</w:t>
      </w:r>
    </w:p>
    <w:p w14:paraId="4CD8FEB8" w14:textId="4C88C454" w:rsidR="00980BFB" w:rsidRDefault="362ACB24" w:rsidP="37A8CB26">
      <w:r>
        <w:t>The Electrocardiogram Working Group was established in 202</w:t>
      </w:r>
      <w:r w:rsidR="2966B33F">
        <w:t>3</w:t>
      </w:r>
      <w:r>
        <w:t xml:space="preserve"> to provide broad clinician and consumer expertise</w:t>
      </w:r>
      <w:r w:rsidR="2966B33F">
        <w:t xml:space="preserve"> to the second post implementation review of MBS items for ECG</w:t>
      </w:r>
      <w:r w:rsidR="00FC68C9">
        <w:t xml:space="preserve"> s</w:t>
      </w:r>
      <w:r w:rsidR="2966B33F">
        <w:t>ervices</w:t>
      </w:r>
      <w:r>
        <w:t xml:space="preserve">. The MBS Review included a </w:t>
      </w:r>
      <w:r w:rsidR="2966B33F">
        <w:t xml:space="preserve">six-week </w:t>
      </w:r>
      <w:r>
        <w:t>public consultation process on the proposed changes</w:t>
      </w:r>
      <w:r w:rsidR="2966B33F">
        <w:t xml:space="preserve">. The consultation closed on 25 July 2024. Peak </w:t>
      </w:r>
      <w:r w:rsidR="7CEDCAE2">
        <w:t xml:space="preserve">clinical </w:t>
      </w:r>
      <w:r w:rsidR="2966B33F">
        <w:t>bodies were invited to provide feedback as part of the public consultation.</w:t>
      </w:r>
    </w:p>
    <w:p w14:paraId="32E82B19" w14:textId="77777777" w:rsidR="00064168" w:rsidRDefault="00064168" w:rsidP="00064168">
      <w:pPr>
        <w:pStyle w:val="Heading2"/>
      </w:pPr>
      <w:r w:rsidRPr="001A7FB7">
        <w:t>How will the changes be monitored</w:t>
      </w:r>
      <w:r>
        <w:t xml:space="preserve"> and reviewed</w:t>
      </w:r>
      <w:r w:rsidRPr="001A7FB7">
        <w:t>?</w:t>
      </w:r>
    </w:p>
    <w:p w14:paraId="78AD3663" w14:textId="728FC327" w:rsidR="00E27579" w:rsidRPr="00E27579" w:rsidRDefault="2591762B" w:rsidP="00E27579">
      <w:r>
        <w:t xml:space="preserve">The impact of these changes will be closely monitored. The </w:t>
      </w:r>
      <w:r w:rsidR="00A65166">
        <w:t xml:space="preserve">department </w:t>
      </w:r>
      <w:r>
        <w:t xml:space="preserve">will continue to work with stakeholders following implementation of the changes. </w:t>
      </w:r>
    </w:p>
    <w:p w14:paraId="41BBDDBB" w14:textId="7C3C5157" w:rsidR="00BE42C7" w:rsidRPr="00B27A99" w:rsidRDefault="471F2825" w:rsidP="00B27A99">
      <w:r>
        <w:t>Providers are responsible for ensuring Medicare services claimed using their provider number meet all legislative requirements</w:t>
      </w:r>
      <w:r w:rsidR="221C016D">
        <w:t xml:space="preserve">. </w:t>
      </w:r>
      <w:r>
        <w:t xml:space="preserve">All Medicare claiming is subject to compliance </w:t>
      </w:r>
      <w:r>
        <w:lastRenderedPageBreak/>
        <w:t xml:space="preserve">checks and providers may be required to submit evidence about the services they bill. More information about the </w:t>
      </w:r>
      <w:r w:rsidR="00A65166">
        <w:t xml:space="preserve">department’s </w:t>
      </w:r>
      <w:r>
        <w:t xml:space="preserve">compliance program can be found on its website at </w:t>
      </w:r>
      <w:hyperlink r:id="rId12">
        <w:r w:rsidR="2A7BB163" w:rsidRPr="17D98534">
          <w:rPr>
            <w:rStyle w:val="Hyperlink"/>
          </w:rPr>
          <w:t>Medicare compliance</w:t>
        </w:r>
      </w:hyperlink>
      <w:r w:rsidR="2A7BB163">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4322C017" w:rsidR="00064168" w:rsidRDefault="6FFC4BE1" w:rsidP="00064168">
      <w:r>
        <w:t xml:space="preserve">The </w:t>
      </w:r>
      <w:r w:rsidR="00A65166">
        <w:t xml:space="preserve">department </w:t>
      </w:r>
      <w:r>
        <w:t xml:space="preserve">provides an email advice service for providers seeking advice on interpretation of MBS items and rules and the </w:t>
      </w:r>
      <w:r w:rsidRPr="17D98534">
        <w:rPr>
          <w:i/>
          <w:iCs/>
        </w:rPr>
        <w:t>Health Insurance Act</w:t>
      </w:r>
      <w:r w:rsidR="589BF84B" w:rsidRPr="17D98534">
        <w:rPr>
          <w:i/>
          <w:iCs/>
        </w:rPr>
        <w:t> </w:t>
      </w:r>
      <w:r w:rsidR="2BB473C4" w:rsidRPr="17D98534">
        <w:rPr>
          <w:i/>
          <w:iCs/>
        </w:rPr>
        <w:t>1973</w:t>
      </w:r>
      <w:r>
        <w:t xml:space="preserve"> and associated regulations. If you have a query relating exclusively to interpretation of the Schedule, you should email </w:t>
      </w:r>
      <w:hyperlink r:id="rId15">
        <w:r w:rsidRPr="17D98534">
          <w:rPr>
            <w:rStyle w:val="Hyperlink"/>
          </w:rPr>
          <w:t>askMBS@health.gov.au</w:t>
        </w:r>
      </w:hyperlink>
      <w:r>
        <w:t>.</w:t>
      </w:r>
    </w:p>
    <w:p w14:paraId="1D6CA1FB" w14:textId="103E973F"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0C3A9E">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5272999B" w:rsidR="00064168" w:rsidRDefault="6FFC4BE1" w:rsidP="00064168">
      <w:r>
        <w:t xml:space="preserve">If you are seeking advice in relation to Medicare billing, claiming, payments, or obtaining a provider number, </w:t>
      </w:r>
      <w:r w:rsidR="005046FC" w:rsidRPr="005046FC">
        <w:t>contact the Services Australia Provider Enquiry Line -13 21 50</w:t>
      </w:r>
      <w:r w:rsidR="00C24335">
        <w:t>.</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6D6EB19D" w14:textId="140E8A6F" w:rsidR="00BE3ED5" w:rsidRDefault="00BE3ED5" w:rsidP="00BE3ED5">
      <w:pPr>
        <w:pStyle w:val="Heading2"/>
      </w:pPr>
      <w:r>
        <w:t xml:space="preserve">Amended item descriptors (to take effect </w:t>
      </w:r>
      <w:r w:rsidR="003E63A5">
        <w:t xml:space="preserve">1 </w:t>
      </w:r>
      <w:r w:rsidR="00E27579">
        <w:t>March</w:t>
      </w:r>
      <w:r w:rsidR="003E63A5">
        <w:t xml:space="preserve"> 202</w:t>
      </w:r>
      <w:r w:rsidR="00E27579">
        <w:t>6</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26F18D6B" w:rsidR="00BE3ED5" w:rsidRPr="00107FB4" w:rsidRDefault="008437CA" w:rsidP="001210F8">
            <w:pPr>
              <w:rPr>
                <w:lang w:eastAsia="en-AU"/>
              </w:rPr>
            </w:pPr>
            <w:bookmarkStart w:id="4" w:name="_Hlk118987208"/>
            <w:r>
              <w:rPr>
                <w:lang w:eastAsia="en-AU"/>
              </w:rPr>
              <w:t>Category</w:t>
            </w:r>
            <w:r w:rsidR="00107FB4">
              <w:rPr>
                <w:lang w:eastAsia="en-AU"/>
              </w:rPr>
              <w:t xml:space="preserve"> </w:t>
            </w:r>
            <w:r w:rsidR="00107FB4" w:rsidRPr="00107FB4">
              <w:rPr>
                <w:lang w:eastAsia="en-AU"/>
              </w:rPr>
              <w:t>2 - DIAGNOSTIC PROCEDURES AND INVESTIGATIONS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E1E4B2C" w:rsidR="00BE3ED5" w:rsidRDefault="008437CA" w:rsidP="001210F8">
            <w:pPr>
              <w:rPr>
                <w:b w:val="0"/>
                <w:bCs w:val="0"/>
                <w:lang w:eastAsia="en-AU"/>
              </w:rPr>
            </w:pPr>
            <w:r>
              <w:rPr>
                <w:lang w:eastAsia="en-AU"/>
              </w:rPr>
              <w:t>Group</w:t>
            </w:r>
            <w:r w:rsidR="0012707F" w:rsidRPr="0012707F">
              <w:rPr>
                <w:rFonts w:ascii="Times New Roman" w:eastAsiaTheme="minorHAnsi" w:hAnsi="Times New Roman"/>
                <w:b w:val="0"/>
                <w:bCs w:val="0"/>
                <w:color w:val="auto"/>
                <w:kern w:val="2"/>
                <w:sz w:val="24"/>
                <w14:ligatures w14:val="standardContextual"/>
              </w:rPr>
              <w:t xml:space="preserve"> </w:t>
            </w:r>
            <w:r w:rsidR="0012707F" w:rsidRPr="0012707F">
              <w:rPr>
                <w:lang w:eastAsia="en-AU"/>
              </w:rPr>
              <w:t>D1 - Miscellaneous Diagnostic Procedures And Investigations </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DDA610E" w:rsidR="00642F20" w:rsidRPr="00642F20" w:rsidRDefault="00642F20" w:rsidP="00642F20">
            <w:pPr>
              <w:pStyle w:val="Tabletextleft"/>
              <w:rPr>
                <w:b/>
              </w:rPr>
            </w:pPr>
            <w:r w:rsidRPr="00642F20">
              <w:rPr>
                <w:b/>
              </w:rPr>
              <w:t>Subgroup</w:t>
            </w:r>
            <w:r w:rsidR="00965CCE">
              <w:rPr>
                <w:b/>
              </w:rPr>
              <w:t xml:space="preserve"> </w:t>
            </w:r>
            <w:r w:rsidR="00965CCE" w:rsidRPr="00965CCE">
              <w:rPr>
                <w:b/>
              </w:rPr>
              <w:t>6 - Cardiovascular </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7D22869" w14:textId="77777777" w:rsidR="007C2BAB" w:rsidRPr="00232FCA" w:rsidRDefault="007C2BAB" w:rsidP="007C2BAB">
            <w:r w:rsidRPr="00232FCA">
              <w:t>11707 </w:t>
            </w:r>
          </w:p>
          <w:p w14:paraId="4BAE0FC1" w14:textId="77777777" w:rsidR="00E83FEF" w:rsidRPr="00232FCA" w:rsidRDefault="00E83FEF" w:rsidP="00E83FEF">
            <w:pPr>
              <w:rPr>
                <w:b w:val="0"/>
                <w:bCs w:val="0"/>
              </w:rPr>
            </w:pPr>
            <w:r w:rsidRPr="00232FCA">
              <w:rPr>
                <w:b w:val="0"/>
                <w:bCs w:val="0"/>
              </w:rPr>
              <w:t>Twelve-lead electrocardiography, trace only, by a medical practitioner, if: </w:t>
            </w:r>
          </w:p>
          <w:p w14:paraId="6417C951" w14:textId="77777777" w:rsidR="008C0E6C" w:rsidRPr="00A15443" w:rsidRDefault="008C0E6C" w:rsidP="008C0E6C">
            <w:pPr>
              <w:rPr>
                <w:b w:val="0"/>
                <w:bCs w:val="0"/>
                <w:strike/>
                <w:color w:val="C00000"/>
              </w:rPr>
            </w:pPr>
            <w:r w:rsidRPr="00A15443">
              <w:rPr>
                <w:b w:val="0"/>
                <w:bCs w:val="0"/>
                <w:strike/>
                <w:color w:val="C00000"/>
              </w:rPr>
              <w:t>(a) the trace:</w:t>
            </w:r>
          </w:p>
          <w:p w14:paraId="7F9317FE" w14:textId="77777777" w:rsidR="008C0E6C" w:rsidRPr="00A15443" w:rsidRDefault="008C0E6C" w:rsidP="00B11A37">
            <w:pPr>
              <w:ind w:left="720"/>
              <w:rPr>
                <w:b w:val="0"/>
                <w:bCs w:val="0"/>
                <w:strike/>
                <w:color w:val="C00000"/>
              </w:rPr>
            </w:pPr>
            <w:r w:rsidRPr="00A15443">
              <w:rPr>
                <w:b w:val="0"/>
                <w:bCs w:val="0"/>
                <w:strike/>
                <w:color w:val="C00000"/>
              </w:rPr>
              <w:t>(</w:t>
            </w:r>
            <w:proofErr w:type="spellStart"/>
            <w:r w:rsidRPr="00A15443">
              <w:rPr>
                <w:b w:val="0"/>
                <w:bCs w:val="0"/>
                <w:strike/>
                <w:color w:val="C00000"/>
              </w:rPr>
              <w:t>i</w:t>
            </w:r>
            <w:proofErr w:type="spellEnd"/>
            <w:r w:rsidRPr="00A15443">
              <w:rPr>
                <w:b w:val="0"/>
                <w:bCs w:val="0"/>
                <w:strike/>
                <w:color w:val="C00000"/>
              </w:rPr>
              <w:t>) is required to inform clinical decision making; and</w:t>
            </w:r>
          </w:p>
          <w:p w14:paraId="490C56DF" w14:textId="77777777" w:rsidR="008C0E6C" w:rsidRPr="00A15443" w:rsidRDefault="008C0E6C" w:rsidP="00B11A37">
            <w:pPr>
              <w:ind w:left="720"/>
              <w:rPr>
                <w:b w:val="0"/>
                <w:bCs w:val="0"/>
                <w:strike/>
                <w:color w:val="C00000"/>
              </w:rPr>
            </w:pPr>
            <w:r w:rsidRPr="00A15443">
              <w:rPr>
                <w:b w:val="0"/>
                <w:bCs w:val="0"/>
                <w:strike/>
                <w:color w:val="C00000"/>
              </w:rPr>
              <w:t>(ii) is reviewed in a clinically appropriate timeframe to identify potentially serious or life</w:t>
            </w:r>
            <w:r w:rsidRPr="00A15443">
              <w:rPr>
                <w:b w:val="0"/>
                <w:bCs w:val="0"/>
                <w:strike/>
                <w:color w:val="C00000"/>
              </w:rPr>
              <w:noBreakHyphen/>
              <w:t>threatening abnormalities; and</w:t>
            </w:r>
          </w:p>
          <w:p w14:paraId="796D7C8E" w14:textId="77777777" w:rsidR="008C0E6C" w:rsidRPr="00A15443" w:rsidRDefault="008C0E6C" w:rsidP="00B11A37">
            <w:pPr>
              <w:ind w:left="720"/>
              <w:rPr>
                <w:b w:val="0"/>
                <w:bCs w:val="0"/>
                <w:strike/>
                <w:color w:val="C00000"/>
              </w:rPr>
            </w:pPr>
            <w:r w:rsidRPr="00A15443">
              <w:rPr>
                <w:b w:val="0"/>
                <w:bCs w:val="0"/>
                <w:strike/>
                <w:color w:val="C00000"/>
              </w:rPr>
              <w:lastRenderedPageBreak/>
              <w:t>(iii) does not need to be fully interpreted or reported on; and</w:t>
            </w:r>
          </w:p>
          <w:p w14:paraId="6F9F440A" w14:textId="60EB9539" w:rsidR="00E83FEF" w:rsidRPr="00A15443" w:rsidRDefault="00E83FEF" w:rsidP="00E83FEF">
            <w:pPr>
              <w:rPr>
                <w:b w:val="0"/>
                <w:bCs w:val="0"/>
                <w:color w:val="C00000"/>
              </w:rPr>
            </w:pPr>
            <w:r w:rsidRPr="00A15443">
              <w:rPr>
                <w:b w:val="0"/>
                <w:bCs w:val="0"/>
                <w:color w:val="C00000"/>
              </w:rPr>
              <w:t>(a) the trace is provided to a specialist or consultant physician for a formal report; and </w:t>
            </w:r>
          </w:p>
          <w:p w14:paraId="4C02272C" w14:textId="77777777" w:rsidR="00E83FEF" w:rsidRPr="00232FCA" w:rsidRDefault="00E83FEF" w:rsidP="00E83FEF">
            <w:pPr>
              <w:rPr>
                <w:b w:val="0"/>
                <w:bCs w:val="0"/>
              </w:rPr>
            </w:pPr>
            <w:r w:rsidRPr="00232FCA">
              <w:rPr>
                <w:b w:val="0"/>
                <w:bCs w:val="0"/>
              </w:rPr>
              <w:t>(b) the service is not associated with a service to which item 12203, 12204, 12205, 12207, 12208, 12210, 12213, 12215, 12217 or 12250 applies </w:t>
            </w:r>
          </w:p>
          <w:p w14:paraId="09A5A06C" w14:textId="77777777" w:rsidR="00E83FEF" w:rsidRPr="00232FCA" w:rsidRDefault="00E83FEF" w:rsidP="00E83FEF">
            <w:pPr>
              <w:rPr>
                <w:b w:val="0"/>
                <w:bCs w:val="0"/>
              </w:rPr>
            </w:pPr>
            <w:r w:rsidRPr="00232FCA">
              <w:rPr>
                <w:b w:val="0"/>
                <w:bCs w:val="0"/>
              </w:rPr>
              <w:t>Applicable not more than twice on the same day </w:t>
            </w:r>
          </w:p>
          <w:p w14:paraId="3208161E" w14:textId="77777777" w:rsidR="00E83FEF" w:rsidRPr="00232FCA" w:rsidRDefault="00E83FEF" w:rsidP="00E83FEF">
            <w:pPr>
              <w:rPr>
                <w:b w:val="0"/>
                <w:bCs w:val="0"/>
              </w:rPr>
            </w:pPr>
            <w:r w:rsidRPr="00232FCA">
              <w:rPr>
                <w:b w:val="0"/>
                <w:bCs w:val="0"/>
              </w:rPr>
              <w:t>Note: the service is not provided to the patient as part of an episode of: </w:t>
            </w:r>
          </w:p>
          <w:p w14:paraId="7B45504A" w14:textId="1471B904" w:rsidR="00E83FEF" w:rsidRPr="00232FCA" w:rsidRDefault="00E83FEF" w:rsidP="00E83FEF">
            <w:pPr>
              <w:rPr>
                <w:b w:val="0"/>
                <w:bCs w:val="0"/>
              </w:rPr>
            </w:pPr>
            <w:r w:rsidRPr="00232FCA">
              <w:rPr>
                <w:b w:val="0"/>
                <w:bCs w:val="0"/>
              </w:rPr>
              <w:t>i.</w:t>
            </w:r>
            <w:r w:rsidRPr="00232FCA">
              <w:rPr>
                <w:b w:val="0"/>
                <w:bCs w:val="0"/>
              </w:rPr>
              <w:tab/>
              <w:t xml:space="preserve">hospital treatment; or </w:t>
            </w:r>
          </w:p>
          <w:p w14:paraId="2D262D75" w14:textId="73460C75" w:rsidR="00E83FEF" w:rsidRPr="00232FCA" w:rsidRDefault="00E83FEF" w:rsidP="00E83FEF">
            <w:pPr>
              <w:rPr>
                <w:b w:val="0"/>
                <w:bCs w:val="0"/>
              </w:rPr>
            </w:pPr>
            <w:r w:rsidRPr="00232FCA">
              <w:rPr>
                <w:b w:val="0"/>
                <w:bCs w:val="0"/>
              </w:rPr>
              <w:t>i</w:t>
            </w:r>
            <w:r w:rsidR="006F48BB">
              <w:rPr>
                <w:b w:val="0"/>
                <w:bCs w:val="0"/>
              </w:rPr>
              <w:t>i</w:t>
            </w:r>
            <w:r w:rsidRPr="00232FCA">
              <w:rPr>
                <w:b w:val="0"/>
                <w:bCs w:val="0"/>
              </w:rPr>
              <w:t>.</w:t>
            </w:r>
            <w:r w:rsidRPr="00232FCA">
              <w:rPr>
                <w:b w:val="0"/>
                <w:bCs w:val="0"/>
              </w:rPr>
              <w:tab/>
              <w:t>hospital-substitute treatment.</w:t>
            </w:r>
          </w:p>
          <w:p w14:paraId="7CEA1041" w14:textId="7B15C5BE" w:rsidR="009E73E9" w:rsidRPr="00232FCA" w:rsidRDefault="009E73E9" w:rsidP="00E83FEF">
            <w:pPr>
              <w:rPr>
                <w:b w:val="0"/>
                <w:bCs w:val="0"/>
              </w:rPr>
            </w:pPr>
            <w:r w:rsidRPr="00232FCA">
              <w:rPr>
                <w:b w:val="0"/>
                <w:bCs w:val="0"/>
              </w:rPr>
              <w:t>Fee: $2</w:t>
            </w:r>
            <w:r w:rsidR="00C26D1B" w:rsidRPr="00232FCA">
              <w:rPr>
                <w:b w:val="0"/>
                <w:bCs w:val="0"/>
              </w:rPr>
              <w:t>1</w:t>
            </w:r>
            <w:r w:rsidRPr="00232FCA">
              <w:rPr>
                <w:b w:val="0"/>
                <w:bCs w:val="0"/>
              </w:rPr>
              <w:t>.</w:t>
            </w:r>
            <w:r w:rsidR="00C26D1B" w:rsidRPr="00232FCA">
              <w:rPr>
                <w:b w:val="0"/>
                <w:bCs w:val="0"/>
              </w:rPr>
              <w:t>4</w:t>
            </w:r>
            <w:r w:rsidRPr="00232FCA">
              <w:rPr>
                <w:b w:val="0"/>
                <w:bCs w:val="0"/>
              </w:rPr>
              <w:t>5 Benefit: 85% = $1</w:t>
            </w:r>
            <w:r w:rsidR="00C26D1B" w:rsidRPr="00232FCA">
              <w:rPr>
                <w:b w:val="0"/>
                <w:bCs w:val="0"/>
              </w:rPr>
              <w:t>8</w:t>
            </w:r>
            <w:r w:rsidRPr="00232FCA">
              <w:rPr>
                <w:b w:val="0"/>
                <w:bCs w:val="0"/>
              </w:rPr>
              <w:t>.</w:t>
            </w:r>
            <w:r w:rsidR="00C26D1B" w:rsidRPr="00232FCA">
              <w:rPr>
                <w:b w:val="0"/>
                <w:bCs w:val="0"/>
              </w:rPr>
              <w:t>2</w:t>
            </w:r>
            <w:r w:rsidRPr="00232FCA">
              <w:rPr>
                <w:b w:val="0"/>
                <w:bCs w:val="0"/>
              </w:rPr>
              <w:t>5</w:t>
            </w:r>
          </w:p>
          <w:p w14:paraId="52062EB7" w14:textId="45A18F95" w:rsidR="007C2BAB" w:rsidRPr="00232FCA" w:rsidRDefault="00E83FEF" w:rsidP="007C2BAB">
            <w:pPr>
              <w:rPr>
                <w:b w:val="0"/>
                <w:bCs w:val="0"/>
              </w:rPr>
            </w:pPr>
            <w:r w:rsidRPr="00232FCA">
              <w:rPr>
                <w:b w:val="0"/>
                <w:bCs w:val="0"/>
              </w:rPr>
              <w:t>(See para </w:t>
            </w:r>
            <w:hyperlink r:id="rId22" w:tgtFrame="_blank" w:history="1">
              <w:r w:rsidRPr="00232FCA">
                <w:rPr>
                  <w:rStyle w:val="Hyperlink"/>
                  <w:b w:val="0"/>
                  <w:bCs w:val="0"/>
                </w:rPr>
                <w:t>DR.1.4</w:t>
              </w:r>
            </w:hyperlink>
            <w:r w:rsidRPr="00232FCA">
              <w:rPr>
                <w:b w:val="0"/>
                <w:bCs w:val="0"/>
              </w:rPr>
              <w:t> of explanatory notes to this Category) </w:t>
            </w:r>
          </w:p>
          <w:p w14:paraId="58CFAF2C" w14:textId="77777777" w:rsidR="009E73E9" w:rsidRPr="00232FCA" w:rsidRDefault="009E73E9" w:rsidP="007C2BAB">
            <w:pPr>
              <w:rPr>
                <w:b w:val="0"/>
                <w:bCs w:val="0"/>
              </w:rPr>
            </w:pPr>
          </w:p>
          <w:p w14:paraId="3794883D" w14:textId="246501E3" w:rsidR="00642F20" w:rsidRPr="00642F20" w:rsidRDefault="00642F20" w:rsidP="007C2BAB">
            <w:pPr>
              <w:rPr>
                <w:b w:val="0"/>
                <w:bCs w:val="0"/>
              </w:rPr>
            </w:pPr>
            <w:bookmarkStart w:id="5" w:name="_Hlk204683346"/>
            <w:r w:rsidRPr="00642F20">
              <w:rPr>
                <w:b w:val="0"/>
                <w:bCs w:val="0"/>
              </w:rPr>
              <w:t>Private Health Insurance Classification:</w:t>
            </w:r>
          </w:p>
          <w:p w14:paraId="583B5F54" w14:textId="1DB6B737" w:rsidR="00642F20" w:rsidRPr="00642F20" w:rsidRDefault="00642F20" w:rsidP="00642F20">
            <w:pPr>
              <w:pStyle w:val="ListBullet"/>
              <w:rPr>
                <w:b w:val="0"/>
                <w:bCs w:val="0"/>
              </w:rPr>
            </w:pPr>
            <w:r w:rsidRPr="00642F20">
              <w:rPr>
                <w:b w:val="0"/>
                <w:bCs w:val="0"/>
              </w:rPr>
              <w:t xml:space="preserve">Clinical category: </w:t>
            </w:r>
            <w:r w:rsidR="00BC6116">
              <w:rPr>
                <w:b w:val="0"/>
                <w:bCs w:val="0"/>
              </w:rPr>
              <w:t>N/a – Not hospital treatment</w:t>
            </w:r>
          </w:p>
          <w:p w14:paraId="2BDF063F" w14:textId="7D0FD76E" w:rsidR="00642F20" w:rsidRPr="00AA6575" w:rsidRDefault="00642F20" w:rsidP="00642F20">
            <w:pPr>
              <w:pStyle w:val="ListBullet"/>
            </w:pPr>
            <w:r w:rsidRPr="00642F20">
              <w:rPr>
                <w:b w:val="0"/>
                <w:bCs w:val="0"/>
              </w:rPr>
              <w:t xml:space="preserve">Procedure type: </w:t>
            </w:r>
            <w:r w:rsidR="00BC6116">
              <w:rPr>
                <w:b w:val="0"/>
                <w:bCs w:val="0"/>
              </w:rPr>
              <w:t>N/a - Not hospital treatment</w:t>
            </w:r>
            <w:bookmarkEnd w:id="5"/>
          </w:p>
        </w:tc>
      </w:tr>
      <w:tr w:rsidR="00642F20" w14:paraId="398A0C81"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3FC3063B" w14:textId="77777777" w:rsidR="001A148A" w:rsidRPr="00232FCA" w:rsidRDefault="001A148A" w:rsidP="001A148A">
            <w:r w:rsidRPr="00232FCA">
              <w:lastRenderedPageBreak/>
              <w:t>11714</w:t>
            </w:r>
          </w:p>
          <w:p w14:paraId="3069312A" w14:textId="5C160D41" w:rsidR="00726B61" w:rsidRPr="00B619CB" w:rsidRDefault="00726B61" w:rsidP="007027FF">
            <w:pPr>
              <w:rPr>
                <w:b w:val="0"/>
                <w:bCs w:val="0"/>
                <w:strike/>
                <w:color w:val="C00000"/>
              </w:rPr>
            </w:pPr>
            <w:r w:rsidRPr="00B619CB">
              <w:rPr>
                <w:b w:val="0"/>
                <w:bCs w:val="0"/>
                <w:strike/>
                <w:color w:val="C00000"/>
              </w:rPr>
              <w:t>Twelve</w:t>
            </w:r>
            <w:r w:rsidRPr="00B619CB">
              <w:rPr>
                <w:b w:val="0"/>
                <w:bCs w:val="0"/>
                <w:strike/>
                <w:color w:val="C00000"/>
              </w:rPr>
              <w:noBreakHyphen/>
              <w:t>lead electrocardiography, trace and clinical note, by a specialist or consultant physician, if the service is not associated with a service to which item 12203, 12204, 12205, 12207, 12208, 12210, 12213, 12215, 12217 or 12250 applies</w:t>
            </w:r>
          </w:p>
          <w:p w14:paraId="7EE4F878" w14:textId="1DBB2AE4" w:rsidR="007027FF" w:rsidRPr="00B619CB" w:rsidRDefault="007027FF" w:rsidP="007027FF">
            <w:pPr>
              <w:rPr>
                <w:b w:val="0"/>
                <w:bCs w:val="0"/>
                <w:color w:val="C00000"/>
              </w:rPr>
            </w:pPr>
            <w:r w:rsidRPr="00B619CB">
              <w:rPr>
                <w:b w:val="0"/>
                <w:bCs w:val="0"/>
                <w:color w:val="C00000"/>
              </w:rPr>
              <w:t>Twelve-lead electrocardiography, trace and clinical note, by a medical practitioner if:  </w:t>
            </w:r>
          </w:p>
          <w:p w14:paraId="311D130C" w14:textId="6404F980" w:rsidR="007027FF" w:rsidRPr="00B619CB" w:rsidRDefault="00232FCA" w:rsidP="007027FF">
            <w:pPr>
              <w:rPr>
                <w:b w:val="0"/>
                <w:bCs w:val="0"/>
                <w:color w:val="C00000"/>
              </w:rPr>
            </w:pPr>
            <w:r w:rsidRPr="00B619CB">
              <w:rPr>
                <w:b w:val="0"/>
                <w:bCs w:val="0"/>
                <w:color w:val="C00000"/>
              </w:rPr>
              <w:t>(</w:t>
            </w:r>
            <w:r w:rsidR="007027FF" w:rsidRPr="00B619CB">
              <w:rPr>
                <w:b w:val="0"/>
                <w:bCs w:val="0"/>
                <w:color w:val="C00000"/>
              </w:rPr>
              <w:t>a</w:t>
            </w:r>
            <w:r w:rsidRPr="00B619CB">
              <w:rPr>
                <w:b w:val="0"/>
                <w:bCs w:val="0"/>
                <w:color w:val="C00000"/>
              </w:rPr>
              <w:t xml:space="preserve">) </w:t>
            </w:r>
            <w:r w:rsidR="007027FF" w:rsidRPr="00B619CB">
              <w:rPr>
                <w:b w:val="0"/>
                <w:bCs w:val="0"/>
                <w:color w:val="C00000"/>
              </w:rPr>
              <w:t xml:space="preserve">the trace is required to inform clinical decision making during or following an attendance; and </w:t>
            </w:r>
          </w:p>
          <w:p w14:paraId="43708C26" w14:textId="2FB6A806" w:rsidR="007027FF" w:rsidRPr="00B619CB" w:rsidRDefault="00232FCA" w:rsidP="007027FF">
            <w:pPr>
              <w:rPr>
                <w:b w:val="0"/>
                <w:bCs w:val="0"/>
                <w:color w:val="C00000"/>
              </w:rPr>
            </w:pPr>
            <w:r w:rsidRPr="00B619CB">
              <w:rPr>
                <w:b w:val="0"/>
                <w:bCs w:val="0"/>
                <w:color w:val="C00000"/>
              </w:rPr>
              <w:t>(</w:t>
            </w:r>
            <w:r w:rsidR="007027FF" w:rsidRPr="00B619CB">
              <w:rPr>
                <w:b w:val="0"/>
                <w:bCs w:val="0"/>
                <w:color w:val="C00000"/>
              </w:rPr>
              <w:t>b</w:t>
            </w:r>
            <w:r w:rsidRPr="00B619CB">
              <w:rPr>
                <w:b w:val="0"/>
                <w:bCs w:val="0"/>
                <w:color w:val="C00000"/>
              </w:rPr>
              <w:t xml:space="preserve">) </w:t>
            </w:r>
            <w:r w:rsidR="007027FF" w:rsidRPr="00B619CB">
              <w:rPr>
                <w:b w:val="0"/>
                <w:bCs w:val="0"/>
                <w:color w:val="C00000"/>
              </w:rPr>
              <w:t xml:space="preserve">the clinical note details the clinical indication for the service; and  </w:t>
            </w:r>
          </w:p>
          <w:p w14:paraId="4FBD7102" w14:textId="4E606B66" w:rsidR="007027FF" w:rsidRPr="00B619CB" w:rsidRDefault="00232FCA" w:rsidP="007027FF">
            <w:pPr>
              <w:rPr>
                <w:b w:val="0"/>
                <w:bCs w:val="0"/>
                <w:color w:val="C00000"/>
              </w:rPr>
            </w:pPr>
            <w:r w:rsidRPr="00B619CB">
              <w:rPr>
                <w:b w:val="0"/>
                <w:bCs w:val="0"/>
                <w:color w:val="C00000"/>
              </w:rPr>
              <w:t>(</w:t>
            </w:r>
            <w:r w:rsidR="007027FF" w:rsidRPr="00B619CB">
              <w:rPr>
                <w:b w:val="0"/>
                <w:bCs w:val="0"/>
                <w:color w:val="C00000"/>
              </w:rPr>
              <w:t>c</w:t>
            </w:r>
            <w:r w:rsidRPr="00B619CB">
              <w:rPr>
                <w:b w:val="0"/>
                <w:bCs w:val="0"/>
                <w:color w:val="C00000"/>
              </w:rPr>
              <w:t xml:space="preserve">) </w:t>
            </w:r>
            <w:r w:rsidR="007027FF" w:rsidRPr="00B619CB">
              <w:rPr>
                <w:b w:val="0"/>
                <w:bCs w:val="0"/>
                <w:color w:val="C00000"/>
              </w:rPr>
              <w:t xml:space="preserve">the clinical note includes the interpretation in the context of the indication for the service; and </w:t>
            </w:r>
          </w:p>
          <w:p w14:paraId="31A54673" w14:textId="718434E9" w:rsidR="007027FF" w:rsidRPr="00B619CB" w:rsidRDefault="00232FCA" w:rsidP="007027FF">
            <w:pPr>
              <w:rPr>
                <w:b w:val="0"/>
                <w:bCs w:val="0"/>
                <w:color w:val="C00000"/>
              </w:rPr>
            </w:pPr>
            <w:r w:rsidRPr="00B619CB">
              <w:rPr>
                <w:b w:val="0"/>
                <w:bCs w:val="0"/>
                <w:color w:val="C00000"/>
              </w:rPr>
              <w:t xml:space="preserve">(d) </w:t>
            </w:r>
            <w:r w:rsidR="007027FF" w:rsidRPr="00B619CB">
              <w:rPr>
                <w:b w:val="0"/>
                <w:bCs w:val="0"/>
                <w:color w:val="C00000"/>
              </w:rPr>
              <w:t xml:space="preserve">the service does not require a formal report: and </w:t>
            </w:r>
          </w:p>
          <w:p w14:paraId="2C8C72C2" w14:textId="6A4EC56E" w:rsidR="007027FF" w:rsidRPr="00B619CB" w:rsidRDefault="00232FCA" w:rsidP="007027FF">
            <w:pPr>
              <w:rPr>
                <w:b w:val="0"/>
                <w:bCs w:val="0"/>
                <w:color w:val="C00000"/>
              </w:rPr>
            </w:pPr>
            <w:r w:rsidRPr="00B619CB">
              <w:rPr>
                <w:b w:val="0"/>
                <w:bCs w:val="0"/>
                <w:color w:val="C00000"/>
              </w:rPr>
              <w:t>(</w:t>
            </w:r>
            <w:r w:rsidR="007027FF" w:rsidRPr="00B619CB">
              <w:rPr>
                <w:b w:val="0"/>
                <w:bCs w:val="0"/>
                <w:color w:val="C00000"/>
              </w:rPr>
              <w:t>e</w:t>
            </w:r>
            <w:r w:rsidRPr="00B619CB">
              <w:rPr>
                <w:b w:val="0"/>
                <w:bCs w:val="0"/>
                <w:color w:val="C00000"/>
              </w:rPr>
              <w:t xml:space="preserve">) </w:t>
            </w:r>
            <w:r w:rsidR="007027FF" w:rsidRPr="00B619CB">
              <w:rPr>
                <w:b w:val="0"/>
                <w:bCs w:val="0"/>
                <w:color w:val="C00000"/>
              </w:rPr>
              <w:t>the service is not associated with a service to which item 12203, 12204, 12205, 12207, 12208, 12210, 12213, 12215, 12217 or 12250 applies</w:t>
            </w:r>
          </w:p>
          <w:p w14:paraId="231B532C" w14:textId="77777777" w:rsidR="007027FF" w:rsidRPr="00232FCA" w:rsidRDefault="007027FF" w:rsidP="007027FF">
            <w:pPr>
              <w:rPr>
                <w:b w:val="0"/>
                <w:bCs w:val="0"/>
              </w:rPr>
            </w:pPr>
            <w:r w:rsidRPr="00232FCA">
              <w:rPr>
                <w:b w:val="0"/>
                <w:bCs w:val="0"/>
              </w:rPr>
              <w:t>Applicable not more than twice on the same day </w:t>
            </w:r>
          </w:p>
          <w:p w14:paraId="6A527887" w14:textId="77777777" w:rsidR="007027FF" w:rsidRPr="00232FCA" w:rsidRDefault="007027FF" w:rsidP="007027FF">
            <w:pPr>
              <w:rPr>
                <w:b w:val="0"/>
                <w:bCs w:val="0"/>
              </w:rPr>
            </w:pPr>
            <w:r w:rsidRPr="00232FCA">
              <w:rPr>
                <w:b w:val="0"/>
                <w:bCs w:val="0"/>
              </w:rPr>
              <w:t>Note: the service is not provided to the patient as part of an episode of: </w:t>
            </w:r>
          </w:p>
          <w:p w14:paraId="78E6C00F" w14:textId="77777777" w:rsidR="007027FF" w:rsidRPr="00232FCA" w:rsidRDefault="007027FF" w:rsidP="007027FF">
            <w:pPr>
              <w:rPr>
                <w:b w:val="0"/>
                <w:bCs w:val="0"/>
              </w:rPr>
            </w:pPr>
            <w:r w:rsidRPr="00232FCA">
              <w:rPr>
                <w:b w:val="0"/>
                <w:bCs w:val="0"/>
              </w:rPr>
              <w:t>i.</w:t>
            </w:r>
            <w:r w:rsidRPr="00232FCA">
              <w:rPr>
                <w:b w:val="0"/>
                <w:bCs w:val="0"/>
              </w:rPr>
              <w:tab/>
              <w:t xml:space="preserve">hospital treatment; or </w:t>
            </w:r>
          </w:p>
          <w:p w14:paraId="47630AAA" w14:textId="77777777" w:rsidR="007027FF" w:rsidRPr="00232FCA" w:rsidRDefault="007027FF" w:rsidP="007027FF">
            <w:pPr>
              <w:rPr>
                <w:b w:val="0"/>
                <w:bCs w:val="0"/>
              </w:rPr>
            </w:pPr>
            <w:r w:rsidRPr="00232FCA">
              <w:rPr>
                <w:b w:val="0"/>
                <w:bCs w:val="0"/>
              </w:rPr>
              <w:t>ii.</w:t>
            </w:r>
            <w:r w:rsidRPr="00232FCA">
              <w:rPr>
                <w:b w:val="0"/>
                <w:bCs w:val="0"/>
              </w:rPr>
              <w:tab/>
              <w:t>hospital-substitute treatment.</w:t>
            </w:r>
          </w:p>
          <w:p w14:paraId="08F072E3" w14:textId="7725D1B5" w:rsidR="008250A5" w:rsidRPr="00232FCA" w:rsidRDefault="008250A5" w:rsidP="007027FF">
            <w:pPr>
              <w:rPr>
                <w:b w:val="0"/>
                <w:bCs w:val="0"/>
              </w:rPr>
            </w:pPr>
            <w:r w:rsidRPr="00232FCA">
              <w:rPr>
                <w:b w:val="0"/>
                <w:bCs w:val="0"/>
              </w:rPr>
              <w:t>Fee: $2</w:t>
            </w:r>
            <w:r w:rsidR="004F19D5" w:rsidRPr="00232FCA">
              <w:rPr>
                <w:b w:val="0"/>
                <w:bCs w:val="0"/>
              </w:rPr>
              <w:t>8</w:t>
            </w:r>
            <w:r w:rsidRPr="00232FCA">
              <w:rPr>
                <w:b w:val="0"/>
                <w:bCs w:val="0"/>
              </w:rPr>
              <w:t>.</w:t>
            </w:r>
            <w:r w:rsidR="004F19D5" w:rsidRPr="00232FCA">
              <w:rPr>
                <w:b w:val="0"/>
                <w:bCs w:val="0"/>
              </w:rPr>
              <w:t>25</w:t>
            </w:r>
            <w:r w:rsidRPr="00232FCA">
              <w:rPr>
                <w:b w:val="0"/>
                <w:bCs w:val="0"/>
              </w:rPr>
              <w:t> Benefit: 85% = $2</w:t>
            </w:r>
            <w:r w:rsidR="00232FCA" w:rsidRPr="00232FCA">
              <w:rPr>
                <w:b w:val="0"/>
                <w:bCs w:val="0"/>
              </w:rPr>
              <w:t>4</w:t>
            </w:r>
            <w:r w:rsidRPr="00232FCA">
              <w:rPr>
                <w:b w:val="0"/>
                <w:bCs w:val="0"/>
              </w:rPr>
              <w:t>.0</w:t>
            </w:r>
            <w:r w:rsidR="00232FCA" w:rsidRPr="00232FCA">
              <w:rPr>
                <w:b w:val="0"/>
                <w:bCs w:val="0"/>
              </w:rPr>
              <w:t>5</w:t>
            </w:r>
          </w:p>
          <w:p w14:paraId="4C5B1FAA" w14:textId="77777777" w:rsidR="007027FF" w:rsidRPr="00232FCA" w:rsidRDefault="007027FF" w:rsidP="007027FF">
            <w:pPr>
              <w:rPr>
                <w:b w:val="0"/>
                <w:bCs w:val="0"/>
              </w:rPr>
            </w:pPr>
            <w:r w:rsidRPr="00232FCA">
              <w:rPr>
                <w:b w:val="0"/>
                <w:bCs w:val="0"/>
              </w:rPr>
              <w:lastRenderedPageBreak/>
              <w:t>(See para </w:t>
            </w:r>
            <w:hyperlink r:id="rId23" w:tgtFrame="_blank" w:history="1">
              <w:r w:rsidRPr="00232FCA">
                <w:rPr>
                  <w:rStyle w:val="Hyperlink"/>
                  <w:b w:val="0"/>
                  <w:bCs w:val="0"/>
                </w:rPr>
                <w:t>DR.1.4</w:t>
              </w:r>
            </w:hyperlink>
            <w:r w:rsidRPr="00232FCA">
              <w:rPr>
                <w:b w:val="0"/>
                <w:bCs w:val="0"/>
              </w:rPr>
              <w:t> of explanatory notes to this Category)</w:t>
            </w:r>
          </w:p>
          <w:p w14:paraId="305EEB82" w14:textId="77777777" w:rsidR="001A148A" w:rsidRPr="00232FCA" w:rsidRDefault="001A148A" w:rsidP="001A148A">
            <w:pPr>
              <w:rPr>
                <w:b w:val="0"/>
                <w:bCs w:val="0"/>
              </w:rPr>
            </w:pPr>
          </w:p>
          <w:p w14:paraId="70F8A429" w14:textId="37D2E318" w:rsidR="00642F20" w:rsidRPr="00642F20" w:rsidRDefault="00642F20" w:rsidP="001A148A">
            <w:pPr>
              <w:rPr>
                <w:b w:val="0"/>
                <w:bCs w:val="0"/>
              </w:rPr>
            </w:pPr>
            <w:r w:rsidRPr="00642F20">
              <w:rPr>
                <w:b w:val="0"/>
                <w:bCs w:val="0"/>
              </w:rPr>
              <w:t>Private Health Insurance Classification:</w:t>
            </w:r>
          </w:p>
          <w:p w14:paraId="14C0195D" w14:textId="11BF32FF" w:rsidR="00642F20" w:rsidRPr="00642F20" w:rsidRDefault="00642F20" w:rsidP="00642F20">
            <w:pPr>
              <w:pStyle w:val="ListBullet"/>
              <w:rPr>
                <w:b w:val="0"/>
                <w:bCs w:val="0"/>
              </w:rPr>
            </w:pPr>
            <w:r w:rsidRPr="00642F20">
              <w:rPr>
                <w:b w:val="0"/>
                <w:bCs w:val="0"/>
              </w:rPr>
              <w:t xml:space="preserve">Clinical category: </w:t>
            </w:r>
            <w:r w:rsidR="007027FF">
              <w:rPr>
                <w:b w:val="0"/>
                <w:bCs w:val="0"/>
              </w:rPr>
              <w:t>N/a – Not hospital treatment</w:t>
            </w:r>
          </w:p>
          <w:p w14:paraId="2F786A12" w14:textId="6F06FD35" w:rsidR="00642F20" w:rsidRPr="00642F20" w:rsidRDefault="00642F20" w:rsidP="00642F20">
            <w:pPr>
              <w:pStyle w:val="ListBullet"/>
            </w:pPr>
            <w:r w:rsidRPr="00642F20">
              <w:rPr>
                <w:b w:val="0"/>
                <w:bCs w:val="0"/>
              </w:rPr>
              <w:t xml:space="preserve">Procedure type: </w:t>
            </w:r>
            <w:r w:rsidR="007027FF">
              <w:rPr>
                <w:b w:val="0"/>
                <w:bCs w:val="0"/>
              </w:rPr>
              <w:t>N/a – Not hospital treatment</w:t>
            </w:r>
            <w:r w:rsidRPr="00642F20">
              <w:t xml:space="preserve"> </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382F" w14:textId="77777777" w:rsidR="009438EE" w:rsidRDefault="009438EE" w:rsidP="006B56BB">
      <w:r>
        <w:separator/>
      </w:r>
    </w:p>
    <w:p w14:paraId="201B6946" w14:textId="77777777" w:rsidR="009438EE" w:rsidRDefault="009438EE"/>
  </w:endnote>
  <w:endnote w:type="continuationSeparator" w:id="0">
    <w:p w14:paraId="2E9DE1BF" w14:textId="77777777" w:rsidR="009438EE" w:rsidRDefault="009438EE" w:rsidP="006B56BB">
      <w:r>
        <w:continuationSeparator/>
      </w:r>
    </w:p>
    <w:p w14:paraId="79EA1E18" w14:textId="77777777" w:rsidR="009438EE" w:rsidRDefault="009438EE"/>
  </w:endnote>
  <w:endnote w:type="continuationNotice" w:id="1">
    <w:p w14:paraId="5B76C19E" w14:textId="77777777" w:rsidR="009438EE" w:rsidRDefault="0094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4EBF" w14:textId="39D15632" w:rsidR="00B70C49" w:rsidRDefault="00B70C49">
    <w:pPr>
      <w:pStyle w:val="Footer"/>
    </w:pPr>
    <w:r>
      <w:rPr>
        <w:noProof/>
      </w:rPr>
      <mc:AlternateContent>
        <mc:Choice Requires="wps">
          <w:drawing>
            <wp:anchor distT="0" distB="0" distL="0" distR="0" simplePos="0" relativeHeight="251662336" behindDoc="0" locked="0" layoutInCell="1" allowOverlap="1" wp14:anchorId="2EE4891E" wp14:editId="07526F7E">
              <wp:simplePos x="635" y="635"/>
              <wp:positionH relativeFrom="page">
                <wp:align>center</wp:align>
              </wp:positionH>
              <wp:positionV relativeFrom="page">
                <wp:align>bottom</wp:align>
              </wp:positionV>
              <wp:extent cx="622300" cy="480695"/>
              <wp:effectExtent l="0" t="0" r="6350" b="0"/>
              <wp:wrapNone/>
              <wp:docPr id="10582738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620EBE" w14:textId="45DC790C" w:rsidR="00B70C49" w:rsidRPr="00B70C49" w:rsidRDefault="00B70C49" w:rsidP="00B70C49">
                          <w:pPr>
                            <w:spacing w:after="0"/>
                            <w:rPr>
                              <w:rFonts w:ascii="Aptos" w:eastAsia="Aptos" w:hAnsi="Aptos" w:cs="Aptos"/>
                              <w:noProof/>
                              <w:color w:val="FF0000"/>
                              <w:sz w:val="24"/>
                            </w:rPr>
                          </w:pPr>
                          <w:r w:rsidRPr="00B70C4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4891E"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4D620EBE" w14:textId="45DC790C" w:rsidR="00B70C49" w:rsidRPr="00B70C49" w:rsidRDefault="00B70C49" w:rsidP="00B70C49">
                    <w:pPr>
                      <w:spacing w:after="0"/>
                      <w:rPr>
                        <w:rFonts w:ascii="Aptos" w:eastAsia="Aptos" w:hAnsi="Aptos" w:cs="Aptos"/>
                        <w:noProof/>
                        <w:color w:val="FF0000"/>
                        <w:sz w:val="24"/>
                      </w:rPr>
                    </w:pPr>
                    <w:r w:rsidRPr="00B70C49">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261B5253" w:rsidR="00F51321" w:rsidRPr="00BD1D77" w:rsidRDefault="00F924DA"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3256F01" w:rsidR="00F51321" w:rsidRPr="004A4701" w:rsidRDefault="008335C6" w:rsidP="008335C6">
    <w:pPr>
      <w:pStyle w:val="Footer"/>
      <w:tabs>
        <w:tab w:val="clear" w:pos="9026"/>
        <w:tab w:val="right" w:pos="10466"/>
      </w:tabs>
      <w:rPr>
        <w:b/>
        <w:szCs w:val="20"/>
      </w:rPr>
    </w:pPr>
    <w:r w:rsidRPr="008335C6">
      <w:rPr>
        <w:b/>
        <w:szCs w:val="20"/>
      </w:rPr>
      <w:t xml:space="preserve">Amendments to ECG items 11707 and </w:t>
    </w:r>
    <w:proofErr w:type="gramStart"/>
    <w:r w:rsidRPr="008335C6">
      <w:rPr>
        <w:b/>
        <w:szCs w:val="20"/>
      </w:rPr>
      <w:t xml:space="preserve">11714 </w:t>
    </w:r>
    <w:r w:rsidR="00F51321" w:rsidRPr="00BD1D77">
      <w:rPr>
        <w:b/>
        <w:szCs w:val="20"/>
      </w:rPr>
      <w:t xml:space="preserve"> –</w:t>
    </w:r>
    <w:proofErr w:type="gramEnd"/>
    <w:r w:rsidR="00F51321" w:rsidRPr="00BD1D77">
      <w:rPr>
        <w:b/>
        <w:szCs w:val="20"/>
      </w:rPr>
      <w:t xml:space="preserve">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069FB1DB" w14:textId="09BB61B5" w:rsidR="0006527C" w:rsidRPr="0006527C" w:rsidRDefault="00F51321" w:rsidP="0006527C">
    <w:pPr>
      <w:pStyle w:val="Footer"/>
      <w:jc w:val="left"/>
      <w:rPr>
        <w:szCs w:val="20"/>
      </w:rPr>
    </w:pPr>
    <w:r w:rsidRPr="00BD1D77">
      <w:rPr>
        <w:szCs w:val="20"/>
      </w:rPr>
      <w:t xml:space="preserve">Last updated – </w:t>
    </w:r>
    <w:r w:rsidR="00195B41">
      <w:rPr>
        <w:szCs w:val="20"/>
      </w:rPr>
      <w:t>2</w:t>
    </w:r>
    <w:r w:rsidR="006A05FC">
      <w:rPr>
        <w:szCs w:val="20"/>
      </w:rPr>
      <w:t>7</w:t>
    </w:r>
    <w:r w:rsidR="00195B41">
      <w:rPr>
        <w:szCs w:val="20"/>
      </w:rPr>
      <w:t xml:space="preserve"> February 2026</w:t>
    </w:r>
  </w:p>
  <w:p w14:paraId="78B91981" w14:textId="5BAF167D" w:rsidR="00CB03B8" w:rsidRPr="00F51321" w:rsidRDefault="00CB03B8" w:rsidP="0006527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F923569" w:rsidR="00064168" w:rsidRPr="00BD1D77" w:rsidRDefault="00F924DA"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38F5066" w:rsidR="00064168" w:rsidRPr="00BD1D77" w:rsidRDefault="003A4179" w:rsidP="00064168">
    <w:pPr>
      <w:pStyle w:val="Footer"/>
      <w:tabs>
        <w:tab w:val="clear" w:pos="9026"/>
        <w:tab w:val="right" w:pos="10466"/>
      </w:tabs>
      <w:rPr>
        <w:szCs w:val="20"/>
      </w:rPr>
    </w:pPr>
    <w:r>
      <w:rPr>
        <w:b/>
        <w:szCs w:val="20"/>
      </w:rPr>
      <w:t>Amend</w:t>
    </w:r>
    <w:r w:rsidR="00133EEC">
      <w:rPr>
        <w:b/>
        <w:szCs w:val="20"/>
      </w:rPr>
      <w:t>ments to ECG items 11707 and 11714</w:t>
    </w:r>
    <w:r w:rsidR="00E0039D" w:rsidRPr="00E0039D">
      <w:rPr>
        <w:b/>
        <w:szCs w:val="20"/>
      </w:rPr>
      <w:t xml:space="preserve"> – Factsheet </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A41FD57" w14:textId="137BAA5C" w:rsidR="0006527C" w:rsidRPr="0006527C" w:rsidRDefault="00064168" w:rsidP="0006527C">
    <w:pPr>
      <w:pStyle w:val="Footer"/>
      <w:jc w:val="left"/>
      <w:rPr>
        <w:szCs w:val="20"/>
      </w:rPr>
    </w:pPr>
    <w:r w:rsidRPr="00BD1D77">
      <w:rPr>
        <w:szCs w:val="20"/>
      </w:rPr>
      <w:t>Last updated –</w:t>
    </w:r>
    <w:r w:rsidR="00195B41">
      <w:rPr>
        <w:szCs w:val="20"/>
      </w:rPr>
      <w:t xml:space="preserve"> 2</w:t>
    </w:r>
    <w:r w:rsidR="006A05FC">
      <w:rPr>
        <w:szCs w:val="20"/>
      </w:rPr>
      <w:t>7</w:t>
    </w:r>
    <w:r w:rsidR="00195B41">
      <w:rPr>
        <w:szCs w:val="20"/>
      </w:rPr>
      <w:t xml:space="preserve"> February 2026</w:t>
    </w:r>
  </w:p>
  <w:p w14:paraId="03585E81" w14:textId="4E183B63" w:rsidR="00064168" w:rsidRPr="00BD1D77" w:rsidRDefault="00064168" w:rsidP="00064168">
    <w:pPr>
      <w:pStyle w:val="Footer"/>
      <w:jc w:val="left"/>
      <w:rPr>
        <w:szCs w:val="20"/>
      </w:rPr>
    </w:pP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AFBA" w14:textId="77777777" w:rsidR="009438EE" w:rsidRDefault="009438EE" w:rsidP="006B56BB">
      <w:r>
        <w:separator/>
      </w:r>
    </w:p>
    <w:p w14:paraId="0F213C14" w14:textId="77777777" w:rsidR="009438EE" w:rsidRDefault="009438EE"/>
  </w:footnote>
  <w:footnote w:type="continuationSeparator" w:id="0">
    <w:p w14:paraId="73C3E426" w14:textId="77777777" w:rsidR="009438EE" w:rsidRDefault="009438EE" w:rsidP="006B56BB">
      <w:r>
        <w:continuationSeparator/>
      </w:r>
    </w:p>
    <w:p w14:paraId="3D147573" w14:textId="77777777" w:rsidR="009438EE" w:rsidRDefault="009438EE"/>
  </w:footnote>
  <w:footnote w:type="continuationNotice" w:id="1">
    <w:p w14:paraId="449B9459" w14:textId="77777777" w:rsidR="009438EE" w:rsidRDefault="00943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673A" w14:textId="7D25A115" w:rsidR="00B70C49" w:rsidRDefault="00B70C49">
    <w:pPr>
      <w:pStyle w:val="Header"/>
    </w:pPr>
    <w:r>
      <w:rPr>
        <w:noProof/>
      </w:rPr>
      <mc:AlternateContent>
        <mc:Choice Requires="wps">
          <w:drawing>
            <wp:anchor distT="0" distB="0" distL="0" distR="0" simplePos="0" relativeHeight="251659264" behindDoc="0" locked="0" layoutInCell="1" allowOverlap="1" wp14:anchorId="27A19DE3" wp14:editId="2D41134F">
              <wp:simplePos x="635" y="635"/>
              <wp:positionH relativeFrom="page">
                <wp:align>center</wp:align>
              </wp:positionH>
              <wp:positionV relativeFrom="page">
                <wp:align>top</wp:align>
              </wp:positionV>
              <wp:extent cx="622300" cy="480695"/>
              <wp:effectExtent l="0" t="0" r="6350" b="14605"/>
              <wp:wrapNone/>
              <wp:docPr id="11100499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9B48E45" w14:textId="0EC2BB72" w:rsidR="00B70C49" w:rsidRPr="00B70C49" w:rsidRDefault="00B70C49" w:rsidP="00B70C49">
                          <w:pPr>
                            <w:spacing w:after="0"/>
                            <w:rPr>
                              <w:rFonts w:ascii="Aptos" w:eastAsia="Aptos" w:hAnsi="Aptos" w:cs="Aptos"/>
                              <w:noProof/>
                              <w:color w:val="FF0000"/>
                              <w:sz w:val="24"/>
                            </w:rPr>
                          </w:pPr>
                          <w:r w:rsidRPr="00B70C4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A19DE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9B48E45" w14:textId="0EC2BB72" w:rsidR="00B70C49" w:rsidRPr="00B70C49" w:rsidRDefault="00B70C49" w:rsidP="00B70C49">
                    <w:pPr>
                      <w:spacing w:after="0"/>
                      <w:rPr>
                        <w:rFonts w:ascii="Aptos" w:eastAsia="Aptos" w:hAnsi="Aptos" w:cs="Aptos"/>
                        <w:noProof/>
                        <w:color w:val="FF0000"/>
                        <w:sz w:val="24"/>
                      </w:rPr>
                    </w:pPr>
                    <w:r w:rsidRPr="00B70C49">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D49D913" w:rsidR="00B53987" w:rsidRDefault="00076CA6">
    <w:pPr>
      <w:pStyle w:val="Header"/>
    </w:pPr>
    <w:r>
      <w:rPr>
        <w:noProof/>
      </w:rPr>
      <w:drawing>
        <wp:inline distT="0" distB="0" distL="0" distR="0" wp14:anchorId="65EA11D7" wp14:editId="65195B9B">
          <wp:extent cx="3340735" cy="536575"/>
          <wp:effectExtent l="0" t="0" r="0" b="0"/>
          <wp:docPr id="1314828281"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28281"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AD3074"/>
    <w:multiLevelType w:val="hybridMultilevel"/>
    <w:tmpl w:val="2BD6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963A8"/>
    <w:multiLevelType w:val="multilevel"/>
    <w:tmpl w:val="FC0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F880DF2"/>
    <w:multiLevelType w:val="hybridMultilevel"/>
    <w:tmpl w:val="3CD06768"/>
    <w:lvl w:ilvl="0" w:tplc="98822968">
      <w:start w:val="1"/>
      <w:numFmt w:val="bullet"/>
      <w:lvlText w:val=""/>
      <w:lvlJc w:val="left"/>
      <w:pPr>
        <w:ind w:left="1080" w:hanging="360"/>
      </w:pPr>
      <w:rPr>
        <w:rFonts w:ascii="Symbol" w:hAnsi="Symbol"/>
      </w:rPr>
    </w:lvl>
    <w:lvl w:ilvl="1" w:tplc="FE465A10">
      <w:start w:val="1"/>
      <w:numFmt w:val="bullet"/>
      <w:lvlText w:val=""/>
      <w:lvlJc w:val="left"/>
      <w:pPr>
        <w:ind w:left="1080" w:hanging="360"/>
      </w:pPr>
      <w:rPr>
        <w:rFonts w:ascii="Symbol" w:hAnsi="Symbol"/>
      </w:rPr>
    </w:lvl>
    <w:lvl w:ilvl="2" w:tplc="6946400E">
      <w:start w:val="1"/>
      <w:numFmt w:val="bullet"/>
      <w:lvlText w:val=""/>
      <w:lvlJc w:val="left"/>
      <w:pPr>
        <w:ind w:left="1080" w:hanging="360"/>
      </w:pPr>
      <w:rPr>
        <w:rFonts w:ascii="Symbol" w:hAnsi="Symbol"/>
      </w:rPr>
    </w:lvl>
    <w:lvl w:ilvl="3" w:tplc="E372301A">
      <w:start w:val="1"/>
      <w:numFmt w:val="bullet"/>
      <w:lvlText w:val=""/>
      <w:lvlJc w:val="left"/>
      <w:pPr>
        <w:ind w:left="1080" w:hanging="360"/>
      </w:pPr>
      <w:rPr>
        <w:rFonts w:ascii="Symbol" w:hAnsi="Symbol"/>
      </w:rPr>
    </w:lvl>
    <w:lvl w:ilvl="4" w:tplc="A1A6EFD6">
      <w:start w:val="1"/>
      <w:numFmt w:val="bullet"/>
      <w:lvlText w:val=""/>
      <w:lvlJc w:val="left"/>
      <w:pPr>
        <w:ind w:left="1080" w:hanging="360"/>
      </w:pPr>
      <w:rPr>
        <w:rFonts w:ascii="Symbol" w:hAnsi="Symbol"/>
      </w:rPr>
    </w:lvl>
    <w:lvl w:ilvl="5" w:tplc="7658B1AE">
      <w:start w:val="1"/>
      <w:numFmt w:val="bullet"/>
      <w:lvlText w:val=""/>
      <w:lvlJc w:val="left"/>
      <w:pPr>
        <w:ind w:left="1080" w:hanging="360"/>
      </w:pPr>
      <w:rPr>
        <w:rFonts w:ascii="Symbol" w:hAnsi="Symbol"/>
      </w:rPr>
    </w:lvl>
    <w:lvl w:ilvl="6" w:tplc="0C78D9AE">
      <w:start w:val="1"/>
      <w:numFmt w:val="bullet"/>
      <w:lvlText w:val=""/>
      <w:lvlJc w:val="left"/>
      <w:pPr>
        <w:ind w:left="1080" w:hanging="360"/>
      </w:pPr>
      <w:rPr>
        <w:rFonts w:ascii="Symbol" w:hAnsi="Symbol"/>
      </w:rPr>
    </w:lvl>
    <w:lvl w:ilvl="7" w:tplc="83FCCDA6">
      <w:start w:val="1"/>
      <w:numFmt w:val="bullet"/>
      <w:lvlText w:val=""/>
      <w:lvlJc w:val="left"/>
      <w:pPr>
        <w:ind w:left="1080" w:hanging="360"/>
      </w:pPr>
      <w:rPr>
        <w:rFonts w:ascii="Symbol" w:hAnsi="Symbol"/>
      </w:rPr>
    </w:lvl>
    <w:lvl w:ilvl="8" w:tplc="F04C5888">
      <w:start w:val="1"/>
      <w:numFmt w:val="bullet"/>
      <w:lvlText w:val=""/>
      <w:lvlJc w:val="left"/>
      <w:pPr>
        <w:ind w:left="1080" w:hanging="360"/>
      </w:pPr>
      <w:rPr>
        <w:rFonts w:ascii="Symbol" w:hAnsi="Symbol"/>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F332B1"/>
    <w:multiLevelType w:val="multilevel"/>
    <w:tmpl w:val="BB2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055C2D"/>
    <w:multiLevelType w:val="multilevel"/>
    <w:tmpl w:val="F54C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9"/>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2"/>
  </w:num>
  <w:num w:numId="18" w16cid:durableId="828592903">
    <w:abstractNumId w:val="14"/>
  </w:num>
  <w:num w:numId="19" w16cid:durableId="1273391997">
    <w:abstractNumId w:val="17"/>
  </w:num>
  <w:num w:numId="20" w16cid:durableId="2041469188">
    <w:abstractNumId w:val="12"/>
  </w:num>
  <w:num w:numId="21" w16cid:durableId="120997448">
    <w:abstractNumId w:val="17"/>
  </w:num>
  <w:num w:numId="22" w16cid:durableId="1088427743">
    <w:abstractNumId w:val="26"/>
  </w:num>
  <w:num w:numId="23" w16cid:durableId="111368400">
    <w:abstractNumId w:val="21"/>
  </w:num>
  <w:num w:numId="24" w16cid:durableId="815339056">
    <w:abstractNumId w:val="24"/>
  </w:num>
  <w:num w:numId="25" w16cid:durableId="743180995">
    <w:abstractNumId w:val="8"/>
  </w:num>
  <w:num w:numId="26" w16cid:durableId="320358050">
    <w:abstractNumId w:val="20"/>
  </w:num>
  <w:num w:numId="27" w16cid:durableId="508569404">
    <w:abstractNumId w:val="13"/>
  </w:num>
  <w:num w:numId="28" w16cid:durableId="1416364898">
    <w:abstractNumId w:val="16"/>
  </w:num>
  <w:num w:numId="29" w16cid:durableId="100344043">
    <w:abstractNumId w:val="11"/>
  </w:num>
  <w:num w:numId="30" w16cid:durableId="1575821124">
    <w:abstractNumId w:val="13"/>
  </w:num>
  <w:num w:numId="31" w16cid:durableId="1187331409">
    <w:abstractNumId w:val="22"/>
  </w:num>
  <w:num w:numId="32" w16cid:durableId="461197456">
    <w:abstractNumId w:val="25"/>
  </w:num>
  <w:num w:numId="33" w16cid:durableId="869954556">
    <w:abstractNumId w:val="13"/>
  </w:num>
  <w:num w:numId="34" w16cid:durableId="745956172">
    <w:abstractNumId w:val="15"/>
  </w:num>
  <w:num w:numId="35" w16cid:durableId="832454196">
    <w:abstractNumId w:val="10"/>
  </w:num>
  <w:num w:numId="36" w16cid:durableId="1996061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6C"/>
    <w:rsid w:val="00001F47"/>
    <w:rsid w:val="0000316E"/>
    <w:rsid w:val="00003743"/>
    <w:rsid w:val="00003D1C"/>
    <w:rsid w:val="000047B4"/>
    <w:rsid w:val="00005712"/>
    <w:rsid w:val="00007FD8"/>
    <w:rsid w:val="000117F8"/>
    <w:rsid w:val="00012AD6"/>
    <w:rsid w:val="0001460F"/>
    <w:rsid w:val="00022629"/>
    <w:rsid w:val="00024DFE"/>
    <w:rsid w:val="00024F6C"/>
    <w:rsid w:val="00026139"/>
    <w:rsid w:val="00027601"/>
    <w:rsid w:val="00033321"/>
    <w:rsid w:val="000338E5"/>
    <w:rsid w:val="00033ECC"/>
    <w:rsid w:val="0003422F"/>
    <w:rsid w:val="00041666"/>
    <w:rsid w:val="00046FF0"/>
    <w:rsid w:val="00050176"/>
    <w:rsid w:val="00050342"/>
    <w:rsid w:val="00054D62"/>
    <w:rsid w:val="00056A81"/>
    <w:rsid w:val="00062CFD"/>
    <w:rsid w:val="00064168"/>
    <w:rsid w:val="0006527C"/>
    <w:rsid w:val="00067456"/>
    <w:rsid w:val="00071506"/>
    <w:rsid w:val="0007154F"/>
    <w:rsid w:val="00076CA6"/>
    <w:rsid w:val="00080BAC"/>
    <w:rsid w:val="0008148A"/>
    <w:rsid w:val="00081AB1"/>
    <w:rsid w:val="00090316"/>
    <w:rsid w:val="00093981"/>
    <w:rsid w:val="000A005B"/>
    <w:rsid w:val="000B067A"/>
    <w:rsid w:val="000B1540"/>
    <w:rsid w:val="000B1E53"/>
    <w:rsid w:val="000B2849"/>
    <w:rsid w:val="000B33FD"/>
    <w:rsid w:val="000B4ABA"/>
    <w:rsid w:val="000C0475"/>
    <w:rsid w:val="000C3A9E"/>
    <w:rsid w:val="000C4B16"/>
    <w:rsid w:val="000C50C3"/>
    <w:rsid w:val="000C5E14"/>
    <w:rsid w:val="000C686C"/>
    <w:rsid w:val="000D21F6"/>
    <w:rsid w:val="000D4500"/>
    <w:rsid w:val="000D774A"/>
    <w:rsid w:val="000D7AEA"/>
    <w:rsid w:val="000E2C66"/>
    <w:rsid w:val="000E5DB9"/>
    <w:rsid w:val="000F0389"/>
    <w:rsid w:val="000F123C"/>
    <w:rsid w:val="000F2FED"/>
    <w:rsid w:val="000F38F4"/>
    <w:rsid w:val="0010616D"/>
    <w:rsid w:val="00107FB4"/>
    <w:rsid w:val="00110478"/>
    <w:rsid w:val="00111901"/>
    <w:rsid w:val="001143C9"/>
    <w:rsid w:val="0011711B"/>
    <w:rsid w:val="00117F8A"/>
    <w:rsid w:val="00120EF7"/>
    <w:rsid w:val="001210F8"/>
    <w:rsid w:val="00121B9B"/>
    <w:rsid w:val="00122ADC"/>
    <w:rsid w:val="001245EF"/>
    <w:rsid w:val="0012707F"/>
    <w:rsid w:val="00130F59"/>
    <w:rsid w:val="00133EC0"/>
    <w:rsid w:val="00133EEC"/>
    <w:rsid w:val="00141CE5"/>
    <w:rsid w:val="0014223F"/>
    <w:rsid w:val="00144908"/>
    <w:rsid w:val="0015639D"/>
    <w:rsid w:val="00156D96"/>
    <w:rsid w:val="001571C7"/>
    <w:rsid w:val="00161094"/>
    <w:rsid w:val="00161B59"/>
    <w:rsid w:val="00172FFE"/>
    <w:rsid w:val="0017665C"/>
    <w:rsid w:val="00177AD2"/>
    <w:rsid w:val="001815A8"/>
    <w:rsid w:val="001840FA"/>
    <w:rsid w:val="00185B51"/>
    <w:rsid w:val="00190079"/>
    <w:rsid w:val="00195B41"/>
    <w:rsid w:val="0019622E"/>
    <w:rsid w:val="001966A7"/>
    <w:rsid w:val="0019761F"/>
    <w:rsid w:val="001A148A"/>
    <w:rsid w:val="001A2646"/>
    <w:rsid w:val="001A4627"/>
    <w:rsid w:val="001A4979"/>
    <w:rsid w:val="001A58D5"/>
    <w:rsid w:val="001B0AC1"/>
    <w:rsid w:val="001B15D3"/>
    <w:rsid w:val="001B3443"/>
    <w:rsid w:val="001C0326"/>
    <w:rsid w:val="001C192F"/>
    <w:rsid w:val="001C3C42"/>
    <w:rsid w:val="001C5368"/>
    <w:rsid w:val="001D7869"/>
    <w:rsid w:val="001E59EF"/>
    <w:rsid w:val="001F09E4"/>
    <w:rsid w:val="001F13DF"/>
    <w:rsid w:val="001F3920"/>
    <w:rsid w:val="001F76C6"/>
    <w:rsid w:val="002026CD"/>
    <w:rsid w:val="002033FC"/>
    <w:rsid w:val="002044BB"/>
    <w:rsid w:val="002074B6"/>
    <w:rsid w:val="00210B09"/>
    <w:rsid w:val="00210C9E"/>
    <w:rsid w:val="0021129C"/>
    <w:rsid w:val="00211840"/>
    <w:rsid w:val="00220E5F"/>
    <w:rsid w:val="002212B5"/>
    <w:rsid w:val="002215C5"/>
    <w:rsid w:val="00226668"/>
    <w:rsid w:val="00232FCA"/>
    <w:rsid w:val="00233809"/>
    <w:rsid w:val="0023472D"/>
    <w:rsid w:val="00234CB9"/>
    <w:rsid w:val="00237A42"/>
    <w:rsid w:val="00240046"/>
    <w:rsid w:val="00242D68"/>
    <w:rsid w:val="0024650C"/>
    <w:rsid w:val="0024797F"/>
    <w:rsid w:val="00247B7B"/>
    <w:rsid w:val="00250C4D"/>
    <w:rsid w:val="0025119E"/>
    <w:rsid w:val="00251269"/>
    <w:rsid w:val="002535C0"/>
    <w:rsid w:val="002547B4"/>
    <w:rsid w:val="002579FE"/>
    <w:rsid w:val="00260552"/>
    <w:rsid w:val="0026311C"/>
    <w:rsid w:val="0026668C"/>
    <w:rsid w:val="00266AC1"/>
    <w:rsid w:val="0027178C"/>
    <w:rsid w:val="00271954"/>
    <w:rsid w:val="002719FA"/>
    <w:rsid w:val="00272668"/>
    <w:rsid w:val="0027329C"/>
    <w:rsid w:val="0027330B"/>
    <w:rsid w:val="00276CB4"/>
    <w:rsid w:val="002803AD"/>
    <w:rsid w:val="00281FEB"/>
    <w:rsid w:val="00282052"/>
    <w:rsid w:val="0028252F"/>
    <w:rsid w:val="002831A3"/>
    <w:rsid w:val="0028519E"/>
    <w:rsid w:val="002856A5"/>
    <w:rsid w:val="002872ED"/>
    <w:rsid w:val="002905C2"/>
    <w:rsid w:val="00290F22"/>
    <w:rsid w:val="00292535"/>
    <w:rsid w:val="00292E9A"/>
    <w:rsid w:val="00295AF2"/>
    <w:rsid w:val="00295C91"/>
    <w:rsid w:val="00297151"/>
    <w:rsid w:val="002B20E6"/>
    <w:rsid w:val="002B42A3"/>
    <w:rsid w:val="002B6497"/>
    <w:rsid w:val="002C0CDD"/>
    <w:rsid w:val="002C2ACB"/>
    <w:rsid w:val="002C38C4"/>
    <w:rsid w:val="002C46AA"/>
    <w:rsid w:val="002C6AB0"/>
    <w:rsid w:val="002D0241"/>
    <w:rsid w:val="002D65A2"/>
    <w:rsid w:val="002E1A1D"/>
    <w:rsid w:val="002E4081"/>
    <w:rsid w:val="002E5B78"/>
    <w:rsid w:val="002F12BC"/>
    <w:rsid w:val="002F3AE3"/>
    <w:rsid w:val="00300B32"/>
    <w:rsid w:val="00302AC9"/>
    <w:rsid w:val="0030464B"/>
    <w:rsid w:val="00305048"/>
    <w:rsid w:val="0030786C"/>
    <w:rsid w:val="00312B90"/>
    <w:rsid w:val="00317B29"/>
    <w:rsid w:val="0031C2DD"/>
    <w:rsid w:val="003233DE"/>
    <w:rsid w:val="0032466B"/>
    <w:rsid w:val="00330A0E"/>
    <w:rsid w:val="0033246C"/>
    <w:rsid w:val="003330EB"/>
    <w:rsid w:val="00333C73"/>
    <w:rsid w:val="003415FD"/>
    <w:rsid w:val="003429F0"/>
    <w:rsid w:val="00345A82"/>
    <w:rsid w:val="00346A5D"/>
    <w:rsid w:val="00350035"/>
    <w:rsid w:val="0035097A"/>
    <w:rsid w:val="00353C8E"/>
    <w:rsid w:val="003540A4"/>
    <w:rsid w:val="00357A45"/>
    <w:rsid w:val="00357BCC"/>
    <w:rsid w:val="00360E4E"/>
    <w:rsid w:val="00364918"/>
    <w:rsid w:val="00370AAA"/>
    <w:rsid w:val="00375F77"/>
    <w:rsid w:val="00381BBE"/>
    <w:rsid w:val="00382903"/>
    <w:rsid w:val="003832F8"/>
    <w:rsid w:val="003846FF"/>
    <w:rsid w:val="003851D7"/>
    <w:rsid w:val="003857D4"/>
    <w:rsid w:val="00385AD4"/>
    <w:rsid w:val="00385C01"/>
    <w:rsid w:val="00387924"/>
    <w:rsid w:val="0039384D"/>
    <w:rsid w:val="00394560"/>
    <w:rsid w:val="00395C23"/>
    <w:rsid w:val="003A2E4F"/>
    <w:rsid w:val="003A3404"/>
    <w:rsid w:val="003A4179"/>
    <w:rsid w:val="003A4438"/>
    <w:rsid w:val="003A5013"/>
    <w:rsid w:val="003A5078"/>
    <w:rsid w:val="003A62DD"/>
    <w:rsid w:val="003A775A"/>
    <w:rsid w:val="003B213A"/>
    <w:rsid w:val="003B326B"/>
    <w:rsid w:val="003B43AD"/>
    <w:rsid w:val="003C0FEC"/>
    <w:rsid w:val="003C2AC8"/>
    <w:rsid w:val="003D033A"/>
    <w:rsid w:val="003D17F9"/>
    <w:rsid w:val="003D2D88"/>
    <w:rsid w:val="003D3997"/>
    <w:rsid w:val="003D419D"/>
    <w:rsid w:val="003D41EA"/>
    <w:rsid w:val="003D4850"/>
    <w:rsid w:val="003D535A"/>
    <w:rsid w:val="003D56A1"/>
    <w:rsid w:val="003D62ED"/>
    <w:rsid w:val="003E4A03"/>
    <w:rsid w:val="003E5265"/>
    <w:rsid w:val="003E63A5"/>
    <w:rsid w:val="003F0955"/>
    <w:rsid w:val="003F0F91"/>
    <w:rsid w:val="003F5F4D"/>
    <w:rsid w:val="003F646F"/>
    <w:rsid w:val="00400F00"/>
    <w:rsid w:val="0040294C"/>
    <w:rsid w:val="00403AA0"/>
    <w:rsid w:val="00404F8B"/>
    <w:rsid w:val="00405256"/>
    <w:rsid w:val="00405ADD"/>
    <w:rsid w:val="004072C8"/>
    <w:rsid w:val="00407C6E"/>
    <w:rsid w:val="00410031"/>
    <w:rsid w:val="00415C81"/>
    <w:rsid w:val="00425AB9"/>
    <w:rsid w:val="00432378"/>
    <w:rsid w:val="00433AE3"/>
    <w:rsid w:val="00436B08"/>
    <w:rsid w:val="00440D65"/>
    <w:rsid w:val="00442EFF"/>
    <w:rsid w:val="004435E6"/>
    <w:rsid w:val="00447E31"/>
    <w:rsid w:val="004537D2"/>
    <w:rsid w:val="00453923"/>
    <w:rsid w:val="00454B9B"/>
    <w:rsid w:val="00454D46"/>
    <w:rsid w:val="00457858"/>
    <w:rsid w:val="00460B0B"/>
    <w:rsid w:val="00461023"/>
    <w:rsid w:val="00462FAC"/>
    <w:rsid w:val="00464631"/>
    <w:rsid w:val="00464B79"/>
    <w:rsid w:val="00467BBF"/>
    <w:rsid w:val="004837BC"/>
    <w:rsid w:val="0048593C"/>
    <w:rsid w:val="004867E2"/>
    <w:rsid w:val="00490F0F"/>
    <w:rsid w:val="00490FFF"/>
    <w:rsid w:val="004929A9"/>
    <w:rsid w:val="004A2D1B"/>
    <w:rsid w:val="004A4701"/>
    <w:rsid w:val="004A78D9"/>
    <w:rsid w:val="004B1030"/>
    <w:rsid w:val="004B5FFD"/>
    <w:rsid w:val="004C1BCD"/>
    <w:rsid w:val="004C3673"/>
    <w:rsid w:val="004C6BCF"/>
    <w:rsid w:val="004D58BF"/>
    <w:rsid w:val="004D5E3F"/>
    <w:rsid w:val="004E4335"/>
    <w:rsid w:val="004E5226"/>
    <w:rsid w:val="004F13EE"/>
    <w:rsid w:val="004F19D5"/>
    <w:rsid w:val="004F2022"/>
    <w:rsid w:val="004F7C05"/>
    <w:rsid w:val="00501C94"/>
    <w:rsid w:val="005046FC"/>
    <w:rsid w:val="00506432"/>
    <w:rsid w:val="00506E82"/>
    <w:rsid w:val="005141D2"/>
    <w:rsid w:val="0052051D"/>
    <w:rsid w:val="00525479"/>
    <w:rsid w:val="00545EE6"/>
    <w:rsid w:val="005550E7"/>
    <w:rsid w:val="005564FB"/>
    <w:rsid w:val="005565B8"/>
    <w:rsid w:val="00556D59"/>
    <w:rsid w:val="0055706A"/>
    <w:rsid w:val="005572C7"/>
    <w:rsid w:val="00564721"/>
    <w:rsid w:val="005650ED"/>
    <w:rsid w:val="00566B39"/>
    <w:rsid w:val="00566B81"/>
    <w:rsid w:val="00573292"/>
    <w:rsid w:val="00575754"/>
    <w:rsid w:val="00581FBA"/>
    <w:rsid w:val="005858A4"/>
    <w:rsid w:val="00585DB6"/>
    <w:rsid w:val="00591E20"/>
    <w:rsid w:val="005920E7"/>
    <w:rsid w:val="00593856"/>
    <w:rsid w:val="00595408"/>
    <w:rsid w:val="00595E84"/>
    <w:rsid w:val="005A0C59"/>
    <w:rsid w:val="005A48EB"/>
    <w:rsid w:val="005A6BB8"/>
    <w:rsid w:val="005A6CFB"/>
    <w:rsid w:val="005C4B3E"/>
    <w:rsid w:val="005C5AEB"/>
    <w:rsid w:val="005D014A"/>
    <w:rsid w:val="005D5F4E"/>
    <w:rsid w:val="005E0A3F"/>
    <w:rsid w:val="005E1AF9"/>
    <w:rsid w:val="005E2D76"/>
    <w:rsid w:val="005E659D"/>
    <w:rsid w:val="005E6883"/>
    <w:rsid w:val="005E772F"/>
    <w:rsid w:val="005F4ECA"/>
    <w:rsid w:val="006041BE"/>
    <w:rsid w:val="006043C7"/>
    <w:rsid w:val="00604E4B"/>
    <w:rsid w:val="00613F67"/>
    <w:rsid w:val="00614486"/>
    <w:rsid w:val="00616FE1"/>
    <w:rsid w:val="00624B52"/>
    <w:rsid w:val="00630794"/>
    <w:rsid w:val="00631DF4"/>
    <w:rsid w:val="00634175"/>
    <w:rsid w:val="0063574E"/>
    <w:rsid w:val="006408AC"/>
    <w:rsid w:val="00642F20"/>
    <w:rsid w:val="00647FAB"/>
    <w:rsid w:val="006511B6"/>
    <w:rsid w:val="0065131D"/>
    <w:rsid w:val="00657FF8"/>
    <w:rsid w:val="0066598A"/>
    <w:rsid w:val="00666738"/>
    <w:rsid w:val="00670D99"/>
    <w:rsid w:val="00670E2B"/>
    <w:rsid w:val="006734BB"/>
    <w:rsid w:val="0067697A"/>
    <w:rsid w:val="00676D2F"/>
    <w:rsid w:val="006821EB"/>
    <w:rsid w:val="006920E9"/>
    <w:rsid w:val="006926D2"/>
    <w:rsid w:val="00692E38"/>
    <w:rsid w:val="00693A51"/>
    <w:rsid w:val="006A05FC"/>
    <w:rsid w:val="006A7C8A"/>
    <w:rsid w:val="006B2286"/>
    <w:rsid w:val="006B56BB"/>
    <w:rsid w:val="006C085B"/>
    <w:rsid w:val="006C0AE2"/>
    <w:rsid w:val="006C2CE6"/>
    <w:rsid w:val="006C3E5F"/>
    <w:rsid w:val="006C5929"/>
    <w:rsid w:val="006C77A8"/>
    <w:rsid w:val="006D22A7"/>
    <w:rsid w:val="006D4098"/>
    <w:rsid w:val="006D67F4"/>
    <w:rsid w:val="006D7681"/>
    <w:rsid w:val="006D79CB"/>
    <w:rsid w:val="006D7B2E"/>
    <w:rsid w:val="006E02EA"/>
    <w:rsid w:val="006E0968"/>
    <w:rsid w:val="006E1825"/>
    <w:rsid w:val="006E275D"/>
    <w:rsid w:val="006E2AF6"/>
    <w:rsid w:val="006E43F5"/>
    <w:rsid w:val="006F0A38"/>
    <w:rsid w:val="006F20DE"/>
    <w:rsid w:val="006F48BB"/>
    <w:rsid w:val="006F5073"/>
    <w:rsid w:val="00701275"/>
    <w:rsid w:val="007027FF"/>
    <w:rsid w:val="00707F56"/>
    <w:rsid w:val="00713558"/>
    <w:rsid w:val="00720D08"/>
    <w:rsid w:val="00722517"/>
    <w:rsid w:val="007263B9"/>
    <w:rsid w:val="00726B61"/>
    <w:rsid w:val="007334F8"/>
    <w:rsid w:val="007339CD"/>
    <w:rsid w:val="007359D8"/>
    <w:rsid w:val="00735A81"/>
    <w:rsid w:val="007362D4"/>
    <w:rsid w:val="00743AB9"/>
    <w:rsid w:val="00744B30"/>
    <w:rsid w:val="00746C16"/>
    <w:rsid w:val="0076672A"/>
    <w:rsid w:val="00771254"/>
    <w:rsid w:val="00775E45"/>
    <w:rsid w:val="00776E74"/>
    <w:rsid w:val="007829A9"/>
    <w:rsid w:val="00785169"/>
    <w:rsid w:val="007902CA"/>
    <w:rsid w:val="00794A1D"/>
    <w:rsid w:val="007954AB"/>
    <w:rsid w:val="0079786E"/>
    <w:rsid w:val="007A14C5"/>
    <w:rsid w:val="007A4A10"/>
    <w:rsid w:val="007A7AFA"/>
    <w:rsid w:val="007B07AF"/>
    <w:rsid w:val="007B1750"/>
    <w:rsid w:val="007B1760"/>
    <w:rsid w:val="007C1FDC"/>
    <w:rsid w:val="007C2BAB"/>
    <w:rsid w:val="007C31DD"/>
    <w:rsid w:val="007C32D9"/>
    <w:rsid w:val="007C343D"/>
    <w:rsid w:val="007C5CDE"/>
    <w:rsid w:val="007C6D9C"/>
    <w:rsid w:val="007C7DDB"/>
    <w:rsid w:val="007D1220"/>
    <w:rsid w:val="007D2CC7"/>
    <w:rsid w:val="007D65B1"/>
    <w:rsid w:val="007D673D"/>
    <w:rsid w:val="007E0068"/>
    <w:rsid w:val="007E0FB8"/>
    <w:rsid w:val="007E40BE"/>
    <w:rsid w:val="007E4D09"/>
    <w:rsid w:val="007F2220"/>
    <w:rsid w:val="007F4B3E"/>
    <w:rsid w:val="0081067E"/>
    <w:rsid w:val="00811A25"/>
    <w:rsid w:val="008127AF"/>
    <w:rsid w:val="00812B46"/>
    <w:rsid w:val="00815700"/>
    <w:rsid w:val="0082246B"/>
    <w:rsid w:val="008250A5"/>
    <w:rsid w:val="008264EB"/>
    <w:rsid w:val="00826B8F"/>
    <w:rsid w:val="00831E8A"/>
    <w:rsid w:val="008335C6"/>
    <w:rsid w:val="0083595B"/>
    <w:rsid w:val="00835C76"/>
    <w:rsid w:val="008376E2"/>
    <w:rsid w:val="00841728"/>
    <w:rsid w:val="00843049"/>
    <w:rsid w:val="008437CA"/>
    <w:rsid w:val="00850E5D"/>
    <w:rsid w:val="0085209B"/>
    <w:rsid w:val="00856B66"/>
    <w:rsid w:val="008601AC"/>
    <w:rsid w:val="0086150A"/>
    <w:rsid w:val="00861A5F"/>
    <w:rsid w:val="00863DA2"/>
    <w:rsid w:val="008644AD"/>
    <w:rsid w:val="0086531E"/>
    <w:rsid w:val="00865735"/>
    <w:rsid w:val="0086599E"/>
    <w:rsid w:val="00865DDB"/>
    <w:rsid w:val="00867538"/>
    <w:rsid w:val="00870359"/>
    <w:rsid w:val="00873D90"/>
    <w:rsid w:val="00873FAD"/>
    <w:rsid w:val="00873FC8"/>
    <w:rsid w:val="00884C63"/>
    <w:rsid w:val="00885724"/>
    <w:rsid w:val="00885908"/>
    <w:rsid w:val="008864B7"/>
    <w:rsid w:val="008907B8"/>
    <w:rsid w:val="0089677E"/>
    <w:rsid w:val="008A7438"/>
    <w:rsid w:val="008B1334"/>
    <w:rsid w:val="008B25C7"/>
    <w:rsid w:val="008B5CA3"/>
    <w:rsid w:val="008C0278"/>
    <w:rsid w:val="008C0E6C"/>
    <w:rsid w:val="008C24E9"/>
    <w:rsid w:val="008D0533"/>
    <w:rsid w:val="008D42CB"/>
    <w:rsid w:val="008D48C9"/>
    <w:rsid w:val="008D6381"/>
    <w:rsid w:val="008E007D"/>
    <w:rsid w:val="008E0C77"/>
    <w:rsid w:val="008E285A"/>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276C9"/>
    <w:rsid w:val="0093116E"/>
    <w:rsid w:val="0093211A"/>
    <w:rsid w:val="0093226A"/>
    <w:rsid w:val="009344AE"/>
    <w:rsid w:val="009344DE"/>
    <w:rsid w:val="0093586B"/>
    <w:rsid w:val="009438EE"/>
    <w:rsid w:val="00945E7F"/>
    <w:rsid w:val="00946A66"/>
    <w:rsid w:val="009518C7"/>
    <w:rsid w:val="00953CD7"/>
    <w:rsid w:val="009557C1"/>
    <w:rsid w:val="00960D6E"/>
    <w:rsid w:val="009638EA"/>
    <w:rsid w:val="009639A2"/>
    <w:rsid w:val="00964054"/>
    <w:rsid w:val="00965CCE"/>
    <w:rsid w:val="009676C9"/>
    <w:rsid w:val="00974B59"/>
    <w:rsid w:val="00980BFB"/>
    <w:rsid w:val="0098166B"/>
    <w:rsid w:val="0098340B"/>
    <w:rsid w:val="00984215"/>
    <w:rsid w:val="00986830"/>
    <w:rsid w:val="0099162E"/>
    <w:rsid w:val="009924C3"/>
    <w:rsid w:val="00993102"/>
    <w:rsid w:val="009B1570"/>
    <w:rsid w:val="009B4E52"/>
    <w:rsid w:val="009C07CF"/>
    <w:rsid w:val="009C5A99"/>
    <w:rsid w:val="009C6F10"/>
    <w:rsid w:val="009D148F"/>
    <w:rsid w:val="009D3D70"/>
    <w:rsid w:val="009D3EA5"/>
    <w:rsid w:val="009D73A9"/>
    <w:rsid w:val="009E6F7E"/>
    <w:rsid w:val="009E73E9"/>
    <w:rsid w:val="009E7A57"/>
    <w:rsid w:val="009F02ED"/>
    <w:rsid w:val="009F0F9C"/>
    <w:rsid w:val="009F4803"/>
    <w:rsid w:val="009F4F6A"/>
    <w:rsid w:val="009F5046"/>
    <w:rsid w:val="009F5916"/>
    <w:rsid w:val="00A13EB5"/>
    <w:rsid w:val="00A14EC2"/>
    <w:rsid w:val="00A15443"/>
    <w:rsid w:val="00A16E36"/>
    <w:rsid w:val="00A23012"/>
    <w:rsid w:val="00A24961"/>
    <w:rsid w:val="00A24B10"/>
    <w:rsid w:val="00A277EF"/>
    <w:rsid w:val="00A30E9B"/>
    <w:rsid w:val="00A34BD0"/>
    <w:rsid w:val="00A412B4"/>
    <w:rsid w:val="00A4512D"/>
    <w:rsid w:val="00A50244"/>
    <w:rsid w:val="00A5441A"/>
    <w:rsid w:val="00A627D7"/>
    <w:rsid w:val="00A65166"/>
    <w:rsid w:val="00A656C7"/>
    <w:rsid w:val="00A705AF"/>
    <w:rsid w:val="00A719F6"/>
    <w:rsid w:val="00A72454"/>
    <w:rsid w:val="00A77696"/>
    <w:rsid w:val="00A80557"/>
    <w:rsid w:val="00A81D33"/>
    <w:rsid w:val="00A8341C"/>
    <w:rsid w:val="00A8695F"/>
    <w:rsid w:val="00A87813"/>
    <w:rsid w:val="00A930AE"/>
    <w:rsid w:val="00AA1A95"/>
    <w:rsid w:val="00AA260F"/>
    <w:rsid w:val="00AA48F6"/>
    <w:rsid w:val="00AB1EE7"/>
    <w:rsid w:val="00AB2B2E"/>
    <w:rsid w:val="00AB4B37"/>
    <w:rsid w:val="00AB5762"/>
    <w:rsid w:val="00AB75BB"/>
    <w:rsid w:val="00AC2679"/>
    <w:rsid w:val="00AC4BE4"/>
    <w:rsid w:val="00AC6513"/>
    <w:rsid w:val="00AD05E6"/>
    <w:rsid w:val="00AD0D3F"/>
    <w:rsid w:val="00AD5D07"/>
    <w:rsid w:val="00AD61F9"/>
    <w:rsid w:val="00AE0841"/>
    <w:rsid w:val="00AE1D7D"/>
    <w:rsid w:val="00AE21A4"/>
    <w:rsid w:val="00AE2A8B"/>
    <w:rsid w:val="00AE3F64"/>
    <w:rsid w:val="00AE6F9C"/>
    <w:rsid w:val="00AF7386"/>
    <w:rsid w:val="00AF7934"/>
    <w:rsid w:val="00B00B81"/>
    <w:rsid w:val="00B04580"/>
    <w:rsid w:val="00B04B09"/>
    <w:rsid w:val="00B11A37"/>
    <w:rsid w:val="00B16A51"/>
    <w:rsid w:val="00B16E54"/>
    <w:rsid w:val="00B213C7"/>
    <w:rsid w:val="00B21546"/>
    <w:rsid w:val="00B24CBC"/>
    <w:rsid w:val="00B27A99"/>
    <w:rsid w:val="00B318E1"/>
    <w:rsid w:val="00B32222"/>
    <w:rsid w:val="00B32567"/>
    <w:rsid w:val="00B3618D"/>
    <w:rsid w:val="00B36233"/>
    <w:rsid w:val="00B37458"/>
    <w:rsid w:val="00B42851"/>
    <w:rsid w:val="00B42942"/>
    <w:rsid w:val="00B42D06"/>
    <w:rsid w:val="00B45350"/>
    <w:rsid w:val="00B45AC7"/>
    <w:rsid w:val="00B465D0"/>
    <w:rsid w:val="00B508DC"/>
    <w:rsid w:val="00B5372F"/>
    <w:rsid w:val="00B53987"/>
    <w:rsid w:val="00B61129"/>
    <w:rsid w:val="00B619CB"/>
    <w:rsid w:val="00B6305C"/>
    <w:rsid w:val="00B67E7F"/>
    <w:rsid w:val="00B70C49"/>
    <w:rsid w:val="00B71DEF"/>
    <w:rsid w:val="00B76DB3"/>
    <w:rsid w:val="00B80440"/>
    <w:rsid w:val="00B830F3"/>
    <w:rsid w:val="00B837D5"/>
    <w:rsid w:val="00B839B2"/>
    <w:rsid w:val="00B873A0"/>
    <w:rsid w:val="00B93552"/>
    <w:rsid w:val="00B94252"/>
    <w:rsid w:val="00B9715A"/>
    <w:rsid w:val="00BA14BE"/>
    <w:rsid w:val="00BA25D5"/>
    <w:rsid w:val="00BA2732"/>
    <w:rsid w:val="00BA293D"/>
    <w:rsid w:val="00BA49BC"/>
    <w:rsid w:val="00BA56B7"/>
    <w:rsid w:val="00BA5D7A"/>
    <w:rsid w:val="00BA7A1E"/>
    <w:rsid w:val="00BB2017"/>
    <w:rsid w:val="00BB2F6C"/>
    <w:rsid w:val="00BB3875"/>
    <w:rsid w:val="00BB5860"/>
    <w:rsid w:val="00BB6AAD"/>
    <w:rsid w:val="00BC3DDF"/>
    <w:rsid w:val="00BC4A19"/>
    <w:rsid w:val="00BC4E6D"/>
    <w:rsid w:val="00BC6116"/>
    <w:rsid w:val="00BD0617"/>
    <w:rsid w:val="00BD0A9E"/>
    <w:rsid w:val="00BD1BAE"/>
    <w:rsid w:val="00BD1D77"/>
    <w:rsid w:val="00BD2E87"/>
    <w:rsid w:val="00BD2E9B"/>
    <w:rsid w:val="00BD4688"/>
    <w:rsid w:val="00BD50C6"/>
    <w:rsid w:val="00BD7FB2"/>
    <w:rsid w:val="00BE3ED5"/>
    <w:rsid w:val="00BE42C7"/>
    <w:rsid w:val="00BE552F"/>
    <w:rsid w:val="00BE7856"/>
    <w:rsid w:val="00C00930"/>
    <w:rsid w:val="00C02732"/>
    <w:rsid w:val="00C060AD"/>
    <w:rsid w:val="00C113BF"/>
    <w:rsid w:val="00C162CA"/>
    <w:rsid w:val="00C2176E"/>
    <w:rsid w:val="00C23430"/>
    <w:rsid w:val="00C24335"/>
    <w:rsid w:val="00C26D1B"/>
    <w:rsid w:val="00C27D67"/>
    <w:rsid w:val="00C307D1"/>
    <w:rsid w:val="00C30BF9"/>
    <w:rsid w:val="00C367F0"/>
    <w:rsid w:val="00C40A0E"/>
    <w:rsid w:val="00C435AF"/>
    <w:rsid w:val="00C4631F"/>
    <w:rsid w:val="00C47CDE"/>
    <w:rsid w:val="00C50E16"/>
    <w:rsid w:val="00C55258"/>
    <w:rsid w:val="00C559DC"/>
    <w:rsid w:val="00C56238"/>
    <w:rsid w:val="00C65963"/>
    <w:rsid w:val="00C71A8A"/>
    <w:rsid w:val="00C741B6"/>
    <w:rsid w:val="00C75FA3"/>
    <w:rsid w:val="00C82EEB"/>
    <w:rsid w:val="00C86917"/>
    <w:rsid w:val="00C92927"/>
    <w:rsid w:val="00C971DC"/>
    <w:rsid w:val="00CA0683"/>
    <w:rsid w:val="00CA16B7"/>
    <w:rsid w:val="00CA1D37"/>
    <w:rsid w:val="00CA62AE"/>
    <w:rsid w:val="00CA667B"/>
    <w:rsid w:val="00CB03B8"/>
    <w:rsid w:val="00CB49DD"/>
    <w:rsid w:val="00CB5B1A"/>
    <w:rsid w:val="00CC0A9D"/>
    <w:rsid w:val="00CC220B"/>
    <w:rsid w:val="00CC54BD"/>
    <w:rsid w:val="00CC5C43"/>
    <w:rsid w:val="00CD02AE"/>
    <w:rsid w:val="00CD21E2"/>
    <w:rsid w:val="00CD2A4F"/>
    <w:rsid w:val="00CD3D74"/>
    <w:rsid w:val="00CD41E4"/>
    <w:rsid w:val="00CE03CA"/>
    <w:rsid w:val="00CE22F1"/>
    <w:rsid w:val="00CE50F2"/>
    <w:rsid w:val="00CE6502"/>
    <w:rsid w:val="00CF156A"/>
    <w:rsid w:val="00CF1633"/>
    <w:rsid w:val="00CF24FD"/>
    <w:rsid w:val="00CF7D3C"/>
    <w:rsid w:val="00D01F09"/>
    <w:rsid w:val="00D03527"/>
    <w:rsid w:val="00D1026D"/>
    <w:rsid w:val="00D147EB"/>
    <w:rsid w:val="00D20254"/>
    <w:rsid w:val="00D27E71"/>
    <w:rsid w:val="00D34667"/>
    <w:rsid w:val="00D3475F"/>
    <w:rsid w:val="00D401E1"/>
    <w:rsid w:val="00D408B4"/>
    <w:rsid w:val="00D42A16"/>
    <w:rsid w:val="00D44330"/>
    <w:rsid w:val="00D44CCC"/>
    <w:rsid w:val="00D51C55"/>
    <w:rsid w:val="00D524C8"/>
    <w:rsid w:val="00D5742D"/>
    <w:rsid w:val="00D70E24"/>
    <w:rsid w:val="00D72B61"/>
    <w:rsid w:val="00D75D05"/>
    <w:rsid w:val="00D813BC"/>
    <w:rsid w:val="00D8577A"/>
    <w:rsid w:val="00D878E2"/>
    <w:rsid w:val="00D91F90"/>
    <w:rsid w:val="00D939D8"/>
    <w:rsid w:val="00D947EF"/>
    <w:rsid w:val="00D94E09"/>
    <w:rsid w:val="00DA3D1D"/>
    <w:rsid w:val="00DB5A96"/>
    <w:rsid w:val="00DB5B8B"/>
    <w:rsid w:val="00DB6286"/>
    <w:rsid w:val="00DB645F"/>
    <w:rsid w:val="00DB76E9"/>
    <w:rsid w:val="00DC0A67"/>
    <w:rsid w:val="00DC1D5E"/>
    <w:rsid w:val="00DC2498"/>
    <w:rsid w:val="00DC3096"/>
    <w:rsid w:val="00DC5220"/>
    <w:rsid w:val="00DC7952"/>
    <w:rsid w:val="00DD2061"/>
    <w:rsid w:val="00DD31B6"/>
    <w:rsid w:val="00DD5C07"/>
    <w:rsid w:val="00DD7DAB"/>
    <w:rsid w:val="00DE07FC"/>
    <w:rsid w:val="00DE3355"/>
    <w:rsid w:val="00DF0C60"/>
    <w:rsid w:val="00DF486F"/>
    <w:rsid w:val="00DF5B5B"/>
    <w:rsid w:val="00DF7619"/>
    <w:rsid w:val="00E0039D"/>
    <w:rsid w:val="00E010E4"/>
    <w:rsid w:val="00E042D8"/>
    <w:rsid w:val="00E07EE7"/>
    <w:rsid w:val="00E10FD8"/>
    <w:rsid w:val="00E1103B"/>
    <w:rsid w:val="00E141FA"/>
    <w:rsid w:val="00E17B44"/>
    <w:rsid w:val="00E20F27"/>
    <w:rsid w:val="00E22443"/>
    <w:rsid w:val="00E2500F"/>
    <w:rsid w:val="00E25B1F"/>
    <w:rsid w:val="00E27579"/>
    <w:rsid w:val="00E27FEA"/>
    <w:rsid w:val="00E30DCE"/>
    <w:rsid w:val="00E33511"/>
    <w:rsid w:val="00E35B07"/>
    <w:rsid w:val="00E37C62"/>
    <w:rsid w:val="00E4086F"/>
    <w:rsid w:val="00E43B3C"/>
    <w:rsid w:val="00E50188"/>
    <w:rsid w:val="00E50BB3"/>
    <w:rsid w:val="00E515CB"/>
    <w:rsid w:val="00E52260"/>
    <w:rsid w:val="00E533B4"/>
    <w:rsid w:val="00E538AE"/>
    <w:rsid w:val="00E57F49"/>
    <w:rsid w:val="00E639B6"/>
    <w:rsid w:val="00E6434B"/>
    <w:rsid w:val="00E6463D"/>
    <w:rsid w:val="00E71492"/>
    <w:rsid w:val="00E72E9B"/>
    <w:rsid w:val="00E76392"/>
    <w:rsid w:val="00E8006E"/>
    <w:rsid w:val="00E83FEF"/>
    <w:rsid w:val="00E850C3"/>
    <w:rsid w:val="00E87DF2"/>
    <w:rsid w:val="00E90371"/>
    <w:rsid w:val="00E92B31"/>
    <w:rsid w:val="00E9462E"/>
    <w:rsid w:val="00E96760"/>
    <w:rsid w:val="00EA470E"/>
    <w:rsid w:val="00EA47A7"/>
    <w:rsid w:val="00EA57EB"/>
    <w:rsid w:val="00EB3226"/>
    <w:rsid w:val="00EC213A"/>
    <w:rsid w:val="00EC589B"/>
    <w:rsid w:val="00EC7744"/>
    <w:rsid w:val="00ED0DAD"/>
    <w:rsid w:val="00ED0F46"/>
    <w:rsid w:val="00ED2373"/>
    <w:rsid w:val="00ED24F9"/>
    <w:rsid w:val="00ED2E38"/>
    <w:rsid w:val="00EE3E8A"/>
    <w:rsid w:val="00EE3E99"/>
    <w:rsid w:val="00EF58B8"/>
    <w:rsid w:val="00EF6ECA"/>
    <w:rsid w:val="00F01340"/>
    <w:rsid w:val="00F024E1"/>
    <w:rsid w:val="00F06C10"/>
    <w:rsid w:val="00F07F6C"/>
    <w:rsid w:val="00F1096F"/>
    <w:rsid w:val="00F12589"/>
    <w:rsid w:val="00F12595"/>
    <w:rsid w:val="00F134D9"/>
    <w:rsid w:val="00F1403D"/>
    <w:rsid w:val="00F1463F"/>
    <w:rsid w:val="00F21302"/>
    <w:rsid w:val="00F23FEA"/>
    <w:rsid w:val="00F2430D"/>
    <w:rsid w:val="00F27546"/>
    <w:rsid w:val="00F321DE"/>
    <w:rsid w:val="00F33777"/>
    <w:rsid w:val="00F40648"/>
    <w:rsid w:val="00F47137"/>
    <w:rsid w:val="00F47B32"/>
    <w:rsid w:val="00F47DA2"/>
    <w:rsid w:val="00F51321"/>
    <w:rsid w:val="00F519FC"/>
    <w:rsid w:val="00F6239D"/>
    <w:rsid w:val="00F715D2"/>
    <w:rsid w:val="00F7274F"/>
    <w:rsid w:val="00F73415"/>
    <w:rsid w:val="00F73CCF"/>
    <w:rsid w:val="00F74E84"/>
    <w:rsid w:val="00F7615B"/>
    <w:rsid w:val="00F76ED3"/>
    <w:rsid w:val="00F76FA8"/>
    <w:rsid w:val="00F81F96"/>
    <w:rsid w:val="00F85AFE"/>
    <w:rsid w:val="00F93F08"/>
    <w:rsid w:val="00F93FEA"/>
    <w:rsid w:val="00F94CED"/>
    <w:rsid w:val="00FA02BB"/>
    <w:rsid w:val="00FA2CEE"/>
    <w:rsid w:val="00FA318C"/>
    <w:rsid w:val="00FB3661"/>
    <w:rsid w:val="00FB6452"/>
    <w:rsid w:val="00FB6F92"/>
    <w:rsid w:val="00FC026E"/>
    <w:rsid w:val="00FC027C"/>
    <w:rsid w:val="00FC2371"/>
    <w:rsid w:val="00FC5124"/>
    <w:rsid w:val="00FC68C9"/>
    <w:rsid w:val="00FC78F0"/>
    <w:rsid w:val="00FC7977"/>
    <w:rsid w:val="00FD0155"/>
    <w:rsid w:val="00FD4731"/>
    <w:rsid w:val="00FD6649"/>
    <w:rsid w:val="00FD6768"/>
    <w:rsid w:val="00FE3877"/>
    <w:rsid w:val="00FF0AB0"/>
    <w:rsid w:val="00FF28AC"/>
    <w:rsid w:val="00FF777D"/>
    <w:rsid w:val="00FF7F62"/>
    <w:rsid w:val="02B2FDF0"/>
    <w:rsid w:val="02C59D65"/>
    <w:rsid w:val="037E8C6F"/>
    <w:rsid w:val="06552544"/>
    <w:rsid w:val="067F0CB8"/>
    <w:rsid w:val="06D43151"/>
    <w:rsid w:val="06E632B0"/>
    <w:rsid w:val="0738F27B"/>
    <w:rsid w:val="073A51EE"/>
    <w:rsid w:val="07A43B20"/>
    <w:rsid w:val="0907307A"/>
    <w:rsid w:val="0AC7A412"/>
    <w:rsid w:val="0B8AF6C8"/>
    <w:rsid w:val="0F7CD6CE"/>
    <w:rsid w:val="11A2B8ED"/>
    <w:rsid w:val="1206AC75"/>
    <w:rsid w:val="124F44F6"/>
    <w:rsid w:val="12811C81"/>
    <w:rsid w:val="143930A4"/>
    <w:rsid w:val="14C86F31"/>
    <w:rsid w:val="153AD3FD"/>
    <w:rsid w:val="15D11CA9"/>
    <w:rsid w:val="160A0822"/>
    <w:rsid w:val="17D98534"/>
    <w:rsid w:val="19826E84"/>
    <w:rsid w:val="1A85200B"/>
    <w:rsid w:val="1B7CF881"/>
    <w:rsid w:val="1ECE4356"/>
    <w:rsid w:val="20479252"/>
    <w:rsid w:val="218824A4"/>
    <w:rsid w:val="221C016D"/>
    <w:rsid w:val="23146106"/>
    <w:rsid w:val="245397A1"/>
    <w:rsid w:val="2591762B"/>
    <w:rsid w:val="2926E778"/>
    <w:rsid w:val="2966B33F"/>
    <w:rsid w:val="2A7BB163"/>
    <w:rsid w:val="2BB473C4"/>
    <w:rsid w:val="2BE439DC"/>
    <w:rsid w:val="2DC2FAFC"/>
    <w:rsid w:val="2E8D98FE"/>
    <w:rsid w:val="31D736E8"/>
    <w:rsid w:val="3521B64F"/>
    <w:rsid w:val="357281A1"/>
    <w:rsid w:val="35A25A09"/>
    <w:rsid w:val="35AB368A"/>
    <w:rsid w:val="362ACB24"/>
    <w:rsid w:val="37A8CB26"/>
    <w:rsid w:val="3AB90A8C"/>
    <w:rsid w:val="3E75A0DE"/>
    <w:rsid w:val="3EDD4CA8"/>
    <w:rsid w:val="3FABD2D6"/>
    <w:rsid w:val="3FB44B87"/>
    <w:rsid w:val="3FEC0931"/>
    <w:rsid w:val="400F35E6"/>
    <w:rsid w:val="4047E008"/>
    <w:rsid w:val="4366A23F"/>
    <w:rsid w:val="4599B29C"/>
    <w:rsid w:val="471F2825"/>
    <w:rsid w:val="482C9021"/>
    <w:rsid w:val="4ADFCA89"/>
    <w:rsid w:val="51B78CDB"/>
    <w:rsid w:val="51FDBBDC"/>
    <w:rsid w:val="55849137"/>
    <w:rsid w:val="57F3B097"/>
    <w:rsid w:val="589BF84B"/>
    <w:rsid w:val="5B1BAEE5"/>
    <w:rsid w:val="61DECDEE"/>
    <w:rsid w:val="62338185"/>
    <w:rsid w:val="657764D0"/>
    <w:rsid w:val="6597A493"/>
    <w:rsid w:val="65C8C83E"/>
    <w:rsid w:val="667B78B1"/>
    <w:rsid w:val="667C1EB1"/>
    <w:rsid w:val="686BF287"/>
    <w:rsid w:val="691B3ECF"/>
    <w:rsid w:val="6A450A79"/>
    <w:rsid w:val="6C8E7026"/>
    <w:rsid w:val="6CC6232E"/>
    <w:rsid w:val="6E351CC2"/>
    <w:rsid w:val="6FFC4BE1"/>
    <w:rsid w:val="70EA820E"/>
    <w:rsid w:val="75A9ABE6"/>
    <w:rsid w:val="760EC639"/>
    <w:rsid w:val="7A26FC2E"/>
    <w:rsid w:val="7B001732"/>
    <w:rsid w:val="7BBA6CC7"/>
    <w:rsid w:val="7C12E4BD"/>
    <w:rsid w:val="7CEDCAE2"/>
    <w:rsid w:val="7F3216DC"/>
    <w:rsid w:val="7F39A255"/>
    <w:rsid w:val="7F854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692">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8993932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1216831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yperlink" Target="http://www9.health.gov.au/mbs/fullDisplay.cfm?type=note&amp;qt=NoteID&amp;q=DR.1.4" TargetMode="External"/><Relationship Id="rId28" Type="http://schemas.openxmlformats.org/officeDocument/2006/relationships/footer" Target="footer3.xml"/><Relationship Id="rId10" Type="http://schemas.openxmlformats.org/officeDocument/2006/relationships/hyperlink" Target="https://www.health.gov.au/resources/publications/mbs-review-advisory-committee-electrocardiogram-working-group-electrocardiogram-post-implementation-review?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9.health.gov.au/mbs/subscribe.cfm" TargetMode="External"/><Relationship Id="rId22" Type="http://schemas.openxmlformats.org/officeDocument/2006/relationships/hyperlink" Target="http://www9.health.gov.au/mbs/fullDisplay.cfm?type=note&amp;qt=NoteID&amp;q=DR.1.4"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8995</Characters>
  <Application>Microsoft Office Word</Application>
  <DocSecurity>0</DocSecurity>
  <Lines>172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2026-02-23T23:38:00Z</dcterms:created>
  <dcterms:modified xsi:type="dcterms:W3CDTF">2026-02-26T22:03:00Z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318e5429,422a04cb,5f849448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c992b5f,3f13fa31,76dd0b5e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2026-02-23T23:38:57Z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2c445512-14be-4255-b053-b98e477a1c57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