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070EF902" w:rsidR="00BA2732" w:rsidRDefault="00900C19" w:rsidP="003D033A">
      <w:pPr>
        <w:pStyle w:val="Title"/>
      </w:pPr>
      <w:proofErr w:type="spellStart"/>
      <w:r w:rsidRPr="00C83917">
        <w:t>IncobotulinumtoxinA</w:t>
      </w:r>
      <w:proofErr w:type="spellEnd"/>
      <w:r w:rsidRPr="00C83917">
        <w:t xml:space="preserve"> (</w:t>
      </w:r>
      <w:proofErr w:type="spellStart"/>
      <w:r w:rsidRPr="00C83917">
        <w:t>X</w:t>
      </w:r>
      <w:r w:rsidR="00642552">
        <w:t>eomin</w:t>
      </w:r>
      <w:proofErr w:type="spellEnd"/>
      <w:r w:rsidRPr="00C83917">
        <w:t>)</w:t>
      </w:r>
      <w:r w:rsidR="00023603">
        <w:t xml:space="preserve"> </w:t>
      </w:r>
      <w:r w:rsidR="00023603" w:rsidRPr="00C83917">
        <w:t>injection for chronic sialorrhea treatment</w:t>
      </w:r>
      <w:r w:rsidR="002E0E19">
        <w:t xml:space="preserve"> due to</w:t>
      </w:r>
      <w:r w:rsidR="002E0E19" w:rsidRPr="00C83917">
        <w:t xml:space="preserve"> neurological or neurodevelopmental disorders</w:t>
      </w:r>
    </w:p>
    <w:p w14:paraId="58F24B6B" w14:textId="0BFDCEA4" w:rsidR="00704F2C" w:rsidRPr="00C83917" w:rsidRDefault="00704F2C" w:rsidP="00704F2C">
      <w:r w:rsidRPr="00C83917">
        <w:t xml:space="preserve">Last updated: </w:t>
      </w:r>
      <w:r w:rsidR="00F35615">
        <w:t>5 February 2026</w:t>
      </w:r>
    </w:p>
    <w:p w14:paraId="7F88D4DD" w14:textId="608A88C2" w:rsidR="00064168" w:rsidRPr="006F5073" w:rsidRDefault="00064168" w:rsidP="006F5073">
      <w:pPr>
        <w:pStyle w:val="ListBullet"/>
      </w:pPr>
      <w:r w:rsidRPr="00292535">
        <w:rPr>
          <w:b/>
          <w:bCs/>
        </w:rPr>
        <w:t>What?</w:t>
      </w:r>
      <w:r w:rsidRPr="006F5073">
        <w:t xml:space="preserve"> </w:t>
      </w:r>
      <w:r w:rsidR="007A7F27" w:rsidRPr="00C83917">
        <w:t xml:space="preserve">From </w:t>
      </w:r>
      <w:r w:rsidR="007A7F27" w:rsidRPr="00C83917">
        <w:rPr>
          <w:b/>
          <w:bCs/>
        </w:rPr>
        <w:t xml:space="preserve">1 March 2026, </w:t>
      </w:r>
      <w:r w:rsidR="007A7F27" w:rsidRPr="00C83917">
        <w:t xml:space="preserve">MBS item 18355 will be </w:t>
      </w:r>
      <w:r w:rsidR="00D16E82">
        <w:t xml:space="preserve">introduced </w:t>
      </w:r>
      <w:r w:rsidR="005E0805">
        <w:t>to allow</w:t>
      </w:r>
      <w:r w:rsidR="007A7F27" w:rsidRPr="00C83917">
        <w:t xml:space="preserve"> for the injection of </w:t>
      </w:r>
      <w:proofErr w:type="spellStart"/>
      <w:r w:rsidR="007A7F27" w:rsidRPr="00C83917">
        <w:t>IncobotulinumtoxinA</w:t>
      </w:r>
      <w:proofErr w:type="spellEnd"/>
      <w:r w:rsidR="007A7F27" w:rsidRPr="00C83917">
        <w:t xml:space="preserve"> (</w:t>
      </w:r>
      <w:proofErr w:type="spellStart"/>
      <w:r w:rsidR="007A7F27" w:rsidRPr="00C83917">
        <w:t>Xeomin</w:t>
      </w:r>
      <w:proofErr w:type="spellEnd"/>
      <w:r w:rsidR="007A7F27" w:rsidRPr="00C83917">
        <w:t xml:space="preserve">) for patients </w:t>
      </w:r>
      <w:r w:rsidR="000F0FDB">
        <w:t xml:space="preserve">with </w:t>
      </w:r>
      <w:r w:rsidR="007A7F27" w:rsidRPr="00C83917">
        <w:t xml:space="preserve">chronic sialorrhea </w:t>
      </w:r>
      <w:r w:rsidR="0078534B">
        <w:t>due to</w:t>
      </w:r>
      <w:r w:rsidR="007A7F27" w:rsidRPr="00C83917">
        <w:t xml:space="preserve"> neurological or neurodevelopmental disorders.</w:t>
      </w:r>
    </w:p>
    <w:p w14:paraId="243B60C7" w14:textId="6DC81C08" w:rsidR="00EB613A" w:rsidRDefault="00064168" w:rsidP="009144D2">
      <w:pPr>
        <w:pStyle w:val="ListBullet"/>
      </w:pPr>
      <w:r w:rsidRPr="002F7A05">
        <w:rPr>
          <w:b/>
          <w:bCs/>
        </w:rPr>
        <w:t>Who?</w:t>
      </w:r>
      <w:r w:rsidRPr="006F5073">
        <w:t xml:space="preserve"> </w:t>
      </w:r>
      <w:r w:rsidR="002F7A05" w:rsidRPr="00C83917">
        <w:t>These changes are relevant to patients and</w:t>
      </w:r>
      <w:r w:rsidR="00D16E82">
        <w:t xml:space="preserve"> providers, including</w:t>
      </w:r>
      <w:r w:rsidR="002F7A05" w:rsidRPr="00C83917">
        <w:t xml:space="preserve"> neurologists, rehabilitation specialists, </w:t>
      </w:r>
      <w:r w:rsidR="002F7A05">
        <w:t>ear, nose and throat</w:t>
      </w:r>
      <w:r w:rsidR="002F7A05" w:rsidRPr="00C83917">
        <w:t xml:space="preserve"> surgeons, and plastic surgeons for </w:t>
      </w:r>
      <w:r w:rsidR="002F7A05">
        <w:t>all</w:t>
      </w:r>
      <w:r w:rsidR="002F7A05" w:rsidRPr="00C83917">
        <w:t xml:space="preserve"> populations. </w:t>
      </w:r>
      <w:r w:rsidR="00D16E82">
        <w:t>More specifically</w:t>
      </w:r>
      <w:r w:rsidR="002F7A05" w:rsidRPr="00C83917">
        <w:t xml:space="preserve">, </w:t>
      </w:r>
      <w:r w:rsidR="002F7A05">
        <w:t xml:space="preserve">these changes are relevant for </w:t>
      </w:r>
      <w:r w:rsidR="002F7A05" w:rsidRPr="00C83917">
        <w:t xml:space="preserve">geriatricians </w:t>
      </w:r>
      <w:r w:rsidR="002F7A05">
        <w:t>treating</w:t>
      </w:r>
      <w:r w:rsidR="002F7A05" w:rsidRPr="00C83917">
        <w:t xml:space="preserve"> the adult population and paediatricians </w:t>
      </w:r>
      <w:r w:rsidR="002F7A05">
        <w:t>treating</w:t>
      </w:r>
      <w:r w:rsidR="002F7A05" w:rsidRPr="00C83917">
        <w:t xml:space="preserve"> the paediatric population. </w:t>
      </w:r>
    </w:p>
    <w:p w14:paraId="0E46A40A" w14:textId="6CBE4127" w:rsidR="003D3667" w:rsidRPr="00C83917" w:rsidRDefault="003D3667" w:rsidP="003D3667">
      <w:pPr>
        <w:pStyle w:val="ListBullet"/>
      </w:pPr>
      <w:r w:rsidRPr="00CC365A">
        <w:rPr>
          <w:b/>
          <w:bCs/>
        </w:rPr>
        <w:t>What does this mean for patients and providers?</w:t>
      </w:r>
      <w:r w:rsidRPr="00C83917">
        <w:t xml:space="preserve"> Patients and providers will have access to a new M</w:t>
      </w:r>
      <w:r>
        <w:t xml:space="preserve">edicare </w:t>
      </w:r>
      <w:r w:rsidRPr="00C83917">
        <w:t>B</w:t>
      </w:r>
      <w:r>
        <w:t xml:space="preserve">enefit </w:t>
      </w:r>
      <w:r w:rsidRPr="00C83917">
        <w:t>S</w:t>
      </w:r>
      <w:r>
        <w:t>chedule (MBS)</w:t>
      </w:r>
      <w:r w:rsidRPr="00C83917">
        <w:t xml:space="preserve"> service</w:t>
      </w:r>
      <w:r w:rsidR="00D16E82">
        <w:t xml:space="preserve"> to treat chronic sialorrhea </w:t>
      </w:r>
      <w:r w:rsidR="00065E00">
        <w:t>due to</w:t>
      </w:r>
      <w:r w:rsidR="00D16E82">
        <w:t xml:space="preserve"> neurological or neurodevelopmental disorders</w:t>
      </w:r>
      <w:r>
        <w:t>.</w:t>
      </w:r>
    </w:p>
    <w:p w14:paraId="44460BF5" w14:textId="29A2ED51" w:rsidR="00064168" w:rsidRPr="00867595" w:rsidRDefault="00064168" w:rsidP="00064168">
      <w:pPr>
        <w:pStyle w:val="Heading2"/>
      </w:pPr>
      <w:r w:rsidRPr="00867595">
        <w:t>What are the changes?</w:t>
      </w:r>
    </w:p>
    <w:p w14:paraId="731B2C40" w14:textId="6DD5D0A5" w:rsidR="00C25787" w:rsidRPr="00C83917" w:rsidRDefault="00C25787" w:rsidP="00C25787">
      <w:pPr>
        <w:pStyle w:val="ListBullet"/>
        <w:numPr>
          <w:ilvl w:val="0"/>
          <w:numId w:val="0"/>
        </w:numPr>
      </w:pPr>
      <w:r w:rsidRPr="00C83917">
        <w:t xml:space="preserve">Effective 1 March 2026, there </w:t>
      </w:r>
      <w:bookmarkStart w:id="0" w:name="_Hlk535507068"/>
      <w:r w:rsidRPr="00C83917">
        <w:t xml:space="preserve">will be a </w:t>
      </w:r>
      <w:bookmarkEnd w:id="0"/>
      <w:r w:rsidR="007307F3">
        <w:t xml:space="preserve">new item </w:t>
      </w:r>
      <w:r w:rsidRPr="00C83917">
        <w:t>for Botulinum toxin injections. The new structure in</w:t>
      </w:r>
      <w:r w:rsidR="00D16E82">
        <w:t>troduce</w:t>
      </w:r>
      <w:r w:rsidRPr="00C83917">
        <w:t>s:</w:t>
      </w:r>
    </w:p>
    <w:p w14:paraId="5B763224" w14:textId="78812FEE" w:rsidR="00E73C3C" w:rsidRPr="00E73C3C" w:rsidRDefault="00E73C3C" w:rsidP="00E73C3C">
      <w:pPr>
        <w:numPr>
          <w:ilvl w:val="0"/>
          <w:numId w:val="31"/>
        </w:numPr>
        <w:rPr>
          <w:szCs w:val="22"/>
        </w:rPr>
      </w:pPr>
      <w:r w:rsidRPr="00E73C3C">
        <w:rPr>
          <w:szCs w:val="22"/>
        </w:rPr>
        <w:t xml:space="preserve">1 </w:t>
      </w:r>
      <w:r w:rsidR="00536336">
        <w:rPr>
          <w:szCs w:val="22"/>
        </w:rPr>
        <w:t>n</w:t>
      </w:r>
      <w:r w:rsidRPr="00E73C3C">
        <w:rPr>
          <w:szCs w:val="22"/>
        </w:rPr>
        <w:t xml:space="preserve">ew item, MBS item 18355, for the injection of </w:t>
      </w:r>
      <w:proofErr w:type="spellStart"/>
      <w:r w:rsidRPr="00E73C3C">
        <w:rPr>
          <w:szCs w:val="22"/>
        </w:rPr>
        <w:t>IncobotulinumtoxinA</w:t>
      </w:r>
      <w:proofErr w:type="spellEnd"/>
      <w:r w:rsidRPr="00E73C3C">
        <w:rPr>
          <w:szCs w:val="22"/>
        </w:rPr>
        <w:t xml:space="preserve"> (</w:t>
      </w:r>
      <w:proofErr w:type="spellStart"/>
      <w:r w:rsidRPr="00E73C3C">
        <w:rPr>
          <w:szCs w:val="22"/>
        </w:rPr>
        <w:t>Xeomin</w:t>
      </w:r>
      <w:proofErr w:type="spellEnd"/>
      <w:r w:rsidRPr="00E73C3C">
        <w:rPr>
          <w:szCs w:val="22"/>
        </w:rPr>
        <w:t>) for the treatment of chronic sialorrhea</w:t>
      </w:r>
      <w:r w:rsidR="00F26C93">
        <w:rPr>
          <w:szCs w:val="22"/>
        </w:rPr>
        <w:t xml:space="preserve"> in patients </w:t>
      </w:r>
      <w:r w:rsidR="00065E00">
        <w:rPr>
          <w:szCs w:val="22"/>
        </w:rPr>
        <w:t>due to</w:t>
      </w:r>
      <w:r w:rsidR="00F26C93">
        <w:rPr>
          <w:szCs w:val="22"/>
        </w:rPr>
        <w:t xml:space="preserve"> neurological or neurodevelopmental disorders</w:t>
      </w:r>
      <w:r w:rsidRPr="00E73C3C">
        <w:rPr>
          <w:szCs w:val="22"/>
        </w:rPr>
        <w:t>.</w:t>
      </w:r>
    </w:p>
    <w:p w14:paraId="14CB6C78" w14:textId="770E982B" w:rsidR="007E0068" w:rsidRDefault="007E0068" w:rsidP="007E0068">
      <w:r>
        <w:t>For private health insurance purposes,</w:t>
      </w:r>
      <w:r w:rsidR="009852BE">
        <w:t xml:space="preserve"> MBS</w:t>
      </w:r>
      <w:r>
        <w:t xml:space="preserve"> item </w:t>
      </w:r>
      <w:r w:rsidR="00E73C3C">
        <w:t>18355</w:t>
      </w:r>
      <w:r>
        <w:t xml:space="preserve"> will be listed under the following clinical category and procedure type:</w:t>
      </w:r>
    </w:p>
    <w:p w14:paraId="00DAF94B" w14:textId="77777777" w:rsidR="00385C01" w:rsidRDefault="00385C01" w:rsidP="00385C01">
      <w:pPr>
        <w:pStyle w:val="ListBullet"/>
      </w:pPr>
      <w:r>
        <w:t>Private Health Insurance Classification:</w:t>
      </w:r>
    </w:p>
    <w:p w14:paraId="5B0D04C5" w14:textId="7BDA5CA1" w:rsidR="007E0068" w:rsidRDefault="007E0068" w:rsidP="006F5073">
      <w:pPr>
        <w:pStyle w:val="ListBullet"/>
      </w:pPr>
      <w:r>
        <w:t xml:space="preserve">Clinical category: </w:t>
      </w:r>
      <w:r w:rsidR="005A043D">
        <w:t>Ear, nose and throat</w:t>
      </w:r>
    </w:p>
    <w:p w14:paraId="0F393FB5" w14:textId="562EA95C" w:rsidR="007E0068" w:rsidRPr="007E0068" w:rsidRDefault="007E0068" w:rsidP="006F5073">
      <w:pPr>
        <w:pStyle w:val="ListBullet"/>
      </w:pPr>
      <w:r>
        <w:t xml:space="preserve">Procedure type: Type </w:t>
      </w:r>
      <w:r w:rsidR="005A043D">
        <w:t>C</w:t>
      </w:r>
    </w:p>
    <w:p w14:paraId="42BD5171" w14:textId="77777777" w:rsidR="00064168" w:rsidRDefault="00064168" w:rsidP="00064168">
      <w:pPr>
        <w:pStyle w:val="Heading2"/>
      </w:pPr>
      <w:r>
        <w:t>Why are the changes being made?</w:t>
      </w:r>
    </w:p>
    <w:p w14:paraId="2E919677" w14:textId="77777777" w:rsidR="00640BAC" w:rsidRPr="00C83917" w:rsidRDefault="00640BAC" w:rsidP="00640BAC">
      <w:pPr>
        <w:rPr>
          <w:szCs w:val="22"/>
        </w:rPr>
      </w:pPr>
      <w:bookmarkStart w:id="1" w:name="_Hlk535386664"/>
      <w:r w:rsidRPr="00C83917">
        <w:rPr>
          <w:szCs w:val="22"/>
        </w:rPr>
        <w:t xml:space="preserve">The listing of this service was recommended by the Medical Services Advisory Committee (MSAC) in April 2025. Further details about MSAC applications can be found under </w:t>
      </w:r>
      <w:hyperlink r:id="rId8" w:history="1">
        <w:r w:rsidRPr="00C83917">
          <w:rPr>
            <w:rStyle w:val="Hyperlink"/>
            <w:szCs w:val="22"/>
          </w:rPr>
          <w:t>MSAC Applications</w:t>
        </w:r>
      </w:hyperlink>
      <w:r w:rsidRPr="00C83917">
        <w:rPr>
          <w:szCs w:val="22"/>
        </w:rPr>
        <w:t xml:space="preserve"> on the MSAC website (</w:t>
      </w:r>
      <w:hyperlink r:id="rId9" w:history="1">
        <w:r w:rsidRPr="00C83917">
          <w:rPr>
            <w:rStyle w:val="Hyperlink"/>
            <w:szCs w:val="22"/>
          </w:rPr>
          <w:t>Medical Services Advisory Committee</w:t>
        </w:r>
      </w:hyperlink>
      <w:r w:rsidRPr="00C83917">
        <w:rPr>
          <w:szCs w:val="22"/>
        </w:rPr>
        <w:t>).</w:t>
      </w:r>
    </w:p>
    <w:bookmarkEnd w:id="1"/>
    <w:p w14:paraId="4B2559AC" w14:textId="5379C131" w:rsidR="00064168" w:rsidRDefault="00064168" w:rsidP="00064168">
      <w:pPr>
        <w:pStyle w:val="Heading2"/>
      </w:pPr>
      <w:r>
        <w:lastRenderedPageBreak/>
        <w:t>What does this mean for providers?</w:t>
      </w:r>
    </w:p>
    <w:p w14:paraId="5A0219F0" w14:textId="7C2B7F85" w:rsidR="007D3C86" w:rsidRDefault="00707B1A" w:rsidP="386763C2">
      <w:r>
        <w:t xml:space="preserve">Providers will gain access to a new MBS service to treat chronic sialorrhea in patients </w:t>
      </w:r>
      <w:r w:rsidR="00065E00">
        <w:t>due to</w:t>
      </w:r>
      <w:r>
        <w:t xml:space="preserve"> neurological or neurodevelopmental disorders.</w:t>
      </w:r>
      <w:r w:rsidR="004E4A9C">
        <w:t xml:space="preserve"> </w:t>
      </w:r>
    </w:p>
    <w:p w14:paraId="6490B302" w14:textId="68EF3E6E" w:rsidR="00765879" w:rsidRDefault="004E4A9C" w:rsidP="386763C2">
      <w:r>
        <w:t xml:space="preserve">Providers </w:t>
      </w:r>
      <w:r w:rsidR="007471BF">
        <w:t>should familiarise themselves</w:t>
      </w:r>
      <w:r w:rsidR="00BD6C65">
        <w:t xml:space="preserve"> with </w:t>
      </w:r>
      <w:hyperlink r:id="rId10" w:history="1">
        <w:r w:rsidR="00BD6C65" w:rsidRPr="00F038D4">
          <w:rPr>
            <w:rStyle w:val="Hyperlink"/>
          </w:rPr>
          <w:t>Pharmaceutical Benefit Scheme (PBS) requirements</w:t>
        </w:r>
      </w:hyperlink>
      <w:r w:rsidR="00DA66C2">
        <w:t xml:space="preserve"> when providing this se</w:t>
      </w:r>
      <w:r w:rsidR="00B22D44">
        <w:t>rvice to patients.</w:t>
      </w:r>
    </w:p>
    <w:p w14:paraId="7F7DA4F7" w14:textId="77777777" w:rsidR="00064168" w:rsidRDefault="00064168" w:rsidP="00064168">
      <w:pPr>
        <w:pStyle w:val="Heading2"/>
      </w:pPr>
      <w:r>
        <w:t>How will these changes affect patients</w:t>
      </w:r>
      <w:r w:rsidRPr="001A7FB7">
        <w:t>?</w:t>
      </w:r>
    </w:p>
    <w:p w14:paraId="6C3A7B08" w14:textId="0FB785A6" w:rsidR="00151A2D" w:rsidRDefault="00151A2D" w:rsidP="00064168">
      <w:pPr>
        <w:pStyle w:val="Heading2"/>
        <w:rPr>
          <w:b w:val="0"/>
          <w:bCs w:val="0"/>
          <w:iCs w:val="0"/>
          <w:color w:val="000000" w:themeColor="text1"/>
          <w:sz w:val="22"/>
          <w:szCs w:val="22"/>
        </w:rPr>
      </w:pPr>
      <w:r w:rsidRPr="00151A2D">
        <w:rPr>
          <w:b w:val="0"/>
          <w:bCs w:val="0"/>
          <w:iCs w:val="0"/>
          <w:color w:val="000000" w:themeColor="text1"/>
          <w:sz w:val="22"/>
          <w:szCs w:val="22"/>
        </w:rPr>
        <w:t xml:space="preserve">The changes will provide greater access to a new treatment for patients, leading to improved health outcomes. Patients will receive Medicare benefits for the </w:t>
      </w:r>
      <w:r w:rsidR="00994398" w:rsidRPr="00151A2D">
        <w:rPr>
          <w:b w:val="0"/>
          <w:bCs w:val="0"/>
          <w:iCs w:val="0"/>
          <w:color w:val="000000" w:themeColor="text1"/>
          <w:sz w:val="22"/>
          <w:szCs w:val="22"/>
        </w:rPr>
        <w:t xml:space="preserve">clinically appropriate </w:t>
      </w:r>
      <w:r w:rsidRPr="00151A2D">
        <w:rPr>
          <w:b w:val="0"/>
          <w:bCs w:val="0"/>
          <w:iCs w:val="0"/>
          <w:color w:val="000000" w:themeColor="text1"/>
          <w:sz w:val="22"/>
          <w:szCs w:val="22"/>
        </w:rPr>
        <w:t xml:space="preserve">treatment of chronic sialorrhea </w:t>
      </w:r>
      <w:r w:rsidR="002E1FEB">
        <w:rPr>
          <w:b w:val="0"/>
          <w:bCs w:val="0"/>
          <w:iCs w:val="0"/>
          <w:color w:val="000000" w:themeColor="text1"/>
          <w:sz w:val="22"/>
          <w:szCs w:val="22"/>
        </w:rPr>
        <w:t>due to</w:t>
      </w:r>
      <w:r w:rsidR="00994398">
        <w:rPr>
          <w:b w:val="0"/>
          <w:bCs w:val="0"/>
          <w:iCs w:val="0"/>
          <w:color w:val="000000" w:themeColor="text1"/>
          <w:sz w:val="22"/>
          <w:szCs w:val="22"/>
        </w:rPr>
        <w:t xml:space="preserve"> neurological or neurodevelopmental conditions.</w:t>
      </w:r>
      <w:r w:rsidRPr="00151A2D">
        <w:rPr>
          <w:b w:val="0"/>
          <w:bCs w:val="0"/>
          <w:iCs w:val="0"/>
          <w:color w:val="000000" w:themeColor="text1"/>
          <w:sz w:val="22"/>
          <w:szCs w:val="22"/>
        </w:rPr>
        <w:t xml:space="preserve"> </w:t>
      </w:r>
    </w:p>
    <w:p w14:paraId="5BD9BE80" w14:textId="4839CB56" w:rsidR="00064168" w:rsidRDefault="00064168" w:rsidP="00064168">
      <w:pPr>
        <w:pStyle w:val="Heading2"/>
      </w:pPr>
      <w:r w:rsidRPr="001A7FB7">
        <w:t>Who was consulted on the changes?</w:t>
      </w:r>
    </w:p>
    <w:p w14:paraId="520C6443" w14:textId="1A257728" w:rsidR="003A52FE" w:rsidRDefault="003A52FE" w:rsidP="00064168">
      <w:pPr>
        <w:pStyle w:val="Heading2"/>
        <w:rPr>
          <w:rFonts w:cs="Times New Roman"/>
          <w:b w:val="0"/>
          <w:bCs w:val="0"/>
          <w:iCs w:val="0"/>
          <w:color w:val="000000" w:themeColor="text1"/>
          <w:sz w:val="22"/>
          <w:szCs w:val="22"/>
        </w:rPr>
      </w:pPr>
      <w:r w:rsidRPr="003A52FE">
        <w:rPr>
          <w:rFonts w:cs="Times New Roman"/>
          <w:b w:val="0"/>
          <w:bCs w:val="0"/>
          <w:iCs w:val="0"/>
          <w:color w:val="000000" w:themeColor="text1"/>
          <w:sz w:val="22"/>
          <w:szCs w:val="22"/>
        </w:rPr>
        <w:t xml:space="preserve">As a part of the MSAC evaluation process, feedback on the proposed service was extended to members of the public and targeted peak medical bodies and groups. The Rehabilitation Medicine Society of Australia and New Zealand and </w:t>
      </w:r>
      <w:r w:rsidR="00C45D56">
        <w:rPr>
          <w:rFonts w:cs="Times New Roman"/>
          <w:b w:val="0"/>
          <w:bCs w:val="0"/>
          <w:iCs w:val="0"/>
          <w:color w:val="000000" w:themeColor="text1"/>
          <w:sz w:val="22"/>
          <w:szCs w:val="22"/>
        </w:rPr>
        <w:t xml:space="preserve">the </w:t>
      </w:r>
      <w:r w:rsidRPr="003A52FE">
        <w:rPr>
          <w:rFonts w:cs="Times New Roman"/>
          <w:b w:val="0"/>
          <w:bCs w:val="0"/>
          <w:iCs w:val="0"/>
          <w:color w:val="000000" w:themeColor="text1"/>
          <w:sz w:val="22"/>
          <w:szCs w:val="22"/>
        </w:rPr>
        <w:t>Movement Disorder Society of Australia and New Zealand positively endorsed the creation on this new MBS item.</w:t>
      </w:r>
    </w:p>
    <w:p w14:paraId="32E82B19" w14:textId="2A852C97" w:rsidR="00064168" w:rsidRDefault="00064168" w:rsidP="00064168">
      <w:pPr>
        <w:pStyle w:val="Heading2"/>
      </w:pPr>
      <w:r w:rsidRPr="001A7FB7">
        <w:t>How will the changes be monitored</w:t>
      </w:r>
      <w:r>
        <w:t xml:space="preserve"> and reviewed</w:t>
      </w:r>
      <w:r w:rsidRPr="001A7FB7">
        <w:t>?</w:t>
      </w:r>
    </w:p>
    <w:p w14:paraId="41BBDDBB" w14:textId="5BE5A9EE"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E416BD">
        <w:rPr>
          <w:szCs w:val="22"/>
        </w:rPr>
        <w:t>, Disability and Ageing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11"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4"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0B531C97" w:rsidR="00064168" w:rsidRPr="00867595" w:rsidRDefault="00064168" w:rsidP="00064168">
      <w:pPr>
        <w:rPr>
          <w:szCs w:val="22"/>
        </w:rPr>
      </w:pPr>
      <w:r w:rsidRPr="00867595">
        <w:rPr>
          <w:szCs w:val="22"/>
        </w:rPr>
        <w:lastRenderedPageBreak/>
        <w:t>Subscribe to ‘</w:t>
      </w:r>
      <w:hyperlink r:id="rId19"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00C02732" w:rsidRPr="00C02732">
          <w:rPr>
            <w:rStyle w:val="Hyperlink"/>
            <w:szCs w:val="22"/>
          </w:rPr>
          <w:t>Downloads</w:t>
        </w:r>
      </w:hyperlink>
      <w:r w:rsidRPr="00867595">
        <w:rPr>
          <w:szCs w:val="22"/>
        </w:rPr>
        <w:t xml:space="preserve"> page.</w:t>
      </w:r>
    </w:p>
    <w:p w14:paraId="36D829EF" w14:textId="77777777" w:rsidR="0076510D" w:rsidRPr="00C83917" w:rsidRDefault="0076510D" w:rsidP="0076510D">
      <w:pPr>
        <w:pStyle w:val="Heading2"/>
      </w:pPr>
      <w:r>
        <w:t>New</w:t>
      </w:r>
      <w:r w:rsidRPr="00C83917">
        <w:t xml:space="preserve"> item descriptor (to take effect 1 March 2026)</w:t>
      </w:r>
    </w:p>
    <w:tbl>
      <w:tblPr>
        <w:tblStyle w:val="GridTable4-Accent2"/>
        <w:tblW w:w="0" w:type="auto"/>
        <w:tblLook w:val="04A0" w:firstRow="1" w:lastRow="0" w:firstColumn="1" w:lastColumn="0" w:noHBand="0" w:noVBand="1"/>
      </w:tblPr>
      <w:tblGrid>
        <w:gridCol w:w="9060"/>
      </w:tblGrid>
      <w:tr w:rsidR="0076510D" w:rsidRPr="00C83917" w14:paraId="6E3ECA45" w14:textId="77777777" w:rsidTr="38676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DCD7644" w14:textId="77777777" w:rsidR="0076510D" w:rsidRPr="00C83917" w:rsidRDefault="0076510D" w:rsidP="00281DFE">
            <w:pPr>
              <w:rPr>
                <w:b w:val="0"/>
                <w:bCs w:val="0"/>
                <w:lang w:eastAsia="en-AU"/>
              </w:rPr>
            </w:pPr>
            <w:bookmarkStart w:id="3" w:name="_Hlk118987208"/>
            <w:r w:rsidRPr="00C83917">
              <w:rPr>
                <w:lang w:eastAsia="en-AU"/>
              </w:rPr>
              <w:t>Category 3- Therapeut</w:t>
            </w:r>
            <w:r w:rsidRPr="00C83917">
              <w:rPr>
                <w:b w:val="0"/>
                <w:bCs w:val="0"/>
                <w:lang w:eastAsia="en-AU"/>
              </w:rPr>
              <w:t>ic</w:t>
            </w:r>
            <w:r w:rsidRPr="00C83917">
              <w:rPr>
                <w:lang w:eastAsia="en-AU"/>
              </w:rPr>
              <w:t xml:space="preserve"> procedures</w:t>
            </w:r>
          </w:p>
        </w:tc>
      </w:tr>
      <w:tr w:rsidR="0076510D" w:rsidRPr="00C83917" w14:paraId="067DA556" w14:textId="77777777" w:rsidTr="38676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9E2A26A" w14:textId="77777777" w:rsidR="0076510D" w:rsidRPr="00C83917" w:rsidRDefault="0076510D" w:rsidP="00281DFE">
            <w:pPr>
              <w:rPr>
                <w:b w:val="0"/>
                <w:bCs w:val="0"/>
                <w:lang w:eastAsia="en-AU"/>
              </w:rPr>
            </w:pPr>
            <w:r w:rsidRPr="00C83917">
              <w:rPr>
                <w:lang w:eastAsia="en-AU"/>
              </w:rPr>
              <w:t>Group T11 – Botulism toxin injections</w:t>
            </w:r>
          </w:p>
        </w:tc>
      </w:tr>
      <w:tr w:rsidR="0076510D" w:rsidRPr="00C83917" w14:paraId="01EFF51C" w14:textId="77777777" w:rsidTr="386763C2">
        <w:tc>
          <w:tcPr>
            <w:cnfStyle w:val="001000000000" w:firstRow="0" w:lastRow="0" w:firstColumn="1" w:lastColumn="0" w:oddVBand="0" w:evenVBand="0" w:oddHBand="0" w:evenHBand="0" w:firstRowFirstColumn="0" w:firstRowLastColumn="0" w:lastRowFirstColumn="0" w:lastRowLastColumn="0"/>
            <w:tcW w:w="9060" w:type="dxa"/>
            <w:hideMark/>
          </w:tcPr>
          <w:p w14:paraId="1D3C8C37" w14:textId="77777777" w:rsidR="0076510D" w:rsidRPr="00F9729E" w:rsidRDefault="0076510D" w:rsidP="00281DFE">
            <w:r w:rsidRPr="00F9729E">
              <w:t>MBS item 18355</w:t>
            </w:r>
          </w:p>
          <w:p w14:paraId="36DBE7C2" w14:textId="77777777" w:rsidR="0076510D" w:rsidRDefault="0076510D" w:rsidP="00281DFE">
            <w:pPr>
              <w:rPr>
                <w:b w:val="0"/>
                <w:bCs w:val="0"/>
              </w:rPr>
            </w:pPr>
            <w:proofErr w:type="spellStart"/>
            <w:r>
              <w:rPr>
                <w:b w:val="0"/>
                <w:bCs w:val="0"/>
              </w:rPr>
              <w:t>IncobotulinumtoxinA</w:t>
            </w:r>
            <w:proofErr w:type="spellEnd"/>
            <w:r>
              <w:rPr>
                <w:b w:val="0"/>
                <w:bCs w:val="0"/>
              </w:rPr>
              <w:t xml:space="preserve"> (</w:t>
            </w:r>
            <w:proofErr w:type="spellStart"/>
            <w:r>
              <w:rPr>
                <w:b w:val="0"/>
                <w:bCs w:val="0"/>
              </w:rPr>
              <w:t>Xeomin</w:t>
            </w:r>
            <w:proofErr w:type="spellEnd"/>
            <w:r>
              <w:rPr>
                <w:b w:val="0"/>
                <w:bCs w:val="0"/>
              </w:rPr>
              <w:t>), injection of, for the treatment of chronic sialorrhea in a patient who is at least 2 years of age, if the condition is due to a neurological or neurodevelopmental disorder, including all such injections on any one day (Anaes.)</w:t>
            </w:r>
          </w:p>
          <w:p w14:paraId="2D56C5C9" w14:textId="77777777" w:rsidR="0076510D" w:rsidRDefault="0076510D" w:rsidP="00281DFE"/>
          <w:p w14:paraId="74EE6E5B" w14:textId="77777777" w:rsidR="0076510D" w:rsidRDefault="0076510D" w:rsidP="00281DFE">
            <w:r w:rsidRPr="00C83917">
              <w:rPr>
                <w:b w:val="0"/>
                <w:bCs w:val="0"/>
              </w:rPr>
              <w:t>Fee: $145.65 Benefit: 75% = $109.25 85% = $123.85</w:t>
            </w:r>
          </w:p>
          <w:p w14:paraId="7A0C9E0E" w14:textId="77777777" w:rsidR="0076510D" w:rsidRPr="00C83917" w:rsidRDefault="0076510D" w:rsidP="00281DFE">
            <w:pPr>
              <w:rPr>
                <w:b w:val="0"/>
                <w:bCs w:val="0"/>
              </w:rPr>
            </w:pPr>
          </w:p>
          <w:p w14:paraId="511868CF" w14:textId="77777777" w:rsidR="0076510D" w:rsidRPr="00C83917" w:rsidRDefault="0076510D" w:rsidP="00281DFE">
            <w:pPr>
              <w:pStyle w:val="ListBullet"/>
              <w:numPr>
                <w:ilvl w:val="0"/>
                <w:numId w:val="0"/>
              </w:numPr>
              <w:ind w:left="360" w:hanging="360"/>
              <w:rPr>
                <w:b w:val="0"/>
                <w:bCs w:val="0"/>
              </w:rPr>
            </w:pPr>
            <w:r w:rsidRPr="00C83917">
              <w:rPr>
                <w:b w:val="0"/>
                <w:bCs w:val="0"/>
              </w:rPr>
              <w:t>Private Health Insurance Classification:</w:t>
            </w:r>
          </w:p>
          <w:p w14:paraId="3079B26E" w14:textId="77777777" w:rsidR="0076510D" w:rsidRPr="00C83917" w:rsidRDefault="0076510D" w:rsidP="00281DFE">
            <w:pPr>
              <w:pStyle w:val="ListBullet"/>
              <w:rPr>
                <w:b w:val="0"/>
                <w:bCs w:val="0"/>
              </w:rPr>
            </w:pPr>
            <w:r w:rsidRPr="00C83917">
              <w:rPr>
                <w:b w:val="0"/>
                <w:bCs w:val="0"/>
              </w:rPr>
              <w:t xml:space="preserve">Clinical category: </w:t>
            </w:r>
            <w:bookmarkStart w:id="4" w:name="_Hlk215566864"/>
            <w:r>
              <w:rPr>
                <w:b w:val="0"/>
                <w:bCs w:val="0"/>
              </w:rPr>
              <w:t>Ear, nose and throat</w:t>
            </w:r>
            <w:bookmarkEnd w:id="4"/>
          </w:p>
          <w:p w14:paraId="47BEE8A6" w14:textId="77777777" w:rsidR="0076510D" w:rsidRPr="00C83917" w:rsidRDefault="0076510D" w:rsidP="00281DFE">
            <w:pPr>
              <w:pStyle w:val="ListBullet"/>
            </w:pPr>
            <w:r w:rsidRPr="00C83917">
              <w:rPr>
                <w:b w:val="0"/>
                <w:bCs w:val="0"/>
              </w:rPr>
              <w:t xml:space="preserve">Procedure type: </w:t>
            </w:r>
            <w:r>
              <w:rPr>
                <w:b w:val="0"/>
                <w:bCs w:val="0"/>
              </w:rPr>
              <w:t>Type C</w:t>
            </w:r>
          </w:p>
        </w:tc>
      </w:tr>
      <w:bookmarkEnd w:id="3"/>
    </w:tbl>
    <w:p w14:paraId="6D9AED9D" w14:textId="77777777" w:rsidR="0076510D" w:rsidRPr="00C83917" w:rsidRDefault="0076510D" w:rsidP="0076510D"/>
    <w:p w14:paraId="6B9A93F3" w14:textId="77777777" w:rsidR="0076510D" w:rsidRPr="00C83917" w:rsidRDefault="0076510D" w:rsidP="0076510D">
      <w:pPr>
        <w:pStyle w:val="Disclaimer"/>
      </w:pPr>
      <w:r w:rsidRPr="00C83917">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42AC20C" w14:textId="77777777" w:rsidR="0076510D" w:rsidRPr="00C83917" w:rsidRDefault="0076510D" w:rsidP="0076510D">
      <w:pPr>
        <w:pStyle w:val="Disclaimer"/>
      </w:pPr>
      <w:r w:rsidRPr="00C83917">
        <w:t>This factsheet is current as of the Last updated date shown above and does not account for MBS changes since that date.</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D6B6" w14:textId="77777777" w:rsidR="002340EC" w:rsidRDefault="002340EC" w:rsidP="006B56BB">
      <w:r>
        <w:separator/>
      </w:r>
    </w:p>
    <w:p w14:paraId="688BD3D7" w14:textId="77777777" w:rsidR="002340EC" w:rsidRDefault="002340EC"/>
  </w:endnote>
  <w:endnote w:type="continuationSeparator" w:id="0">
    <w:p w14:paraId="6A2CDBFF" w14:textId="77777777" w:rsidR="002340EC" w:rsidRDefault="002340EC" w:rsidP="006B56BB">
      <w:r>
        <w:continuationSeparator/>
      </w:r>
    </w:p>
    <w:p w14:paraId="5600AE03" w14:textId="77777777" w:rsidR="002340EC" w:rsidRDefault="002340EC"/>
  </w:endnote>
  <w:endnote w:type="continuationNotice" w:id="1">
    <w:p w14:paraId="41711474" w14:textId="77777777" w:rsidR="002340EC" w:rsidRDefault="00234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0A0E8EBD" w:rsidR="00F51321" w:rsidRPr="00BD1D77" w:rsidRDefault="00EE1639"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225BE864" w14:textId="2719380E" w:rsidR="00D85061" w:rsidRPr="00D85061" w:rsidRDefault="00D85061" w:rsidP="00D85061">
    <w:pPr>
      <w:pStyle w:val="Footer"/>
      <w:jc w:val="left"/>
      <w:rPr>
        <w:b/>
        <w:szCs w:val="20"/>
      </w:rPr>
    </w:pPr>
    <w:proofErr w:type="spellStart"/>
    <w:r w:rsidRPr="00D85061">
      <w:rPr>
        <w:b/>
        <w:szCs w:val="20"/>
      </w:rPr>
      <w:t>IncobotulinumtoxinA</w:t>
    </w:r>
    <w:proofErr w:type="spellEnd"/>
    <w:r w:rsidRPr="00D85061">
      <w:rPr>
        <w:b/>
        <w:szCs w:val="20"/>
      </w:rPr>
      <w:t xml:space="preserve"> (</w:t>
    </w:r>
    <w:proofErr w:type="spellStart"/>
    <w:r w:rsidRPr="00D85061">
      <w:rPr>
        <w:b/>
        <w:szCs w:val="20"/>
      </w:rPr>
      <w:t>X</w:t>
    </w:r>
    <w:r w:rsidR="00D308B5">
      <w:rPr>
        <w:b/>
        <w:szCs w:val="20"/>
      </w:rPr>
      <w:t>eomin</w:t>
    </w:r>
    <w:proofErr w:type="spellEnd"/>
    <w:r w:rsidRPr="00D85061">
      <w:rPr>
        <w:b/>
        <w:szCs w:val="20"/>
      </w:rPr>
      <w:t xml:space="preserve">) injection for </w:t>
    </w:r>
  </w:p>
  <w:p w14:paraId="1EBE15CC" w14:textId="3AEEF82E" w:rsidR="00F51321" w:rsidRPr="00BD1D77" w:rsidRDefault="00D85061" w:rsidP="00D85061">
    <w:pPr>
      <w:pStyle w:val="Footer"/>
      <w:tabs>
        <w:tab w:val="clear" w:pos="9026"/>
        <w:tab w:val="right" w:pos="10466"/>
      </w:tabs>
      <w:rPr>
        <w:szCs w:val="20"/>
      </w:rPr>
    </w:pPr>
    <w:r w:rsidRPr="00D85061">
      <w:rPr>
        <w:b/>
        <w:szCs w:val="20"/>
      </w:rPr>
      <w:t xml:space="preserve">chronic sialorrhea treatment – Factsheet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92819B3" w:rsidR="00CB03B8" w:rsidRPr="00F51321" w:rsidRDefault="00F51321" w:rsidP="00292535">
    <w:pPr>
      <w:pStyle w:val="Footer"/>
      <w:jc w:val="left"/>
    </w:pPr>
    <w:r w:rsidRPr="00BD1D77">
      <w:rPr>
        <w:szCs w:val="20"/>
      </w:rPr>
      <w:t xml:space="preserve">Last updated – </w:t>
    </w:r>
    <w:r w:rsidR="000245A7">
      <w:rPr>
        <w:szCs w:val="20"/>
      </w:rPr>
      <w:t>5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7D3C8746" w:rsidR="00064168" w:rsidRPr="00BD1D77" w:rsidRDefault="00EE1639"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1971C7D6" w14:textId="141BA54B" w:rsidR="004F7D62" w:rsidRDefault="004F7D62" w:rsidP="004F7D62">
    <w:pPr>
      <w:pStyle w:val="Footer"/>
      <w:tabs>
        <w:tab w:val="clear" w:pos="9026"/>
        <w:tab w:val="right" w:pos="10466"/>
      </w:tabs>
      <w:jc w:val="left"/>
      <w:rPr>
        <w:b/>
        <w:szCs w:val="20"/>
      </w:rPr>
    </w:pPr>
    <w:proofErr w:type="spellStart"/>
    <w:r w:rsidRPr="004F7D62">
      <w:rPr>
        <w:b/>
        <w:szCs w:val="20"/>
      </w:rPr>
      <w:t>IncobotulinumtoxinA</w:t>
    </w:r>
    <w:proofErr w:type="spellEnd"/>
    <w:r w:rsidRPr="004F7D62">
      <w:rPr>
        <w:b/>
        <w:szCs w:val="20"/>
      </w:rPr>
      <w:t xml:space="preserve"> (</w:t>
    </w:r>
    <w:proofErr w:type="spellStart"/>
    <w:r w:rsidRPr="004F7D62">
      <w:rPr>
        <w:b/>
        <w:szCs w:val="20"/>
      </w:rPr>
      <w:t>X</w:t>
    </w:r>
    <w:r w:rsidR="00D308B5">
      <w:rPr>
        <w:b/>
        <w:szCs w:val="20"/>
      </w:rPr>
      <w:t>eomin</w:t>
    </w:r>
    <w:proofErr w:type="spellEnd"/>
    <w:r w:rsidRPr="004F7D62">
      <w:rPr>
        <w:b/>
        <w:szCs w:val="20"/>
      </w:rPr>
      <w:t xml:space="preserve">) injection for </w:t>
    </w:r>
  </w:p>
  <w:p w14:paraId="7DCCE2B2" w14:textId="67A3FEC5" w:rsidR="00064168" w:rsidRPr="00BD1D77" w:rsidRDefault="004F7D62" w:rsidP="00064168">
    <w:pPr>
      <w:pStyle w:val="Footer"/>
      <w:tabs>
        <w:tab w:val="clear" w:pos="9026"/>
        <w:tab w:val="right" w:pos="10466"/>
      </w:tabs>
      <w:rPr>
        <w:szCs w:val="20"/>
      </w:rPr>
    </w:pPr>
    <w:r w:rsidRPr="004F7D62">
      <w:rPr>
        <w:b/>
        <w:szCs w:val="20"/>
      </w:rPr>
      <w:t>chronic sialorrhea treatment</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F17B3E1" w:rsidR="00064168" w:rsidRPr="00BD1D77" w:rsidRDefault="00064168" w:rsidP="00064168">
    <w:pPr>
      <w:pStyle w:val="Footer"/>
      <w:jc w:val="left"/>
      <w:rPr>
        <w:szCs w:val="20"/>
      </w:rPr>
    </w:pPr>
    <w:r w:rsidRPr="00BD1D77">
      <w:rPr>
        <w:szCs w:val="20"/>
      </w:rPr>
      <w:t xml:space="preserve">Last updated – </w:t>
    </w:r>
    <w:r w:rsidR="000245A7">
      <w:rPr>
        <w:szCs w:val="20"/>
      </w:rPr>
      <w:t>5 February 2026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EC09" w14:textId="77777777" w:rsidR="002340EC" w:rsidRDefault="002340EC" w:rsidP="006B56BB">
      <w:r>
        <w:separator/>
      </w:r>
    </w:p>
    <w:p w14:paraId="5D9F0390" w14:textId="77777777" w:rsidR="002340EC" w:rsidRDefault="002340EC"/>
  </w:footnote>
  <w:footnote w:type="continuationSeparator" w:id="0">
    <w:p w14:paraId="3920E203" w14:textId="77777777" w:rsidR="002340EC" w:rsidRDefault="002340EC" w:rsidP="006B56BB">
      <w:r>
        <w:continuationSeparator/>
      </w:r>
    </w:p>
    <w:p w14:paraId="3D8B4E81" w14:textId="77777777" w:rsidR="002340EC" w:rsidRDefault="002340EC"/>
  </w:footnote>
  <w:footnote w:type="continuationNotice" w:id="1">
    <w:p w14:paraId="172D3B63" w14:textId="77777777" w:rsidR="002340EC" w:rsidRDefault="00234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B00F9FC" w:rsidR="00B53987" w:rsidRDefault="00696A32">
    <w:pPr>
      <w:pStyle w:val="Header"/>
    </w:pPr>
    <w:r>
      <w:rPr>
        <w:noProof/>
        <w:lang w:eastAsia="en-AU"/>
      </w:rPr>
      <w:drawing>
        <wp:inline distT="0" distB="0" distL="0" distR="0" wp14:anchorId="0B073610" wp14:editId="7F830977">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B5CFB"/>
    <w:multiLevelType w:val="hybridMultilevel"/>
    <w:tmpl w:val="C1080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501167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3603"/>
    <w:rsid w:val="000245A7"/>
    <w:rsid w:val="00024AAA"/>
    <w:rsid w:val="00024DFE"/>
    <w:rsid w:val="00026139"/>
    <w:rsid w:val="00027601"/>
    <w:rsid w:val="00033321"/>
    <w:rsid w:val="000338E5"/>
    <w:rsid w:val="00033ECC"/>
    <w:rsid w:val="0003422F"/>
    <w:rsid w:val="00046FF0"/>
    <w:rsid w:val="00050176"/>
    <w:rsid w:val="00050342"/>
    <w:rsid w:val="00056A81"/>
    <w:rsid w:val="00064168"/>
    <w:rsid w:val="00065E00"/>
    <w:rsid w:val="00067456"/>
    <w:rsid w:val="00071506"/>
    <w:rsid w:val="0007154F"/>
    <w:rsid w:val="00080BAC"/>
    <w:rsid w:val="00081AB1"/>
    <w:rsid w:val="00090316"/>
    <w:rsid w:val="00093981"/>
    <w:rsid w:val="000A15C9"/>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440"/>
    <w:rsid w:val="000D7AEA"/>
    <w:rsid w:val="000E26AD"/>
    <w:rsid w:val="000E2C66"/>
    <w:rsid w:val="000F0FDB"/>
    <w:rsid w:val="000F123C"/>
    <w:rsid w:val="000F2FED"/>
    <w:rsid w:val="0010616D"/>
    <w:rsid w:val="00110478"/>
    <w:rsid w:val="00111901"/>
    <w:rsid w:val="0011711B"/>
    <w:rsid w:val="00117F8A"/>
    <w:rsid w:val="001207AC"/>
    <w:rsid w:val="001210F8"/>
    <w:rsid w:val="00121B9B"/>
    <w:rsid w:val="00122ADC"/>
    <w:rsid w:val="001245EF"/>
    <w:rsid w:val="00130F59"/>
    <w:rsid w:val="00133EC0"/>
    <w:rsid w:val="00141CE5"/>
    <w:rsid w:val="001427CD"/>
    <w:rsid w:val="00144908"/>
    <w:rsid w:val="00151A2D"/>
    <w:rsid w:val="00156D96"/>
    <w:rsid w:val="001571C7"/>
    <w:rsid w:val="00161094"/>
    <w:rsid w:val="00171D3D"/>
    <w:rsid w:val="0017665C"/>
    <w:rsid w:val="0017709E"/>
    <w:rsid w:val="00177AD2"/>
    <w:rsid w:val="001815A8"/>
    <w:rsid w:val="001840FA"/>
    <w:rsid w:val="001873B1"/>
    <w:rsid w:val="00190079"/>
    <w:rsid w:val="0019622E"/>
    <w:rsid w:val="001966A7"/>
    <w:rsid w:val="0019761F"/>
    <w:rsid w:val="001A2646"/>
    <w:rsid w:val="001A311A"/>
    <w:rsid w:val="001A4627"/>
    <w:rsid w:val="001A4979"/>
    <w:rsid w:val="001B15D3"/>
    <w:rsid w:val="001B3443"/>
    <w:rsid w:val="001C0326"/>
    <w:rsid w:val="001C192F"/>
    <w:rsid w:val="001C3276"/>
    <w:rsid w:val="001C3C42"/>
    <w:rsid w:val="001C55EC"/>
    <w:rsid w:val="001D7869"/>
    <w:rsid w:val="001F1518"/>
    <w:rsid w:val="001F38B4"/>
    <w:rsid w:val="001F3920"/>
    <w:rsid w:val="001F76C6"/>
    <w:rsid w:val="002026CD"/>
    <w:rsid w:val="002033FC"/>
    <w:rsid w:val="002044BB"/>
    <w:rsid w:val="00210B09"/>
    <w:rsid w:val="00210C9E"/>
    <w:rsid w:val="00211840"/>
    <w:rsid w:val="00220E5F"/>
    <w:rsid w:val="002212B5"/>
    <w:rsid w:val="0022379E"/>
    <w:rsid w:val="00226668"/>
    <w:rsid w:val="00233809"/>
    <w:rsid w:val="002340EC"/>
    <w:rsid w:val="00237A42"/>
    <w:rsid w:val="00240046"/>
    <w:rsid w:val="00242D68"/>
    <w:rsid w:val="0024650C"/>
    <w:rsid w:val="0024797F"/>
    <w:rsid w:val="0025119E"/>
    <w:rsid w:val="00251269"/>
    <w:rsid w:val="002535C0"/>
    <w:rsid w:val="002579FE"/>
    <w:rsid w:val="00260552"/>
    <w:rsid w:val="0026311C"/>
    <w:rsid w:val="00263813"/>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2EFC"/>
    <w:rsid w:val="00295AF2"/>
    <w:rsid w:val="00295C91"/>
    <w:rsid w:val="00297151"/>
    <w:rsid w:val="002A3ECC"/>
    <w:rsid w:val="002B20E6"/>
    <w:rsid w:val="002B42A3"/>
    <w:rsid w:val="002C0CDD"/>
    <w:rsid w:val="002C38C4"/>
    <w:rsid w:val="002C46AA"/>
    <w:rsid w:val="002C6ECB"/>
    <w:rsid w:val="002D65A2"/>
    <w:rsid w:val="002E0E19"/>
    <w:rsid w:val="002E1A1D"/>
    <w:rsid w:val="002E1FEB"/>
    <w:rsid w:val="002E4081"/>
    <w:rsid w:val="002E5B78"/>
    <w:rsid w:val="002F3AE3"/>
    <w:rsid w:val="002F7A05"/>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66E19"/>
    <w:rsid w:val="00370AAA"/>
    <w:rsid w:val="00375F77"/>
    <w:rsid w:val="00377A88"/>
    <w:rsid w:val="00381BBE"/>
    <w:rsid w:val="00382903"/>
    <w:rsid w:val="003832F8"/>
    <w:rsid w:val="003846FF"/>
    <w:rsid w:val="00384E3F"/>
    <w:rsid w:val="003857D4"/>
    <w:rsid w:val="00385AD4"/>
    <w:rsid w:val="00385C01"/>
    <w:rsid w:val="00387924"/>
    <w:rsid w:val="0039384D"/>
    <w:rsid w:val="003942A4"/>
    <w:rsid w:val="00395C23"/>
    <w:rsid w:val="003A2E4F"/>
    <w:rsid w:val="003A4438"/>
    <w:rsid w:val="003A5013"/>
    <w:rsid w:val="003A5078"/>
    <w:rsid w:val="003A52FE"/>
    <w:rsid w:val="003A62DD"/>
    <w:rsid w:val="003A65EA"/>
    <w:rsid w:val="003A775A"/>
    <w:rsid w:val="003B213A"/>
    <w:rsid w:val="003B2E5D"/>
    <w:rsid w:val="003B43AD"/>
    <w:rsid w:val="003C0FEC"/>
    <w:rsid w:val="003C2AC8"/>
    <w:rsid w:val="003D033A"/>
    <w:rsid w:val="003D17F9"/>
    <w:rsid w:val="003D2D88"/>
    <w:rsid w:val="003D3200"/>
    <w:rsid w:val="003D3667"/>
    <w:rsid w:val="003D419D"/>
    <w:rsid w:val="003D41EA"/>
    <w:rsid w:val="003D4850"/>
    <w:rsid w:val="003D535A"/>
    <w:rsid w:val="003D7B09"/>
    <w:rsid w:val="003E4792"/>
    <w:rsid w:val="003E5265"/>
    <w:rsid w:val="003F08F4"/>
    <w:rsid w:val="003F0955"/>
    <w:rsid w:val="003F0F91"/>
    <w:rsid w:val="003F5F4D"/>
    <w:rsid w:val="003F646F"/>
    <w:rsid w:val="00400F00"/>
    <w:rsid w:val="0040175C"/>
    <w:rsid w:val="00404F8B"/>
    <w:rsid w:val="00405256"/>
    <w:rsid w:val="00405ADD"/>
    <w:rsid w:val="00410031"/>
    <w:rsid w:val="004147C0"/>
    <w:rsid w:val="00415C81"/>
    <w:rsid w:val="00432378"/>
    <w:rsid w:val="00440D65"/>
    <w:rsid w:val="00442A8B"/>
    <w:rsid w:val="00442EFF"/>
    <w:rsid w:val="004435E6"/>
    <w:rsid w:val="00447B31"/>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A78D9"/>
    <w:rsid w:val="004C1BCD"/>
    <w:rsid w:val="004C6BCF"/>
    <w:rsid w:val="004D58BF"/>
    <w:rsid w:val="004D5E3F"/>
    <w:rsid w:val="004E293A"/>
    <w:rsid w:val="004E4335"/>
    <w:rsid w:val="004E4A9C"/>
    <w:rsid w:val="004E5226"/>
    <w:rsid w:val="004F13EE"/>
    <w:rsid w:val="004F2022"/>
    <w:rsid w:val="004F7C05"/>
    <w:rsid w:val="004F7D62"/>
    <w:rsid w:val="00501C94"/>
    <w:rsid w:val="00506432"/>
    <w:rsid w:val="00506E82"/>
    <w:rsid w:val="00513991"/>
    <w:rsid w:val="0052051D"/>
    <w:rsid w:val="00525479"/>
    <w:rsid w:val="00536336"/>
    <w:rsid w:val="00536D14"/>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43D"/>
    <w:rsid w:val="005A0C59"/>
    <w:rsid w:val="005A48EB"/>
    <w:rsid w:val="005A6CFB"/>
    <w:rsid w:val="005B7D0F"/>
    <w:rsid w:val="005C4B3E"/>
    <w:rsid w:val="005C5AEB"/>
    <w:rsid w:val="005D1F28"/>
    <w:rsid w:val="005D5F4E"/>
    <w:rsid w:val="005E0805"/>
    <w:rsid w:val="005E0A3F"/>
    <w:rsid w:val="005E1AF9"/>
    <w:rsid w:val="005E2D76"/>
    <w:rsid w:val="005E659D"/>
    <w:rsid w:val="005E6883"/>
    <w:rsid w:val="005E772F"/>
    <w:rsid w:val="005F4ECA"/>
    <w:rsid w:val="006041BE"/>
    <w:rsid w:val="006043C7"/>
    <w:rsid w:val="00610E04"/>
    <w:rsid w:val="00624B52"/>
    <w:rsid w:val="00625439"/>
    <w:rsid w:val="00630794"/>
    <w:rsid w:val="00631DF4"/>
    <w:rsid w:val="00634175"/>
    <w:rsid w:val="0063574E"/>
    <w:rsid w:val="006408AC"/>
    <w:rsid w:val="00640BAC"/>
    <w:rsid w:val="00642552"/>
    <w:rsid w:val="00642F20"/>
    <w:rsid w:val="006511B6"/>
    <w:rsid w:val="00657FF8"/>
    <w:rsid w:val="0066598A"/>
    <w:rsid w:val="00670D99"/>
    <w:rsid w:val="00670E2B"/>
    <w:rsid w:val="006734BB"/>
    <w:rsid w:val="0067697A"/>
    <w:rsid w:val="006821EB"/>
    <w:rsid w:val="00693A51"/>
    <w:rsid w:val="00696A32"/>
    <w:rsid w:val="00697A94"/>
    <w:rsid w:val="006B1353"/>
    <w:rsid w:val="006B2286"/>
    <w:rsid w:val="006B56BB"/>
    <w:rsid w:val="006C085B"/>
    <w:rsid w:val="006C0AE2"/>
    <w:rsid w:val="006C77A8"/>
    <w:rsid w:val="006D22A7"/>
    <w:rsid w:val="006D4098"/>
    <w:rsid w:val="006D67F4"/>
    <w:rsid w:val="006D7681"/>
    <w:rsid w:val="006D7B2E"/>
    <w:rsid w:val="006E02EA"/>
    <w:rsid w:val="006E0968"/>
    <w:rsid w:val="006E2AF6"/>
    <w:rsid w:val="006E3FAD"/>
    <w:rsid w:val="006F1107"/>
    <w:rsid w:val="006F5073"/>
    <w:rsid w:val="00701275"/>
    <w:rsid w:val="00704F2C"/>
    <w:rsid w:val="00707B1A"/>
    <w:rsid w:val="00707F56"/>
    <w:rsid w:val="00713558"/>
    <w:rsid w:val="00720D08"/>
    <w:rsid w:val="007263B9"/>
    <w:rsid w:val="00726779"/>
    <w:rsid w:val="007307F3"/>
    <w:rsid w:val="007334F8"/>
    <w:rsid w:val="007339CD"/>
    <w:rsid w:val="007359D8"/>
    <w:rsid w:val="007362D4"/>
    <w:rsid w:val="00741AC2"/>
    <w:rsid w:val="00744B30"/>
    <w:rsid w:val="00746C16"/>
    <w:rsid w:val="007471BF"/>
    <w:rsid w:val="00755ED9"/>
    <w:rsid w:val="0076510D"/>
    <w:rsid w:val="00765879"/>
    <w:rsid w:val="0076672A"/>
    <w:rsid w:val="00775E45"/>
    <w:rsid w:val="00776E74"/>
    <w:rsid w:val="00785169"/>
    <w:rsid w:val="0078534B"/>
    <w:rsid w:val="007954AB"/>
    <w:rsid w:val="007A14C5"/>
    <w:rsid w:val="007A4A10"/>
    <w:rsid w:val="007A7F27"/>
    <w:rsid w:val="007B1750"/>
    <w:rsid w:val="007B1760"/>
    <w:rsid w:val="007C1FDC"/>
    <w:rsid w:val="007C31DD"/>
    <w:rsid w:val="007C32D9"/>
    <w:rsid w:val="007C343D"/>
    <w:rsid w:val="007C6D9C"/>
    <w:rsid w:val="007C7DDB"/>
    <w:rsid w:val="007D2CC7"/>
    <w:rsid w:val="007D3C86"/>
    <w:rsid w:val="007D673D"/>
    <w:rsid w:val="007E0068"/>
    <w:rsid w:val="007E0FB8"/>
    <w:rsid w:val="007E4D09"/>
    <w:rsid w:val="007E668C"/>
    <w:rsid w:val="007F2220"/>
    <w:rsid w:val="007F4B3E"/>
    <w:rsid w:val="00803429"/>
    <w:rsid w:val="008127AF"/>
    <w:rsid w:val="00812B46"/>
    <w:rsid w:val="00815700"/>
    <w:rsid w:val="00821974"/>
    <w:rsid w:val="0082246B"/>
    <w:rsid w:val="008264EB"/>
    <w:rsid w:val="00826B8F"/>
    <w:rsid w:val="00830F97"/>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32FC"/>
    <w:rsid w:val="0089677E"/>
    <w:rsid w:val="008A7438"/>
    <w:rsid w:val="008B1334"/>
    <w:rsid w:val="008B25C7"/>
    <w:rsid w:val="008C0278"/>
    <w:rsid w:val="008C24E9"/>
    <w:rsid w:val="008C38E7"/>
    <w:rsid w:val="008C589E"/>
    <w:rsid w:val="008D0533"/>
    <w:rsid w:val="008D42CB"/>
    <w:rsid w:val="008D48C9"/>
    <w:rsid w:val="008D5DF4"/>
    <w:rsid w:val="008D6381"/>
    <w:rsid w:val="008E007D"/>
    <w:rsid w:val="008E0C77"/>
    <w:rsid w:val="008E625F"/>
    <w:rsid w:val="008F264D"/>
    <w:rsid w:val="00900C19"/>
    <w:rsid w:val="00902564"/>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5E7F"/>
    <w:rsid w:val="009518C7"/>
    <w:rsid w:val="00952A0C"/>
    <w:rsid w:val="009557C1"/>
    <w:rsid w:val="00960D6E"/>
    <w:rsid w:val="00974B59"/>
    <w:rsid w:val="0098166B"/>
    <w:rsid w:val="0098340B"/>
    <w:rsid w:val="009852BE"/>
    <w:rsid w:val="00986830"/>
    <w:rsid w:val="009924C3"/>
    <w:rsid w:val="00993102"/>
    <w:rsid w:val="00994398"/>
    <w:rsid w:val="009973F7"/>
    <w:rsid w:val="009B1570"/>
    <w:rsid w:val="009C0166"/>
    <w:rsid w:val="009C4262"/>
    <w:rsid w:val="009C6F10"/>
    <w:rsid w:val="009D148F"/>
    <w:rsid w:val="009D3D70"/>
    <w:rsid w:val="009D62F1"/>
    <w:rsid w:val="009E6F7E"/>
    <w:rsid w:val="009E7A57"/>
    <w:rsid w:val="009F4803"/>
    <w:rsid w:val="009F4F6A"/>
    <w:rsid w:val="009F4FD1"/>
    <w:rsid w:val="009F5046"/>
    <w:rsid w:val="00A0086A"/>
    <w:rsid w:val="00A13EB5"/>
    <w:rsid w:val="00A16E36"/>
    <w:rsid w:val="00A23012"/>
    <w:rsid w:val="00A24961"/>
    <w:rsid w:val="00A24B10"/>
    <w:rsid w:val="00A277EF"/>
    <w:rsid w:val="00A2781D"/>
    <w:rsid w:val="00A30E9B"/>
    <w:rsid w:val="00A34BD0"/>
    <w:rsid w:val="00A4512D"/>
    <w:rsid w:val="00A50244"/>
    <w:rsid w:val="00A627D7"/>
    <w:rsid w:val="00A642BA"/>
    <w:rsid w:val="00A656C7"/>
    <w:rsid w:val="00A705AF"/>
    <w:rsid w:val="00A719F6"/>
    <w:rsid w:val="00A72454"/>
    <w:rsid w:val="00A75342"/>
    <w:rsid w:val="00A77696"/>
    <w:rsid w:val="00A77A05"/>
    <w:rsid w:val="00A80557"/>
    <w:rsid w:val="00A81D33"/>
    <w:rsid w:val="00A8341C"/>
    <w:rsid w:val="00A8695F"/>
    <w:rsid w:val="00A930AE"/>
    <w:rsid w:val="00AA1A95"/>
    <w:rsid w:val="00AA260F"/>
    <w:rsid w:val="00AB0705"/>
    <w:rsid w:val="00AB1EE7"/>
    <w:rsid w:val="00AB2B2E"/>
    <w:rsid w:val="00AB3FDE"/>
    <w:rsid w:val="00AB4B37"/>
    <w:rsid w:val="00AB5762"/>
    <w:rsid w:val="00AB7584"/>
    <w:rsid w:val="00AC2679"/>
    <w:rsid w:val="00AC4432"/>
    <w:rsid w:val="00AC4BE4"/>
    <w:rsid w:val="00AC6513"/>
    <w:rsid w:val="00AD05E6"/>
    <w:rsid w:val="00AD0D3F"/>
    <w:rsid w:val="00AE1D7D"/>
    <w:rsid w:val="00AE2A8B"/>
    <w:rsid w:val="00AE2FEC"/>
    <w:rsid w:val="00AE3F64"/>
    <w:rsid w:val="00AF2A34"/>
    <w:rsid w:val="00AF7386"/>
    <w:rsid w:val="00AF7934"/>
    <w:rsid w:val="00B00B81"/>
    <w:rsid w:val="00B04580"/>
    <w:rsid w:val="00B04B09"/>
    <w:rsid w:val="00B16A51"/>
    <w:rsid w:val="00B22D44"/>
    <w:rsid w:val="00B27A99"/>
    <w:rsid w:val="00B32222"/>
    <w:rsid w:val="00B32567"/>
    <w:rsid w:val="00B3618D"/>
    <w:rsid w:val="00B36233"/>
    <w:rsid w:val="00B37228"/>
    <w:rsid w:val="00B42851"/>
    <w:rsid w:val="00B42D06"/>
    <w:rsid w:val="00B45350"/>
    <w:rsid w:val="00B45AC7"/>
    <w:rsid w:val="00B5114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6C65"/>
    <w:rsid w:val="00BD7FB2"/>
    <w:rsid w:val="00BE3ED5"/>
    <w:rsid w:val="00BE42C7"/>
    <w:rsid w:val="00BF6BB3"/>
    <w:rsid w:val="00C00930"/>
    <w:rsid w:val="00C02732"/>
    <w:rsid w:val="00C060AD"/>
    <w:rsid w:val="00C113BF"/>
    <w:rsid w:val="00C1281F"/>
    <w:rsid w:val="00C2176E"/>
    <w:rsid w:val="00C23430"/>
    <w:rsid w:val="00C25787"/>
    <w:rsid w:val="00C258F9"/>
    <w:rsid w:val="00C27D67"/>
    <w:rsid w:val="00C40A0E"/>
    <w:rsid w:val="00C435AF"/>
    <w:rsid w:val="00C4468D"/>
    <w:rsid w:val="00C45D56"/>
    <w:rsid w:val="00C4631F"/>
    <w:rsid w:val="00C47CDE"/>
    <w:rsid w:val="00C50E16"/>
    <w:rsid w:val="00C55258"/>
    <w:rsid w:val="00C55AEB"/>
    <w:rsid w:val="00C702EB"/>
    <w:rsid w:val="00C71A8A"/>
    <w:rsid w:val="00C75FA3"/>
    <w:rsid w:val="00C82EEB"/>
    <w:rsid w:val="00C971DC"/>
    <w:rsid w:val="00CA16B7"/>
    <w:rsid w:val="00CA62AE"/>
    <w:rsid w:val="00CB03B8"/>
    <w:rsid w:val="00CB49DD"/>
    <w:rsid w:val="00CB5B1A"/>
    <w:rsid w:val="00CC220B"/>
    <w:rsid w:val="00CC5C43"/>
    <w:rsid w:val="00CD02AE"/>
    <w:rsid w:val="00CD21E2"/>
    <w:rsid w:val="00CD2A4F"/>
    <w:rsid w:val="00CD41E4"/>
    <w:rsid w:val="00CE03CA"/>
    <w:rsid w:val="00CE22F1"/>
    <w:rsid w:val="00CE50F2"/>
    <w:rsid w:val="00CE5101"/>
    <w:rsid w:val="00CE6502"/>
    <w:rsid w:val="00CF1633"/>
    <w:rsid w:val="00CF1A3D"/>
    <w:rsid w:val="00CF4C2A"/>
    <w:rsid w:val="00CF7D3C"/>
    <w:rsid w:val="00D01F09"/>
    <w:rsid w:val="00D03527"/>
    <w:rsid w:val="00D101E6"/>
    <w:rsid w:val="00D147EB"/>
    <w:rsid w:val="00D16E82"/>
    <w:rsid w:val="00D20254"/>
    <w:rsid w:val="00D27E71"/>
    <w:rsid w:val="00D308B5"/>
    <w:rsid w:val="00D34667"/>
    <w:rsid w:val="00D347ED"/>
    <w:rsid w:val="00D401E1"/>
    <w:rsid w:val="00D408B4"/>
    <w:rsid w:val="00D44330"/>
    <w:rsid w:val="00D524C8"/>
    <w:rsid w:val="00D60B04"/>
    <w:rsid w:val="00D70E24"/>
    <w:rsid w:val="00D72B61"/>
    <w:rsid w:val="00D778DC"/>
    <w:rsid w:val="00D85061"/>
    <w:rsid w:val="00DA3D1D"/>
    <w:rsid w:val="00DA66C2"/>
    <w:rsid w:val="00DB6286"/>
    <w:rsid w:val="00DB645F"/>
    <w:rsid w:val="00DB76E9"/>
    <w:rsid w:val="00DC0A67"/>
    <w:rsid w:val="00DC1D5E"/>
    <w:rsid w:val="00DC2498"/>
    <w:rsid w:val="00DC5220"/>
    <w:rsid w:val="00DD2061"/>
    <w:rsid w:val="00DD31B6"/>
    <w:rsid w:val="00DD7DAB"/>
    <w:rsid w:val="00DE3355"/>
    <w:rsid w:val="00DE6B6F"/>
    <w:rsid w:val="00DF0C60"/>
    <w:rsid w:val="00DF486F"/>
    <w:rsid w:val="00DF5B5B"/>
    <w:rsid w:val="00DF7619"/>
    <w:rsid w:val="00E010E4"/>
    <w:rsid w:val="00E042D8"/>
    <w:rsid w:val="00E07EE7"/>
    <w:rsid w:val="00E1103B"/>
    <w:rsid w:val="00E17B44"/>
    <w:rsid w:val="00E17B48"/>
    <w:rsid w:val="00E20F27"/>
    <w:rsid w:val="00E22443"/>
    <w:rsid w:val="00E23B01"/>
    <w:rsid w:val="00E25B1F"/>
    <w:rsid w:val="00E27FEA"/>
    <w:rsid w:val="00E32E91"/>
    <w:rsid w:val="00E33511"/>
    <w:rsid w:val="00E35B07"/>
    <w:rsid w:val="00E37C62"/>
    <w:rsid w:val="00E4086F"/>
    <w:rsid w:val="00E416BD"/>
    <w:rsid w:val="00E43B3C"/>
    <w:rsid w:val="00E50188"/>
    <w:rsid w:val="00E50BB3"/>
    <w:rsid w:val="00E515CB"/>
    <w:rsid w:val="00E52260"/>
    <w:rsid w:val="00E538AE"/>
    <w:rsid w:val="00E55FB4"/>
    <w:rsid w:val="00E639B6"/>
    <w:rsid w:val="00E6434B"/>
    <w:rsid w:val="00E6463D"/>
    <w:rsid w:val="00E71492"/>
    <w:rsid w:val="00E72E9B"/>
    <w:rsid w:val="00E73C3C"/>
    <w:rsid w:val="00E850C3"/>
    <w:rsid w:val="00E87DF2"/>
    <w:rsid w:val="00E90371"/>
    <w:rsid w:val="00E91536"/>
    <w:rsid w:val="00E91576"/>
    <w:rsid w:val="00E9462E"/>
    <w:rsid w:val="00EA2D09"/>
    <w:rsid w:val="00EA346E"/>
    <w:rsid w:val="00EA470E"/>
    <w:rsid w:val="00EA47A7"/>
    <w:rsid w:val="00EA57EB"/>
    <w:rsid w:val="00EB3226"/>
    <w:rsid w:val="00EB613A"/>
    <w:rsid w:val="00EC1BB1"/>
    <w:rsid w:val="00EC213A"/>
    <w:rsid w:val="00EC6B55"/>
    <w:rsid w:val="00EC7744"/>
    <w:rsid w:val="00ED0DAD"/>
    <w:rsid w:val="00ED0F46"/>
    <w:rsid w:val="00ED2373"/>
    <w:rsid w:val="00ED24F9"/>
    <w:rsid w:val="00ED2E38"/>
    <w:rsid w:val="00EE1639"/>
    <w:rsid w:val="00EE3E8A"/>
    <w:rsid w:val="00EF58B8"/>
    <w:rsid w:val="00EF6ECA"/>
    <w:rsid w:val="00F01605"/>
    <w:rsid w:val="00F024E1"/>
    <w:rsid w:val="00F038D4"/>
    <w:rsid w:val="00F06C10"/>
    <w:rsid w:val="00F0784E"/>
    <w:rsid w:val="00F1096F"/>
    <w:rsid w:val="00F12589"/>
    <w:rsid w:val="00F12595"/>
    <w:rsid w:val="00F134D9"/>
    <w:rsid w:val="00F1403D"/>
    <w:rsid w:val="00F1463F"/>
    <w:rsid w:val="00F14D53"/>
    <w:rsid w:val="00F14EA0"/>
    <w:rsid w:val="00F21302"/>
    <w:rsid w:val="00F2430D"/>
    <w:rsid w:val="00F26C93"/>
    <w:rsid w:val="00F26DD9"/>
    <w:rsid w:val="00F321DE"/>
    <w:rsid w:val="00F33777"/>
    <w:rsid w:val="00F35615"/>
    <w:rsid w:val="00F40648"/>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08CD"/>
    <w:rsid w:val="00FA2CEE"/>
    <w:rsid w:val="00FA318C"/>
    <w:rsid w:val="00FB3661"/>
    <w:rsid w:val="00FB6452"/>
    <w:rsid w:val="00FB6F92"/>
    <w:rsid w:val="00FC026E"/>
    <w:rsid w:val="00FC5124"/>
    <w:rsid w:val="00FD0155"/>
    <w:rsid w:val="00FD4731"/>
    <w:rsid w:val="00FD6768"/>
    <w:rsid w:val="00FE3DD2"/>
    <w:rsid w:val="00FE6CD4"/>
    <w:rsid w:val="00FF0AB0"/>
    <w:rsid w:val="00FF28AC"/>
    <w:rsid w:val="00FF777D"/>
    <w:rsid w:val="00FF7F62"/>
    <w:rsid w:val="06D43151"/>
    <w:rsid w:val="072967FD"/>
    <w:rsid w:val="0766487D"/>
    <w:rsid w:val="1337CABA"/>
    <w:rsid w:val="1ECE4356"/>
    <w:rsid w:val="34DA4BBA"/>
    <w:rsid w:val="37A8CB26"/>
    <w:rsid w:val="386763C2"/>
    <w:rsid w:val="47118CD1"/>
    <w:rsid w:val="66CA1C6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resources/collections/private-health-insurance-clinical-category-and-procedure-type?language=en"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topics/medicare/compli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pbs.gov.au/info/healthpro/explanatory-notes"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4885</Characters>
  <Application>Microsoft Office Word</Application>
  <DocSecurity>0</DocSecurity>
  <Lines>90</Lines>
  <Paragraphs>41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2026-02-12T05:33:00Z</dcterms:created>
  <dcterms:modified xsi:type="dcterms:W3CDTF">2026-02-12T05:34:00Z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7255fd0,1e3b3418,41659981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1ef72dfd,65ce1e21,5c5392d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2026-02-12T05:33:14Z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4574e1c1-030f-44d4-9a9e-9ab14205bca7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